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3A8466">
      <w:pPr>
        <w:ind w:firstLine="480"/>
        <w:rPr>
          <w:color w:val="auto"/>
        </w:rPr>
      </w:pPr>
    </w:p>
    <w:p w14:paraId="14F6383E">
      <w:pPr>
        <w:ind w:firstLine="480"/>
        <w:rPr>
          <w:color w:val="auto"/>
        </w:rPr>
      </w:pPr>
    </w:p>
    <w:p w14:paraId="0BEFBE5F">
      <w:pPr>
        <w:ind w:firstLine="0" w:firstLineChars="0"/>
        <w:jc w:val="center"/>
        <w:rPr>
          <w:rFonts w:hint="eastAsia" w:ascii="仿宋_GB2312" w:hAnsi="仿宋_GB2312" w:eastAsia="仿宋_GB2312" w:cs="仿宋_GB2312"/>
          <w:color w:val="auto"/>
          <w:sz w:val="36"/>
          <w:szCs w:val="36"/>
        </w:rPr>
      </w:pPr>
    </w:p>
    <w:p w14:paraId="156C5864">
      <w:pPr>
        <w:ind w:firstLine="0" w:firstLineChars="0"/>
        <w:jc w:val="center"/>
        <w:rPr>
          <w:rFonts w:ascii="方正小标宋_GBK" w:eastAsia="方正小标宋_GBK"/>
          <w:color w:val="auto"/>
          <w:sz w:val="72"/>
          <w:szCs w:val="72"/>
        </w:rPr>
      </w:pPr>
      <w:r>
        <w:rPr>
          <w:rFonts w:hint="eastAsia" w:ascii="方正小标宋_GBK" w:eastAsia="方正小标宋_GBK"/>
          <w:color w:val="auto"/>
          <w:sz w:val="72"/>
          <w:szCs w:val="72"/>
        </w:rPr>
        <w:t>建设项目环境影响报告表</w:t>
      </w:r>
    </w:p>
    <w:p w14:paraId="043FCCAC">
      <w:pPr>
        <w:adjustRightInd w:val="0"/>
        <w:snapToGrid w:val="0"/>
        <w:spacing w:before="192" w:beforeLines="80"/>
        <w:ind w:firstLine="0" w:firstLineChars="0"/>
        <w:jc w:val="center"/>
        <w:rPr>
          <w:rFonts w:ascii="楷体_GB2312" w:eastAsia="楷体_GB2312"/>
          <w:bCs/>
          <w:color w:val="auto"/>
          <w:sz w:val="48"/>
          <w:szCs w:val="48"/>
        </w:rPr>
      </w:pPr>
      <w:r>
        <w:rPr>
          <w:rFonts w:hint="eastAsia" w:ascii="楷体_GB2312" w:eastAsia="楷体_GB2312"/>
          <w:bCs/>
          <w:color w:val="auto"/>
          <w:sz w:val="48"/>
          <w:szCs w:val="48"/>
        </w:rPr>
        <w:t>（污染影响类）</w:t>
      </w:r>
    </w:p>
    <w:p w14:paraId="10694610">
      <w:pPr>
        <w:ind w:firstLine="480"/>
        <w:rPr>
          <w:color w:val="auto"/>
        </w:rPr>
      </w:pPr>
    </w:p>
    <w:p w14:paraId="24C1673A">
      <w:pPr>
        <w:ind w:firstLine="480"/>
        <w:rPr>
          <w:color w:val="auto"/>
        </w:rPr>
      </w:pPr>
    </w:p>
    <w:p w14:paraId="401E4903">
      <w:pPr>
        <w:ind w:firstLine="880"/>
        <w:rPr>
          <w:rFonts w:eastAsia="仿宋"/>
          <w:color w:val="auto"/>
          <w:sz w:val="44"/>
          <w:szCs w:val="44"/>
        </w:rPr>
      </w:pPr>
    </w:p>
    <w:p w14:paraId="48AE1F33">
      <w:pPr>
        <w:ind w:firstLine="1040"/>
        <w:rPr>
          <w:rFonts w:eastAsia="仿宋"/>
          <w:sz w:val="44"/>
          <w:szCs w:val="44"/>
        </w:rPr>
      </w:pPr>
      <w:bookmarkStart w:id="0" w:name="_Hlk57884087"/>
    </w:p>
    <w:p w14:paraId="7942317D">
      <w:pPr>
        <w:ind w:firstLine="1040"/>
        <w:rPr>
          <w:rFonts w:eastAsia="仿宋"/>
          <w:sz w:val="44"/>
          <w:szCs w:val="44"/>
        </w:rPr>
      </w:pPr>
    </w:p>
    <w:p w14:paraId="527F2A04">
      <w:pPr>
        <w:adjustRightInd w:val="0"/>
        <w:snapToGrid w:val="0"/>
        <w:spacing w:line="288" w:lineRule="auto"/>
        <w:rPr>
          <w:rFonts w:hint="eastAsia" w:ascii="仿宋_GB2312" w:eastAsia="仿宋_GB2312"/>
          <w:sz w:val="36"/>
          <w:szCs w:val="36"/>
          <w:u w:val="single"/>
        </w:rPr>
      </w:pPr>
      <w:r>
        <w:rPr>
          <w:rFonts w:hint="eastAsia" w:ascii="仿宋_GB2312" w:eastAsia="仿宋_GB2312"/>
          <w:sz w:val="36"/>
          <w:szCs w:val="36"/>
        </w:rPr>
        <w:t xml:space="preserve">项目名称： </w:t>
      </w:r>
      <w:r>
        <w:rPr>
          <w:rFonts w:hint="eastAsia" w:ascii="仿宋_GB2312" w:eastAsia="仿宋_GB2312"/>
          <w:sz w:val="32"/>
          <w:szCs w:val="32"/>
          <w:u w:val="single"/>
          <w:lang w:val="en-US" w:eastAsia="zh-CN"/>
        </w:rPr>
        <w:t xml:space="preserve">    新型中药饮片生产建设项目          </w:t>
      </w:r>
      <w:r>
        <w:rPr>
          <w:rFonts w:hint="eastAsia" w:ascii="仿宋_GB2312" w:eastAsia="仿宋_GB2312"/>
          <w:sz w:val="36"/>
          <w:szCs w:val="36"/>
          <w:u w:val="single"/>
        </w:rPr>
        <w:t xml:space="preserve"> </w:t>
      </w:r>
    </w:p>
    <w:p w14:paraId="73F1B1FF">
      <w:pPr>
        <w:adjustRightInd w:val="0"/>
        <w:snapToGrid w:val="0"/>
        <w:spacing w:line="288" w:lineRule="auto"/>
        <w:rPr>
          <w:rFonts w:hint="default" w:ascii="仿宋_GB2312" w:eastAsia="仿宋_GB2312"/>
          <w:sz w:val="36"/>
          <w:szCs w:val="36"/>
          <w:u w:val="single"/>
          <w:lang w:val="en-US"/>
        </w:rPr>
      </w:pPr>
      <w:r>
        <w:rPr>
          <w:rFonts w:hint="eastAsia" w:ascii="仿宋_GB2312" w:eastAsia="仿宋_GB2312"/>
          <w:sz w:val="36"/>
          <w:szCs w:val="36"/>
        </w:rPr>
        <w:t>建设单位（盖章）：</w:t>
      </w:r>
      <w:r>
        <w:rPr>
          <w:rFonts w:hint="eastAsia" w:ascii="仿宋_GB2312" w:eastAsia="仿宋_GB2312"/>
          <w:sz w:val="32"/>
          <w:szCs w:val="32"/>
          <w:u w:val="single"/>
          <w:lang w:val="en-US" w:eastAsia="zh-CN"/>
        </w:rPr>
        <w:t xml:space="preserve">河南普惠天成生物制药有限公司   </w:t>
      </w:r>
    </w:p>
    <w:p w14:paraId="57A29588">
      <w:pPr>
        <w:adjustRightInd w:val="0"/>
        <w:snapToGrid w:val="0"/>
        <w:spacing w:line="288" w:lineRule="auto"/>
        <w:rPr>
          <w:rFonts w:hint="eastAsia" w:ascii="仿宋_GB2312" w:eastAsia="仿宋_GB2312"/>
          <w:sz w:val="36"/>
          <w:szCs w:val="36"/>
          <w:u w:val="single"/>
        </w:rPr>
      </w:pPr>
      <w:r>
        <w:rPr>
          <w:rFonts w:hint="eastAsia" w:ascii="仿宋_GB2312" w:eastAsia="仿宋_GB2312"/>
          <w:sz w:val="36"/>
          <w:szCs w:val="36"/>
        </w:rPr>
        <w:t>编制日期：</w:t>
      </w:r>
      <w:r>
        <w:rPr>
          <w:rFonts w:hint="eastAsia" w:ascii="仿宋_GB2312" w:eastAsia="仿宋_GB2312"/>
          <w:sz w:val="36"/>
          <w:szCs w:val="36"/>
          <w:u w:val="single"/>
        </w:rPr>
        <w:t xml:space="preserve"> </w:t>
      </w:r>
      <w:r>
        <w:rPr>
          <w:rFonts w:ascii="仿宋_GB2312" w:eastAsia="仿宋_GB2312"/>
          <w:sz w:val="36"/>
          <w:szCs w:val="36"/>
          <w:u w:val="single"/>
        </w:rPr>
        <w:t xml:space="preserve">    </w:t>
      </w:r>
      <w:r>
        <w:rPr>
          <w:rFonts w:hint="eastAsia" w:ascii="仿宋_GB2312" w:eastAsia="仿宋_GB2312"/>
          <w:sz w:val="36"/>
          <w:szCs w:val="36"/>
          <w:u w:val="single"/>
          <w:lang w:val="en-US" w:eastAsia="zh-CN"/>
        </w:rPr>
        <w:t xml:space="preserve">     </w:t>
      </w:r>
      <w:r>
        <w:rPr>
          <w:rFonts w:hint="eastAsia" w:ascii="仿宋_GB2312" w:eastAsia="仿宋_GB2312"/>
          <w:sz w:val="32"/>
          <w:szCs w:val="32"/>
          <w:u w:val="single"/>
          <w:lang w:val="en-US" w:eastAsia="zh-CN"/>
        </w:rPr>
        <w:t>2025年2月</w:t>
      </w:r>
      <w:r>
        <w:rPr>
          <w:rFonts w:ascii="仿宋_GB2312" w:eastAsia="仿宋_GB2312"/>
          <w:sz w:val="36"/>
          <w:szCs w:val="36"/>
          <w:u w:val="single"/>
        </w:rPr>
        <w:t xml:space="preserve">               </w:t>
      </w:r>
      <w:r>
        <w:rPr>
          <w:rFonts w:hint="eastAsia" w:ascii="仿宋_GB2312" w:eastAsia="仿宋_GB2312"/>
          <w:sz w:val="36"/>
          <w:szCs w:val="36"/>
          <w:u w:val="single"/>
        </w:rPr>
        <w:t xml:space="preserve"> </w:t>
      </w:r>
    </w:p>
    <w:p w14:paraId="2B9756A2">
      <w:pPr>
        <w:adjustRightInd w:val="0"/>
        <w:snapToGrid w:val="0"/>
        <w:spacing w:line="288" w:lineRule="auto"/>
        <w:ind w:firstLine="720"/>
        <w:rPr>
          <w:rFonts w:ascii="仿宋_GB2312" w:eastAsia="仿宋_GB2312"/>
          <w:color w:val="auto"/>
          <w:sz w:val="36"/>
          <w:szCs w:val="36"/>
          <w:u w:val="single"/>
        </w:rPr>
      </w:pPr>
    </w:p>
    <w:p w14:paraId="0B5AD8A7">
      <w:pPr>
        <w:adjustRightInd w:val="0"/>
        <w:snapToGrid w:val="0"/>
        <w:spacing w:line="288" w:lineRule="auto"/>
        <w:ind w:firstLine="720"/>
        <w:rPr>
          <w:rFonts w:ascii="仿宋_GB2312" w:eastAsia="仿宋_GB2312"/>
          <w:color w:val="auto"/>
          <w:sz w:val="36"/>
          <w:szCs w:val="36"/>
        </w:rPr>
      </w:pPr>
    </w:p>
    <w:p w14:paraId="72F22AD7">
      <w:pPr>
        <w:adjustRightInd w:val="0"/>
        <w:snapToGrid w:val="0"/>
        <w:spacing w:line="288" w:lineRule="auto"/>
        <w:ind w:firstLine="720"/>
        <w:rPr>
          <w:rFonts w:ascii="仿宋_GB2312" w:eastAsia="仿宋_GB2312"/>
          <w:color w:val="auto"/>
          <w:sz w:val="36"/>
          <w:szCs w:val="36"/>
        </w:rPr>
      </w:pPr>
    </w:p>
    <w:p w14:paraId="2CDE4A32">
      <w:pPr>
        <w:adjustRightInd w:val="0"/>
        <w:snapToGrid w:val="0"/>
        <w:spacing w:line="288" w:lineRule="auto"/>
        <w:ind w:firstLine="720"/>
        <w:rPr>
          <w:rFonts w:ascii="仿宋_GB2312" w:eastAsia="仿宋_GB2312"/>
          <w:color w:val="auto"/>
          <w:sz w:val="36"/>
          <w:szCs w:val="36"/>
        </w:rPr>
      </w:pPr>
    </w:p>
    <w:p w14:paraId="6DC44F26">
      <w:pPr>
        <w:adjustRightInd w:val="0"/>
        <w:snapToGrid w:val="0"/>
        <w:spacing w:line="288" w:lineRule="auto"/>
        <w:ind w:firstLine="720"/>
        <w:rPr>
          <w:rFonts w:ascii="仿宋_GB2312" w:eastAsia="仿宋_GB2312"/>
          <w:color w:val="auto"/>
          <w:sz w:val="36"/>
          <w:szCs w:val="36"/>
        </w:rPr>
      </w:pPr>
    </w:p>
    <w:bookmarkEnd w:id="0"/>
    <w:p w14:paraId="6566CE20">
      <w:pPr>
        <w:adjustRightInd w:val="0"/>
        <w:snapToGrid w:val="0"/>
        <w:spacing w:line="288" w:lineRule="auto"/>
        <w:ind w:firstLine="0" w:firstLineChars="0"/>
        <w:jc w:val="center"/>
        <w:rPr>
          <w:rFonts w:ascii="楷体_GB2312" w:eastAsia="楷体_GB2312"/>
          <w:color w:val="auto"/>
          <w:sz w:val="36"/>
          <w:szCs w:val="36"/>
        </w:rPr>
      </w:pPr>
      <w:r>
        <w:rPr>
          <w:rFonts w:hint="eastAsia" w:ascii="楷体_GB2312" w:eastAsia="楷体_GB2312"/>
          <w:color w:val="auto"/>
          <w:sz w:val="36"/>
          <w:szCs w:val="36"/>
        </w:rPr>
        <w:t>中华人民共和国生态环境部制</w:t>
      </w:r>
    </w:p>
    <w:p w14:paraId="584D23E0">
      <w:pPr>
        <w:adjustRightInd w:val="0"/>
        <w:snapToGrid w:val="0"/>
        <w:spacing w:line="288" w:lineRule="auto"/>
        <w:ind w:firstLine="720"/>
        <w:rPr>
          <w:rFonts w:ascii="仿宋_GB2312" w:eastAsia="仿宋_GB2312"/>
          <w:color w:val="auto"/>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418" w:right="1418" w:bottom="1418" w:left="1588" w:header="851" w:footer="1077" w:gutter="0"/>
          <w:pgBorders>
            <w:top w:val="none" w:sz="0" w:space="0"/>
            <w:left w:val="none" w:sz="0" w:space="0"/>
            <w:bottom w:val="none" w:sz="0" w:space="0"/>
            <w:right w:val="none" w:sz="0" w:space="0"/>
          </w:pgBorders>
          <w:pgNumType w:start="3"/>
          <w:cols w:space="720" w:num="1"/>
          <w:docGrid w:linePitch="312" w:charSpace="0"/>
        </w:sectPr>
      </w:pPr>
    </w:p>
    <w:p w14:paraId="658EE99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sectPr>
          <w:pgSz w:w="11906" w:h="16838"/>
          <w:pgMar w:top="567" w:right="567" w:bottom="567" w:left="567" w:header="851" w:footer="1077" w:gutter="0"/>
          <w:pgBorders>
            <w:top w:val="none" w:sz="0" w:space="0"/>
            <w:left w:val="none" w:sz="0" w:space="0"/>
            <w:bottom w:val="none" w:sz="0" w:space="0"/>
            <w:right w:val="none" w:sz="0" w:space="0"/>
          </w:pgBorders>
          <w:pgNumType w:start="3"/>
          <w:cols w:space="0" w:num="1"/>
          <w:rtlGutter w:val="0"/>
          <w:docGrid w:linePitch="312" w:charSpace="0"/>
        </w:sectPr>
      </w:pPr>
      <w:r>
        <w:rPr>
          <w:rFonts w:hint="eastAsia" w:eastAsia="宋体"/>
          <w:lang w:eastAsia="zh-CN"/>
        </w:rPr>
        <w:drawing>
          <wp:inline distT="0" distB="0" distL="114300" distR="114300">
            <wp:extent cx="6677025" cy="9448800"/>
            <wp:effectExtent l="0" t="0" r="3175" b="0"/>
            <wp:docPr id="5" name="图片 5" descr="88fcd44665624ff3943ff0be805a1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8fcd44665624ff3943ff0be805a1486(1)"/>
                    <pic:cNvPicPr>
                      <a:picLocks noChangeAspect="1"/>
                    </pic:cNvPicPr>
                  </pic:nvPicPr>
                  <pic:blipFill>
                    <a:blip r:embed="rId14"/>
                    <a:stretch>
                      <a:fillRect/>
                    </a:stretch>
                  </pic:blipFill>
                  <pic:spPr>
                    <a:xfrm>
                      <a:off x="0" y="0"/>
                      <a:ext cx="6677025" cy="9448800"/>
                    </a:xfrm>
                    <a:prstGeom prst="rect">
                      <a:avLst/>
                    </a:prstGeom>
                  </pic:spPr>
                </pic:pic>
              </a:graphicData>
            </a:graphic>
          </wp:inline>
        </w:drawing>
      </w:r>
    </w:p>
    <w:p w14:paraId="585697E2">
      <w:pPr>
        <w:pStyle w:val="19"/>
        <w:sectPr>
          <w:pgSz w:w="16838" w:h="11906" w:orient="landscape"/>
          <w:pgMar w:top="1587" w:right="1418" w:bottom="1417" w:left="1418" w:header="851" w:footer="1077" w:gutter="0"/>
          <w:pgBorders>
            <w:top w:val="none" w:sz="0" w:space="0"/>
            <w:left w:val="none" w:sz="0" w:space="0"/>
            <w:bottom w:val="none" w:sz="0" w:space="0"/>
            <w:right w:val="none" w:sz="0" w:space="0"/>
          </w:pgBorders>
          <w:pgNumType w:start="3"/>
          <w:cols w:space="0" w:num="1"/>
          <w:rtlGutter w:val="0"/>
          <w:docGrid w:linePitch="312" w:charSpace="0"/>
        </w:sectPr>
      </w:pPr>
      <w:r>
        <w:rPr>
          <w:rFonts w:hint="eastAsia" w:eastAsia="宋体"/>
          <w:lang w:eastAsia="zh-CN"/>
        </w:rPr>
        <w:drawing>
          <wp:inline distT="0" distB="0" distL="114300" distR="114300">
            <wp:extent cx="7564120" cy="5745480"/>
            <wp:effectExtent l="0" t="0" r="5080" b="7620"/>
            <wp:docPr id="10" name="图片 10" descr="4983cfa6c1b94f2f86d2db7444995eb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983cfa6c1b94f2f86d2db7444995ebc(1)"/>
                    <pic:cNvPicPr>
                      <a:picLocks noChangeAspect="1"/>
                    </pic:cNvPicPr>
                  </pic:nvPicPr>
                  <pic:blipFill>
                    <a:blip r:embed="rId15"/>
                    <a:srcRect l="17742" t="17494" r="22521" b="18361"/>
                    <a:stretch>
                      <a:fillRect/>
                    </a:stretch>
                  </pic:blipFill>
                  <pic:spPr>
                    <a:xfrm>
                      <a:off x="0" y="0"/>
                      <a:ext cx="7564120" cy="5745480"/>
                    </a:xfrm>
                    <a:prstGeom prst="rect">
                      <a:avLst/>
                    </a:prstGeom>
                  </pic:spPr>
                </pic:pic>
              </a:graphicData>
            </a:graphic>
          </wp:inline>
        </w:drawing>
      </w:r>
    </w:p>
    <w:p w14:paraId="5EF2230C">
      <w:pPr>
        <w:pStyle w:val="19"/>
        <w:sectPr>
          <w:pgSz w:w="16838" w:h="11906" w:orient="landscape"/>
          <w:pgMar w:top="1587" w:right="1418" w:bottom="1417" w:left="1418" w:header="851" w:footer="1077" w:gutter="0"/>
          <w:pgBorders>
            <w:top w:val="none" w:sz="0" w:space="0"/>
            <w:left w:val="none" w:sz="0" w:space="0"/>
            <w:bottom w:val="none" w:sz="0" w:space="0"/>
            <w:right w:val="none" w:sz="0" w:space="0"/>
          </w:pgBorders>
          <w:pgNumType w:start="3"/>
          <w:cols w:space="0" w:num="1"/>
          <w:rtlGutter w:val="0"/>
          <w:docGrid w:linePitch="312" w:charSpace="0"/>
        </w:sectPr>
      </w:pPr>
      <w:r>
        <w:rPr>
          <w:rFonts w:hint="eastAsia" w:eastAsia="宋体"/>
          <w:lang w:eastAsia="zh-CN"/>
        </w:rPr>
        <w:drawing>
          <wp:anchor distT="0" distB="0" distL="114300" distR="114300" simplePos="0" relativeHeight="251660288" behindDoc="0" locked="0" layoutInCell="1" allowOverlap="1">
            <wp:simplePos x="0" y="0"/>
            <wp:positionH relativeFrom="column">
              <wp:posOffset>-610870</wp:posOffset>
            </wp:positionH>
            <wp:positionV relativeFrom="paragraph">
              <wp:posOffset>-800100</wp:posOffset>
            </wp:positionV>
            <wp:extent cx="10086975" cy="7178675"/>
            <wp:effectExtent l="0" t="0" r="9525" b="9525"/>
            <wp:wrapNone/>
            <wp:docPr id="9" name="图片 9" descr="bba1b9ae46f3c8e4132322cb8bc6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ba1b9ae46f3c8e4132322cb8bc6913"/>
                    <pic:cNvPicPr>
                      <a:picLocks noChangeAspect="1"/>
                    </pic:cNvPicPr>
                  </pic:nvPicPr>
                  <pic:blipFill>
                    <a:blip r:embed="rId16"/>
                    <a:stretch>
                      <a:fillRect/>
                    </a:stretch>
                  </pic:blipFill>
                  <pic:spPr>
                    <a:xfrm>
                      <a:off x="0" y="0"/>
                      <a:ext cx="10086975" cy="7178675"/>
                    </a:xfrm>
                    <a:prstGeom prst="rect">
                      <a:avLst/>
                    </a:prstGeom>
                  </pic:spPr>
                </pic:pic>
              </a:graphicData>
            </a:graphic>
          </wp:anchor>
        </w:drawing>
      </w:r>
    </w:p>
    <w:p w14:paraId="0E696050">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eastAsia="宋体"/>
          <w:lang w:eastAsia="zh-CN"/>
        </w:rPr>
        <w:sectPr>
          <w:pgSz w:w="11906" w:h="16838"/>
          <w:pgMar w:top="567" w:right="567" w:bottom="567" w:left="567" w:header="851" w:footer="1077" w:gutter="0"/>
          <w:pgBorders>
            <w:top w:val="none" w:sz="0" w:space="0"/>
            <w:left w:val="none" w:sz="0" w:space="0"/>
            <w:bottom w:val="none" w:sz="0" w:space="0"/>
            <w:right w:val="none" w:sz="0" w:space="0"/>
          </w:pgBorders>
          <w:pgNumType w:start="3"/>
          <w:cols w:space="0" w:num="1"/>
          <w:rtlGutter w:val="0"/>
          <w:docGrid w:linePitch="312" w:charSpace="0"/>
        </w:sectPr>
      </w:pPr>
      <w:r>
        <w:rPr>
          <w:rFonts w:hint="eastAsia" w:eastAsia="宋体"/>
          <w:lang w:eastAsia="zh-CN"/>
        </w:rPr>
        <w:drawing>
          <wp:inline distT="0" distB="0" distL="114300" distR="114300">
            <wp:extent cx="6726555" cy="9506585"/>
            <wp:effectExtent l="0" t="0" r="4445" b="5715"/>
            <wp:docPr id="11" name="图片 11" descr="6659cb436e8862c577daa091f9bd7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659cb436e8862c577daa091f9bd7da"/>
                    <pic:cNvPicPr>
                      <a:picLocks noChangeAspect="1"/>
                    </pic:cNvPicPr>
                  </pic:nvPicPr>
                  <pic:blipFill>
                    <a:blip r:embed="rId17"/>
                    <a:stretch>
                      <a:fillRect/>
                    </a:stretch>
                  </pic:blipFill>
                  <pic:spPr>
                    <a:xfrm>
                      <a:off x="0" y="0"/>
                      <a:ext cx="6726555" cy="9506585"/>
                    </a:xfrm>
                    <a:prstGeom prst="rect">
                      <a:avLst/>
                    </a:prstGeom>
                  </pic:spPr>
                </pic:pic>
              </a:graphicData>
            </a:graphic>
          </wp:inline>
        </w:drawing>
      </w:r>
    </w:p>
    <w:p w14:paraId="581CF452">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eastAsia="宋体"/>
          <w:lang w:eastAsia="zh-CN"/>
        </w:rPr>
        <w:sectPr>
          <w:pgSz w:w="11906" w:h="16838"/>
          <w:pgMar w:top="567" w:right="567" w:bottom="567" w:left="567" w:header="851" w:footer="1077" w:gutter="0"/>
          <w:pgBorders>
            <w:top w:val="none" w:sz="0" w:space="0"/>
            <w:left w:val="none" w:sz="0" w:space="0"/>
            <w:bottom w:val="none" w:sz="0" w:space="0"/>
            <w:right w:val="none" w:sz="0" w:space="0"/>
          </w:pgBorders>
          <w:pgNumType w:start="3"/>
          <w:cols w:space="0" w:num="1"/>
          <w:rtlGutter w:val="0"/>
          <w:docGrid w:linePitch="312" w:charSpace="0"/>
        </w:sectPr>
      </w:pPr>
      <w:r>
        <w:rPr>
          <w:rFonts w:hint="eastAsia" w:eastAsia="宋体"/>
          <w:lang w:eastAsia="zh-CN"/>
        </w:rPr>
        <w:drawing>
          <wp:inline distT="0" distB="0" distL="114300" distR="114300">
            <wp:extent cx="6431915" cy="9067800"/>
            <wp:effectExtent l="0" t="0" r="6985" b="0"/>
            <wp:docPr id="8" name="图片 8" descr="搜狗高速浏览器截图2025022010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搜狗高速浏览器截图20250220100908"/>
                    <pic:cNvPicPr>
                      <a:picLocks noChangeAspect="1"/>
                    </pic:cNvPicPr>
                  </pic:nvPicPr>
                  <pic:blipFill>
                    <a:blip r:embed="rId18"/>
                    <a:stretch>
                      <a:fillRect/>
                    </a:stretch>
                  </pic:blipFill>
                  <pic:spPr>
                    <a:xfrm>
                      <a:off x="0" y="0"/>
                      <a:ext cx="6431915" cy="9067800"/>
                    </a:xfrm>
                    <a:prstGeom prst="rect">
                      <a:avLst/>
                    </a:prstGeom>
                  </pic:spPr>
                </pic:pic>
              </a:graphicData>
            </a:graphic>
          </wp:inline>
        </w:drawing>
      </w:r>
      <w:r>
        <w:rPr>
          <w:rFonts w:hint="eastAsia" w:eastAsia="宋体"/>
          <w:lang w:eastAsia="zh-CN"/>
        </w:rPr>
        <w:drawing>
          <wp:inline distT="0" distB="0" distL="114300" distR="114300">
            <wp:extent cx="6838950" cy="9347200"/>
            <wp:effectExtent l="0" t="0" r="6350" b="0"/>
            <wp:docPr id="7" name="图片 7" descr="搜狗高速浏览器截图2025022010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搜狗高速浏览器截图20250220100919"/>
                    <pic:cNvPicPr>
                      <a:picLocks noChangeAspect="1"/>
                    </pic:cNvPicPr>
                  </pic:nvPicPr>
                  <pic:blipFill>
                    <a:blip r:embed="rId19"/>
                    <a:stretch>
                      <a:fillRect/>
                    </a:stretch>
                  </pic:blipFill>
                  <pic:spPr>
                    <a:xfrm>
                      <a:off x="0" y="0"/>
                      <a:ext cx="6838950" cy="9347200"/>
                    </a:xfrm>
                    <a:prstGeom prst="rect">
                      <a:avLst/>
                    </a:prstGeom>
                  </pic:spPr>
                </pic:pic>
              </a:graphicData>
            </a:graphic>
          </wp:inline>
        </w:drawing>
      </w:r>
    </w:p>
    <w:p w14:paraId="7DF2CF85">
      <w:pPr>
        <w:keepNext w:val="0"/>
        <w:keepLines w:val="0"/>
        <w:pageBreakBefore w:val="0"/>
        <w:widowControl w:val="0"/>
        <w:kinsoku/>
        <w:wordWrap w:val="0"/>
        <w:overflowPunct/>
        <w:topLinePunct w:val="0"/>
        <w:autoSpaceDE/>
        <w:autoSpaceDN/>
        <w:bidi w:val="0"/>
        <w:adjustRightInd/>
        <w:snapToGrid/>
        <w:ind w:firstLine="0" w:firstLineChars="0"/>
        <w:jc w:val="both"/>
        <w:textAlignment w:val="auto"/>
        <w:rPr>
          <w:rFonts w:hint="eastAsia" w:eastAsia="宋体"/>
          <w:lang w:eastAsia="zh-CN"/>
        </w:rPr>
        <w:sectPr>
          <w:pgSz w:w="11906" w:h="16838"/>
          <w:pgMar w:top="567" w:right="567" w:bottom="567" w:left="567" w:header="851" w:footer="1077" w:gutter="0"/>
          <w:pgBorders>
            <w:top w:val="none" w:sz="0" w:space="0"/>
            <w:left w:val="none" w:sz="0" w:space="0"/>
            <w:bottom w:val="none" w:sz="0" w:space="0"/>
            <w:right w:val="none" w:sz="0" w:space="0"/>
          </w:pgBorders>
          <w:pgNumType w:start="3"/>
          <w:cols w:space="0" w:num="1"/>
          <w:rtlGutter w:val="0"/>
          <w:docGrid w:linePitch="312" w:charSpace="0"/>
        </w:sectPr>
      </w:pPr>
      <w:r>
        <w:rPr>
          <w:rFonts w:hint="eastAsia" w:eastAsia="宋体"/>
          <w:lang w:eastAsia="zh-CN"/>
        </w:rPr>
        <w:drawing>
          <wp:inline distT="0" distB="0" distL="114300" distR="114300">
            <wp:extent cx="6630670" cy="9378950"/>
            <wp:effectExtent l="0" t="0" r="11430" b="6350"/>
            <wp:docPr id="1" name="图片 1" descr="ceae1d1430f347adbb565b56ac5d90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eae1d1430f347adbb565b56ac5d90ac(1)"/>
                    <pic:cNvPicPr>
                      <a:picLocks noChangeAspect="1"/>
                    </pic:cNvPicPr>
                  </pic:nvPicPr>
                  <pic:blipFill>
                    <a:blip r:embed="rId20"/>
                    <a:stretch>
                      <a:fillRect/>
                    </a:stretch>
                  </pic:blipFill>
                  <pic:spPr>
                    <a:xfrm>
                      <a:off x="0" y="0"/>
                      <a:ext cx="6630670" cy="9378950"/>
                    </a:xfrm>
                    <a:prstGeom prst="rect">
                      <a:avLst/>
                    </a:prstGeom>
                  </pic:spPr>
                </pic:pic>
              </a:graphicData>
            </a:graphic>
          </wp:inline>
        </w:drawing>
      </w:r>
      <w:r>
        <w:rPr>
          <w:rFonts w:hint="eastAsia" w:eastAsia="宋体"/>
          <w:lang w:eastAsia="zh-CN"/>
        </w:rPr>
        <w:drawing>
          <wp:inline distT="0" distB="0" distL="114300" distR="114300">
            <wp:extent cx="6634480" cy="9389110"/>
            <wp:effectExtent l="0" t="0" r="7620" b="8890"/>
            <wp:docPr id="4" name="图片 4" descr="f3b9c8230a954cff832b72a1c8d576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3b9c8230a954cff832b72a1c8d576de(1)"/>
                    <pic:cNvPicPr>
                      <a:picLocks noChangeAspect="1"/>
                    </pic:cNvPicPr>
                  </pic:nvPicPr>
                  <pic:blipFill>
                    <a:blip r:embed="rId21"/>
                    <a:stretch>
                      <a:fillRect/>
                    </a:stretch>
                  </pic:blipFill>
                  <pic:spPr>
                    <a:xfrm>
                      <a:off x="0" y="0"/>
                      <a:ext cx="6634480" cy="9389110"/>
                    </a:xfrm>
                    <a:prstGeom prst="rect">
                      <a:avLst/>
                    </a:prstGeom>
                  </pic:spPr>
                </pic:pic>
              </a:graphicData>
            </a:graphic>
          </wp:inline>
        </w:drawing>
      </w:r>
      <w:r>
        <w:rPr>
          <w:rFonts w:hint="eastAsia" w:eastAsia="宋体"/>
          <w:lang w:eastAsia="zh-CN"/>
        </w:rPr>
        <w:drawing>
          <wp:inline distT="0" distB="0" distL="114300" distR="114300">
            <wp:extent cx="6718935" cy="9502775"/>
            <wp:effectExtent l="0" t="0" r="12065" b="9525"/>
            <wp:docPr id="2" name="图片 2" descr="536548e748904986bdf861ccb76c4b8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36548e748904986bdf861ccb76c4b8b(1)"/>
                    <pic:cNvPicPr>
                      <a:picLocks noChangeAspect="1"/>
                    </pic:cNvPicPr>
                  </pic:nvPicPr>
                  <pic:blipFill>
                    <a:blip r:embed="rId22"/>
                    <a:stretch>
                      <a:fillRect/>
                    </a:stretch>
                  </pic:blipFill>
                  <pic:spPr>
                    <a:xfrm>
                      <a:off x="0" y="0"/>
                      <a:ext cx="6718935" cy="9502775"/>
                    </a:xfrm>
                    <a:prstGeom prst="rect">
                      <a:avLst/>
                    </a:prstGeom>
                  </pic:spPr>
                </pic:pic>
              </a:graphicData>
            </a:graphic>
          </wp:inline>
        </w:drawing>
      </w:r>
    </w:p>
    <w:p w14:paraId="5AD3C5CA">
      <w:pPr>
        <w:keepNext w:val="0"/>
        <w:keepLines w:val="0"/>
        <w:pageBreakBefore w:val="0"/>
        <w:widowControl w:val="0"/>
        <w:kinsoku/>
        <w:wordWrap w:val="0"/>
        <w:overflowPunct/>
        <w:topLinePunct w:val="0"/>
        <w:autoSpaceDE/>
        <w:autoSpaceDN/>
        <w:bidi w:val="0"/>
        <w:adjustRightInd/>
        <w:snapToGrid/>
        <w:ind w:firstLine="0" w:firstLineChars="0"/>
        <w:jc w:val="center"/>
        <w:textAlignment w:val="auto"/>
        <w:rPr>
          <w:rFonts w:hint="eastAsia" w:eastAsia="宋体"/>
          <w:lang w:eastAsia="zh-CN"/>
        </w:rPr>
        <w:sectPr>
          <w:pgSz w:w="11906" w:h="16838"/>
          <w:pgMar w:top="567" w:right="567" w:bottom="567" w:left="567" w:header="851" w:footer="1077" w:gutter="0"/>
          <w:pgBorders>
            <w:top w:val="none" w:sz="0" w:space="0"/>
            <w:left w:val="none" w:sz="0" w:space="0"/>
            <w:bottom w:val="none" w:sz="0" w:space="0"/>
            <w:right w:val="none" w:sz="0" w:space="0"/>
          </w:pgBorders>
          <w:pgNumType w:start="3"/>
          <w:cols w:space="0" w:num="1"/>
          <w:rtlGutter w:val="0"/>
          <w:docGrid w:linePitch="312" w:charSpace="0"/>
        </w:sectPr>
      </w:pPr>
      <w:r>
        <w:rPr>
          <w:rFonts w:hint="eastAsia" w:eastAsia="宋体"/>
          <w:lang w:eastAsia="zh-CN"/>
        </w:rPr>
        <w:drawing>
          <wp:inline distT="0" distB="0" distL="114300" distR="114300">
            <wp:extent cx="6713855" cy="9500870"/>
            <wp:effectExtent l="0" t="0" r="4445" b="11430"/>
            <wp:docPr id="6" name="图片 6" descr="2c2434d68ec44a3aa215c94cec24881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c2434d68ec44a3aa215c94cec24881b(1)"/>
                    <pic:cNvPicPr>
                      <a:picLocks noChangeAspect="1"/>
                    </pic:cNvPicPr>
                  </pic:nvPicPr>
                  <pic:blipFill>
                    <a:blip r:embed="rId23"/>
                    <a:stretch>
                      <a:fillRect/>
                    </a:stretch>
                  </pic:blipFill>
                  <pic:spPr>
                    <a:xfrm>
                      <a:off x="0" y="0"/>
                      <a:ext cx="6713855" cy="9500870"/>
                    </a:xfrm>
                    <a:prstGeom prst="rect">
                      <a:avLst/>
                    </a:prstGeom>
                  </pic:spPr>
                </pic:pic>
              </a:graphicData>
            </a:graphic>
          </wp:inline>
        </w:drawing>
      </w:r>
    </w:p>
    <w:p w14:paraId="7D7518DE">
      <w:pPr>
        <w:pStyle w:val="19"/>
        <w:keepNext w:val="0"/>
        <w:keepLines w:val="0"/>
        <w:pageBreakBefore w:val="0"/>
        <w:widowControl w:val="0"/>
        <w:kinsoku/>
        <w:wordWrap w:val="0"/>
        <w:overflowPunct/>
        <w:topLinePunct w:val="0"/>
        <w:autoSpaceDE/>
        <w:autoSpaceDN/>
        <w:bidi w:val="0"/>
        <w:adjustRightInd/>
        <w:snapToGrid/>
        <w:spacing w:after="0"/>
        <w:ind w:left="0" w:leftChars="0" w:firstLine="0" w:firstLineChars="0"/>
        <w:jc w:val="center"/>
        <w:textAlignment w:val="auto"/>
        <w:rPr>
          <w:rFonts w:hint="eastAsia" w:eastAsia="宋体"/>
          <w:sz w:val="32"/>
          <w:szCs w:val="32"/>
          <w:lang w:val="en-US" w:eastAsia="zh-CN"/>
        </w:rPr>
      </w:pPr>
      <w:r>
        <w:rPr>
          <w:rFonts w:hint="eastAsia"/>
          <w:sz w:val="32"/>
          <w:szCs w:val="32"/>
          <w:lang w:val="en-US" w:eastAsia="zh-CN"/>
        </w:rPr>
        <w:t>目录</w:t>
      </w:r>
    </w:p>
    <w:p w14:paraId="7B5EBEC4">
      <w:pPr>
        <w:pStyle w:val="15"/>
        <w:tabs>
          <w:tab w:val="right" w:leader="dot" w:pos="8900"/>
        </w:tabs>
        <w:rPr>
          <w:sz w:val="28"/>
          <w:szCs w:val="28"/>
        </w:rPr>
      </w:pPr>
      <w:r>
        <w:rPr>
          <w:sz w:val="28"/>
          <w:szCs w:val="28"/>
        </w:rPr>
        <w:fldChar w:fldCharType="begin"/>
      </w:r>
      <w:r>
        <w:rPr>
          <w:sz w:val="28"/>
          <w:szCs w:val="28"/>
        </w:rPr>
        <w:instrText xml:space="preserve">TOC \o "1-1" \h \u </w:instrText>
      </w:r>
      <w:r>
        <w:rPr>
          <w:sz w:val="28"/>
          <w:szCs w:val="28"/>
        </w:rPr>
        <w:fldChar w:fldCharType="separate"/>
      </w:r>
      <w:r>
        <w:rPr>
          <w:sz w:val="28"/>
          <w:szCs w:val="28"/>
        </w:rPr>
        <w:fldChar w:fldCharType="begin"/>
      </w:r>
      <w:r>
        <w:rPr>
          <w:sz w:val="28"/>
          <w:szCs w:val="28"/>
        </w:rPr>
        <w:instrText xml:space="preserve"> HYPERLINK \l _Toc8865 </w:instrText>
      </w:r>
      <w:r>
        <w:rPr>
          <w:sz w:val="28"/>
          <w:szCs w:val="28"/>
        </w:rPr>
        <w:fldChar w:fldCharType="separate"/>
      </w:r>
      <w:r>
        <w:rPr>
          <w:rFonts w:hint="eastAsia"/>
          <w:snapToGrid w:val="0"/>
          <w:sz w:val="28"/>
          <w:szCs w:val="28"/>
        </w:rPr>
        <w:t>一、建设项目基本情况</w:t>
      </w:r>
      <w:r>
        <w:rPr>
          <w:sz w:val="28"/>
          <w:szCs w:val="28"/>
        </w:rPr>
        <w:tab/>
      </w:r>
      <w:r>
        <w:rPr>
          <w:sz w:val="28"/>
          <w:szCs w:val="28"/>
        </w:rPr>
        <w:fldChar w:fldCharType="begin"/>
      </w:r>
      <w:r>
        <w:rPr>
          <w:sz w:val="28"/>
          <w:szCs w:val="28"/>
        </w:rPr>
        <w:instrText xml:space="preserve"> PAGEREF _Toc8865 \h </w:instrText>
      </w:r>
      <w:r>
        <w:rPr>
          <w:sz w:val="28"/>
          <w:szCs w:val="28"/>
        </w:rPr>
        <w:fldChar w:fldCharType="separate"/>
      </w:r>
      <w:r>
        <w:rPr>
          <w:sz w:val="28"/>
          <w:szCs w:val="28"/>
        </w:rPr>
        <w:t>1</w:t>
      </w:r>
      <w:r>
        <w:rPr>
          <w:sz w:val="28"/>
          <w:szCs w:val="28"/>
        </w:rPr>
        <w:fldChar w:fldCharType="end"/>
      </w:r>
      <w:r>
        <w:rPr>
          <w:sz w:val="28"/>
          <w:szCs w:val="28"/>
        </w:rPr>
        <w:fldChar w:fldCharType="end"/>
      </w:r>
    </w:p>
    <w:p w14:paraId="67AB1019">
      <w:pPr>
        <w:pStyle w:val="15"/>
        <w:tabs>
          <w:tab w:val="right" w:leader="dot" w:pos="8900"/>
        </w:tabs>
        <w:rPr>
          <w:sz w:val="28"/>
          <w:szCs w:val="28"/>
        </w:rPr>
      </w:pPr>
      <w:r>
        <w:rPr>
          <w:sz w:val="28"/>
          <w:szCs w:val="28"/>
        </w:rPr>
        <w:fldChar w:fldCharType="begin"/>
      </w:r>
      <w:r>
        <w:rPr>
          <w:sz w:val="28"/>
          <w:szCs w:val="28"/>
        </w:rPr>
        <w:instrText xml:space="preserve"> HYPERLINK \l _Toc867 </w:instrText>
      </w:r>
      <w:r>
        <w:rPr>
          <w:sz w:val="28"/>
          <w:szCs w:val="28"/>
        </w:rPr>
        <w:fldChar w:fldCharType="separate"/>
      </w:r>
      <w:r>
        <w:rPr>
          <w:rFonts w:hint="eastAsia"/>
          <w:snapToGrid w:val="0"/>
          <w:sz w:val="28"/>
          <w:szCs w:val="28"/>
        </w:rPr>
        <w:t>二、建设项目工程分析</w:t>
      </w:r>
      <w:r>
        <w:rPr>
          <w:sz w:val="28"/>
          <w:szCs w:val="28"/>
        </w:rPr>
        <w:tab/>
      </w:r>
      <w:r>
        <w:rPr>
          <w:sz w:val="28"/>
          <w:szCs w:val="28"/>
        </w:rPr>
        <w:fldChar w:fldCharType="begin"/>
      </w:r>
      <w:r>
        <w:rPr>
          <w:sz w:val="28"/>
          <w:szCs w:val="28"/>
        </w:rPr>
        <w:instrText xml:space="preserve"> PAGEREF _Toc867 \h </w:instrText>
      </w:r>
      <w:r>
        <w:rPr>
          <w:sz w:val="28"/>
          <w:szCs w:val="28"/>
        </w:rPr>
        <w:fldChar w:fldCharType="separate"/>
      </w:r>
      <w:r>
        <w:rPr>
          <w:sz w:val="28"/>
          <w:szCs w:val="28"/>
        </w:rPr>
        <w:t>22</w:t>
      </w:r>
      <w:r>
        <w:rPr>
          <w:sz w:val="28"/>
          <w:szCs w:val="28"/>
        </w:rPr>
        <w:fldChar w:fldCharType="end"/>
      </w:r>
      <w:r>
        <w:rPr>
          <w:sz w:val="28"/>
          <w:szCs w:val="28"/>
        </w:rPr>
        <w:fldChar w:fldCharType="end"/>
      </w:r>
    </w:p>
    <w:p w14:paraId="1F650633">
      <w:pPr>
        <w:pStyle w:val="15"/>
        <w:tabs>
          <w:tab w:val="right" w:leader="dot" w:pos="8900"/>
        </w:tabs>
        <w:rPr>
          <w:sz w:val="28"/>
          <w:szCs w:val="28"/>
        </w:rPr>
      </w:pPr>
      <w:r>
        <w:rPr>
          <w:sz w:val="28"/>
          <w:szCs w:val="28"/>
        </w:rPr>
        <w:fldChar w:fldCharType="begin"/>
      </w:r>
      <w:r>
        <w:rPr>
          <w:sz w:val="28"/>
          <w:szCs w:val="28"/>
        </w:rPr>
        <w:instrText xml:space="preserve"> HYPERLINK \l _Toc16578 </w:instrText>
      </w:r>
      <w:r>
        <w:rPr>
          <w:sz w:val="28"/>
          <w:szCs w:val="28"/>
        </w:rPr>
        <w:fldChar w:fldCharType="separate"/>
      </w:r>
      <w:r>
        <w:rPr>
          <w:rFonts w:hint="eastAsia"/>
          <w:snapToGrid w:val="0"/>
          <w:sz w:val="28"/>
          <w:szCs w:val="28"/>
        </w:rPr>
        <w:t>三、区域环境质量现状、环境保护目标及评价标准</w:t>
      </w:r>
      <w:r>
        <w:rPr>
          <w:sz w:val="28"/>
          <w:szCs w:val="28"/>
        </w:rPr>
        <w:tab/>
      </w:r>
      <w:r>
        <w:rPr>
          <w:sz w:val="28"/>
          <w:szCs w:val="28"/>
        </w:rPr>
        <w:fldChar w:fldCharType="begin"/>
      </w:r>
      <w:r>
        <w:rPr>
          <w:sz w:val="28"/>
          <w:szCs w:val="28"/>
        </w:rPr>
        <w:instrText xml:space="preserve"> PAGEREF _Toc16578 \h </w:instrText>
      </w:r>
      <w:r>
        <w:rPr>
          <w:sz w:val="28"/>
          <w:szCs w:val="28"/>
        </w:rPr>
        <w:fldChar w:fldCharType="separate"/>
      </w:r>
      <w:r>
        <w:rPr>
          <w:sz w:val="28"/>
          <w:szCs w:val="28"/>
        </w:rPr>
        <w:t>61</w:t>
      </w:r>
      <w:r>
        <w:rPr>
          <w:sz w:val="28"/>
          <w:szCs w:val="28"/>
        </w:rPr>
        <w:fldChar w:fldCharType="end"/>
      </w:r>
      <w:r>
        <w:rPr>
          <w:sz w:val="28"/>
          <w:szCs w:val="28"/>
        </w:rPr>
        <w:fldChar w:fldCharType="end"/>
      </w:r>
    </w:p>
    <w:p w14:paraId="1B38C0D2">
      <w:pPr>
        <w:pStyle w:val="15"/>
        <w:tabs>
          <w:tab w:val="right" w:leader="dot" w:pos="8900"/>
        </w:tabs>
        <w:rPr>
          <w:sz w:val="28"/>
          <w:szCs w:val="28"/>
        </w:rPr>
      </w:pPr>
      <w:r>
        <w:rPr>
          <w:sz w:val="28"/>
          <w:szCs w:val="28"/>
        </w:rPr>
        <w:fldChar w:fldCharType="begin"/>
      </w:r>
      <w:r>
        <w:rPr>
          <w:sz w:val="28"/>
          <w:szCs w:val="28"/>
        </w:rPr>
        <w:instrText xml:space="preserve"> HYPERLINK \l _Toc23841 </w:instrText>
      </w:r>
      <w:r>
        <w:rPr>
          <w:sz w:val="28"/>
          <w:szCs w:val="28"/>
        </w:rPr>
        <w:fldChar w:fldCharType="separate"/>
      </w:r>
      <w:r>
        <w:rPr>
          <w:rFonts w:hint="eastAsia"/>
          <w:snapToGrid w:val="0"/>
          <w:sz w:val="28"/>
          <w:szCs w:val="28"/>
        </w:rPr>
        <w:t>四、 主要环境影响和保护措施</w:t>
      </w:r>
      <w:r>
        <w:rPr>
          <w:sz w:val="28"/>
          <w:szCs w:val="28"/>
        </w:rPr>
        <w:tab/>
      </w:r>
      <w:r>
        <w:rPr>
          <w:sz w:val="28"/>
          <w:szCs w:val="28"/>
        </w:rPr>
        <w:fldChar w:fldCharType="begin"/>
      </w:r>
      <w:r>
        <w:rPr>
          <w:sz w:val="28"/>
          <w:szCs w:val="28"/>
        </w:rPr>
        <w:instrText xml:space="preserve"> PAGEREF _Toc23841 \h </w:instrText>
      </w:r>
      <w:r>
        <w:rPr>
          <w:sz w:val="28"/>
          <w:szCs w:val="28"/>
        </w:rPr>
        <w:fldChar w:fldCharType="separate"/>
      </w:r>
      <w:r>
        <w:rPr>
          <w:sz w:val="28"/>
          <w:szCs w:val="28"/>
        </w:rPr>
        <w:t>67</w:t>
      </w:r>
      <w:r>
        <w:rPr>
          <w:sz w:val="28"/>
          <w:szCs w:val="28"/>
        </w:rPr>
        <w:fldChar w:fldCharType="end"/>
      </w:r>
      <w:r>
        <w:rPr>
          <w:sz w:val="28"/>
          <w:szCs w:val="28"/>
        </w:rPr>
        <w:fldChar w:fldCharType="end"/>
      </w:r>
    </w:p>
    <w:p w14:paraId="7188956B">
      <w:pPr>
        <w:pStyle w:val="15"/>
        <w:tabs>
          <w:tab w:val="right" w:leader="dot" w:pos="8900"/>
        </w:tabs>
        <w:rPr>
          <w:sz w:val="28"/>
          <w:szCs w:val="28"/>
        </w:rPr>
      </w:pPr>
      <w:r>
        <w:rPr>
          <w:sz w:val="28"/>
          <w:szCs w:val="28"/>
        </w:rPr>
        <w:fldChar w:fldCharType="begin"/>
      </w:r>
      <w:r>
        <w:rPr>
          <w:sz w:val="28"/>
          <w:szCs w:val="28"/>
        </w:rPr>
        <w:instrText xml:space="preserve"> HYPERLINK \l _Toc28733 </w:instrText>
      </w:r>
      <w:r>
        <w:rPr>
          <w:sz w:val="28"/>
          <w:szCs w:val="28"/>
        </w:rPr>
        <w:fldChar w:fldCharType="separate"/>
      </w:r>
      <w:r>
        <w:rPr>
          <w:rFonts w:hint="eastAsia"/>
          <w:bCs w:val="0"/>
          <w:snapToGrid w:val="0"/>
          <w:sz w:val="28"/>
          <w:szCs w:val="28"/>
        </w:rPr>
        <w:t>五、环境保护措施监督检查清单</w:t>
      </w:r>
      <w:r>
        <w:rPr>
          <w:sz w:val="28"/>
          <w:szCs w:val="28"/>
        </w:rPr>
        <w:tab/>
      </w:r>
      <w:r>
        <w:rPr>
          <w:sz w:val="28"/>
          <w:szCs w:val="28"/>
        </w:rPr>
        <w:fldChar w:fldCharType="begin"/>
      </w:r>
      <w:r>
        <w:rPr>
          <w:sz w:val="28"/>
          <w:szCs w:val="28"/>
        </w:rPr>
        <w:instrText xml:space="preserve"> PAGEREF _Toc28733 \h </w:instrText>
      </w:r>
      <w:r>
        <w:rPr>
          <w:sz w:val="28"/>
          <w:szCs w:val="28"/>
        </w:rPr>
        <w:fldChar w:fldCharType="separate"/>
      </w:r>
      <w:r>
        <w:rPr>
          <w:sz w:val="28"/>
          <w:szCs w:val="28"/>
        </w:rPr>
        <w:t>116</w:t>
      </w:r>
      <w:r>
        <w:rPr>
          <w:sz w:val="28"/>
          <w:szCs w:val="28"/>
        </w:rPr>
        <w:fldChar w:fldCharType="end"/>
      </w:r>
      <w:r>
        <w:rPr>
          <w:sz w:val="28"/>
          <w:szCs w:val="28"/>
        </w:rPr>
        <w:fldChar w:fldCharType="end"/>
      </w:r>
    </w:p>
    <w:p w14:paraId="3DDA963B">
      <w:pPr>
        <w:pStyle w:val="15"/>
        <w:tabs>
          <w:tab w:val="right" w:leader="dot" w:pos="8900"/>
        </w:tabs>
        <w:rPr>
          <w:sz w:val="28"/>
          <w:szCs w:val="28"/>
        </w:rPr>
      </w:pPr>
      <w:r>
        <w:rPr>
          <w:sz w:val="28"/>
          <w:szCs w:val="28"/>
        </w:rPr>
        <w:fldChar w:fldCharType="begin"/>
      </w:r>
      <w:r>
        <w:rPr>
          <w:sz w:val="28"/>
          <w:szCs w:val="28"/>
        </w:rPr>
        <w:instrText xml:space="preserve"> HYPERLINK \l _Toc3380 </w:instrText>
      </w:r>
      <w:r>
        <w:rPr>
          <w:sz w:val="28"/>
          <w:szCs w:val="28"/>
        </w:rPr>
        <w:fldChar w:fldCharType="separate"/>
      </w:r>
      <w:r>
        <w:rPr>
          <w:rFonts w:hint="eastAsia"/>
          <w:snapToGrid w:val="0"/>
          <w:sz w:val="28"/>
          <w:szCs w:val="28"/>
        </w:rPr>
        <w:t>六、结论</w:t>
      </w:r>
      <w:r>
        <w:rPr>
          <w:sz w:val="28"/>
          <w:szCs w:val="28"/>
        </w:rPr>
        <w:tab/>
      </w:r>
      <w:r>
        <w:rPr>
          <w:sz w:val="28"/>
          <w:szCs w:val="28"/>
        </w:rPr>
        <w:fldChar w:fldCharType="begin"/>
      </w:r>
      <w:r>
        <w:rPr>
          <w:sz w:val="28"/>
          <w:szCs w:val="28"/>
        </w:rPr>
        <w:instrText xml:space="preserve"> PAGEREF _Toc3380 \h </w:instrText>
      </w:r>
      <w:r>
        <w:rPr>
          <w:sz w:val="28"/>
          <w:szCs w:val="28"/>
        </w:rPr>
        <w:fldChar w:fldCharType="separate"/>
      </w:r>
      <w:r>
        <w:rPr>
          <w:sz w:val="28"/>
          <w:szCs w:val="28"/>
        </w:rPr>
        <w:t>119</w:t>
      </w:r>
      <w:r>
        <w:rPr>
          <w:sz w:val="28"/>
          <w:szCs w:val="28"/>
        </w:rPr>
        <w:fldChar w:fldCharType="end"/>
      </w:r>
      <w:r>
        <w:rPr>
          <w:sz w:val="28"/>
          <w:szCs w:val="28"/>
        </w:rPr>
        <w:fldChar w:fldCharType="end"/>
      </w:r>
    </w:p>
    <w:p w14:paraId="2A8B64AB">
      <w:pPr>
        <w:pStyle w:val="15"/>
        <w:tabs>
          <w:tab w:val="right" w:leader="dot" w:pos="8900"/>
        </w:tabs>
        <w:rPr>
          <w:sz w:val="28"/>
          <w:szCs w:val="28"/>
        </w:rPr>
      </w:pPr>
      <w:r>
        <w:rPr>
          <w:sz w:val="28"/>
          <w:szCs w:val="28"/>
        </w:rPr>
        <w:fldChar w:fldCharType="begin"/>
      </w:r>
      <w:r>
        <w:rPr>
          <w:sz w:val="28"/>
          <w:szCs w:val="28"/>
        </w:rPr>
        <w:instrText xml:space="preserve"> HYPERLINK \l _Toc18078 </w:instrText>
      </w:r>
      <w:r>
        <w:rPr>
          <w:sz w:val="28"/>
          <w:szCs w:val="28"/>
        </w:rPr>
        <w:fldChar w:fldCharType="separate"/>
      </w:r>
      <w:r>
        <w:rPr>
          <w:rFonts w:hint="eastAsia"/>
          <w:snapToGrid w:val="0"/>
          <w:sz w:val="28"/>
          <w:szCs w:val="28"/>
        </w:rPr>
        <w:t>建设项目污染物排放量汇总表</w:t>
      </w:r>
      <w:r>
        <w:rPr>
          <w:sz w:val="28"/>
          <w:szCs w:val="28"/>
        </w:rPr>
        <w:tab/>
      </w:r>
      <w:r>
        <w:rPr>
          <w:sz w:val="28"/>
          <w:szCs w:val="28"/>
        </w:rPr>
        <w:fldChar w:fldCharType="begin"/>
      </w:r>
      <w:r>
        <w:rPr>
          <w:sz w:val="28"/>
          <w:szCs w:val="28"/>
        </w:rPr>
        <w:instrText xml:space="preserve"> PAGEREF _Toc18078 \h </w:instrText>
      </w:r>
      <w:r>
        <w:rPr>
          <w:sz w:val="28"/>
          <w:szCs w:val="28"/>
        </w:rPr>
        <w:fldChar w:fldCharType="separate"/>
      </w:r>
      <w:r>
        <w:rPr>
          <w:sz w:val="28"/>
          <w:szCs w:val="28"/>
        </w:rPr>
        <w:t>120</w:t>
      </w:r>
      <w:r>
        <w:rPr>
          <w:sz w:val="28"/>
          <w:szCs w:val="28"/>
        </w:rPr>
        <w:fldChar w:fldCharType="end"/>
      </w:r>
      <w:r>
        <w:rPr>
          <w:sz w:val="28"/>
          <w:szCs w:val="28"/>
        </w:rPr>
        <w:fldChar w:fldCharType="end"/>
      </w:r>
    </w:p>
    <w:p w14:paraId="38EAD247">
      <w:r>
        <w:rPr>
          <w:sz w:val="28"/>
          <w:szCs w:val="28"/>
        </w:rPr>
        <w:fldChar w:fldCharType="end"/>
      </w:r>
    </w:p>
    <w:p w14:paraId="00CFB2F7">
      <w:pPr>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附图</w:t>
      </w:r>
    </w:p>
    <w:p w14:paraId="75055198">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default" w:ascii="Times New Roman" w:hAnsi="Times New Roman" w:eastAsia="宋体" w:cs="Times New Roman"/>
          <w:b w:val="0"/>
          <w:bCs w:val="0"/>
          <w:sz w:val="28"/>
          <w:szCs w:val="28"/>
          <w:lang w:val="en-US" w:eastAsia="zh-CN"/>
        </w:rPr>
      </w:pPr>
      <w:r>
        <w:rPr>
          <w:rFonts w:hint="default" w:ascii="Times New Roman" w:hAnsi="Times New Roman" w:eastAsia="宋体" w:cs="Times New Roman"/>
          <w:b w:val="0"/>
          <w:bCs w:val="0"/>
          <w:sz w:val="28"/>
          <w:szCs w:val="28"/>
          <w:lang w:val="en-US" w:eastAsia="zh-CN"/>
        </w:rPr>
        <w:t>附图1  项目地理位置图</w:t>
      </w:r>
    </w:p>
    <w:p w14:paraId="291070B3">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default" w:ascii="Times New Roman" w:hAnsi="Times New Roman" w:eastAsia="宋体" w:cs="Times New Roman"/>
          <w:b w:val="0"/>
          <w:bCs w:val="0"/>
          <w:sz w:val="28"/>
          <w:szCs w:val="28"/>
          <w:lang w:val="en-US" w:eastAsia="zh-CN"/>
        </w:rPr>
      </w:pPr>
      <w:r>
        <w:rPr>
          <w:rFonts w:hint="default" w:ascii="Times New Roman" w:hAnsi="Times New Roman" w:eastAsia="宋体" w:cs="Times New Roman"/>
          <w:b w:val="0"/>
          <w:bCs w:val="0"/>
          <w:sz w:val="28"/>
          <w:szCs w:val="28"/>
          <w:lang w:val="en-US" w:eastAsia="zh-CN"/>
        </w:rPr>
        <w:t>附图</w:t>
      </w:r>
      <w:r>
        <w:rPr>
          <w:rFonts w:hint="eastAsia" w:ascii="Times New Roman" w:hAnsi="Times New Roman" w:eastAsia="宋体" w:cs="Times New Roman"/>
          <w:b w:val="0"/>
          <w:bCs w:val="0"/>
          <w:sz w:val="28"/>
          <w:szCs w:val="28"/>
          <w:lang w:val="en-US" w:eastAsia="zh-CN"/>
        </w:rPr>
        <w:t>2</w:t>
      </w:r>
      <w:r>
        <w:rPr>
          <w:rFonts w:hint="default" w:ascii="Times New Roman" w:hAnsi="Times New Roman" w:eastAsia="宋体" w:cs="Times New Roman"/>
          <w:b w:val="0"/>
          <w:bCs w:val="0"/>
          <w:sz w:val="28"/>
          <w:szCs w:val="28"/>
          <w:lang w:val="en-US" w:eastAsia="zh-CN"/>
        </w:rPr>
        <w:t xml:space="preserve">  </w:t>
      </w:r>
      <w:r>
        <w:rPr>
          <w:rFonts w:hint="eastAsia" w:ascii="Times New Roman" w:hAnsi="Times New Roman" w:eastAsia="宋体" w:cs="Times New Roman"/>
          <w:b w:val="0"/>
          <w:bCs w:val="0"/>
          <w:sz w:val="28"/>
          <w:szCs w:val="28"/>
          <w:lang w:val="en-US" w:eastAsia="zh-CN"/>
        </w:rPr>
        <w:t>项目在南乐县先进制造业开发区总体发展规划（2022-2035年）总平面布局图中的位置</w:t>
      </w:r>
    </w:p>
    <w:p w14:paraId="79EEA361">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default" w:ascii="Times New Roman" w:hAnsi="Times New Roman" w:eastAsia="宋体" w:cs="Times New Roman"/>
          <w:b w:val="0"/>
          <w:bCs w:val="0"/>
          <w:sz w:val="28"/>
          <w:szCs w:val="28"/>
          <w:lang w:val="en-US" w:eastAsia="zh-CN"/>
        </w:rPr>
      </w:pPr>
      <w:r>
        <w:rPr>
          <w:rFonts w:hint="default" w:ascii="Times New Roman" w:hAnsi="Times New Roman" w:eastAsia="宋体" w:cs="Times New Roman"/>
          <w:b w:val="0"/>
          <w:bCs w:val="0"/>
          <w:sz w:val="28"/>
          <w:szCs w:val="28"/>
          <w:lang w:val="en-US" w:eastAsia="zh-CN"/>
        </w:rPr>
        <w:t>附图</w:t>
      </w:r>
      <w:r>
        <w:rPr>
          <w:rFonts w:hint="eastAsia" w:ascii="Times New Roman" w:hAnsi="Times New Roman" w:eastAsia="宋体" w:cs="Times New Roman"/>
          <w:b w:val="0"/>
          <w:bCs w:val="0"/>
          <w:sz w:val="28"/>
          <w:szCs w:val="28"/>
          <w:lang w:val="en-US" w:eastAsia="zh-CN"/>
        </w:rPr>
        <w:t>3</w:t>
      </w:r>
      <w:r>
        <w:rPr>
          <w:rFonts w:hint="default" w:ascii="Times New Roman" w:hAnsi="Times New Roman" w:eastAsia="宋体" w:cs="Times New Roman"/>
          <w:b w:val="0"/>
          <w:bCs w:val="0"/>
          <w:sz w:val="28"/>
          <w:szCs w:val="28"/>
          <w:lang w:val="en-US" w:eastAsia="zh-CN"/>
        </w:rPr>
        <w:t xml:space="preserve">  </w:t>
      </w:r>
      <w:r>
        <w:rPr>
          <w:rFonts w:hint="eastAsia" w:ascii="Times New Roman" w:hAnsi="Times New Roman" w:eastAsia="宋体" w:cs="Times New Roman"/>
          <w:b w:val="0"/>
          <w:bCs w:val="0"/>
          <w:sz w:val="28"/>
          <w:szCs w:val="28"/>
          <w:lang w:val="en-US" w:eastAsia="zh-CN"/>
        </w:rPr>
        <w:t>河南省“三线一单”综合信息应用平台研判分析</w:t>
      </w:r>
    </w:p>
    <w:p w14:paraId="6BDD2D32">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default" w:ascii="Times New Roman" w:hAnsi="Times New Roman" w:eastAsia="宋体" w:cs="Times New Roman"/>
          <w:b w:val="0"/>
          <w:bCs w:val="0"/>
          <w:sz w:val="28"/>
          <w:szCs w:val="28"/>
          <w:lang w:val="en-US" w:eastAsia="zh-CN"/>
        </w:rPr>
      </w:pPr>
      <w:r>
        <w:rPr>
          <w:rFonts w:hint="default" w:ascii="Times New Roman" w:hAnsi="Times New Roman" w:eastAsia="宋体" w:cs="Times New Roman"/>
          <w:b w:val="0"/>
          <w:bCs w:val="0"/>
          <w:sz w:val="28"/>
          <w:szCs w:val="28"/>
          <w:lang w:val="en-US" w:eastAsia="zh-CN"/>
        </w:rPr>
        <w:t>附图</w:t>
      </w:r>
      <w:r>
        <w:rPr>
          <w:rFonts w:hint="eastAsia" w:ascii="Times New Roman" w:hAnsi="Times New Roman" w:eastAsia="宋体" w:cs="Times New Roman"/>
          <w:b w:val="0"/>
          <w:bCs w:val="0"/>
          <w:sz w:val="28"/>
          <w:szCs w:val="28"/>
          <w:lang w:val="en-US" w:eastAsia="zh-CN"/>
        </w:rPr>
        <w:t>4</w:t>
      </w:r>
      <w:r>
        <w:rPr>
          <w:rFonts w:hint="default" w:ascii="Times New Roman" w:hAnsi="Times New Roman" w:eastAsia="宋体" w:cs="Times New Roman"/>
          <w:b w:val="0"/>
          <w:bCs w:val="0"/>
          <w:sz w:val="28"/>
          <w:szCs w:val="28"/>
          <w:lang w:val="en-US" w:eastAsia="zh-CN"/>
        </w:rPr>
        <w:t xml:space="preserve">  </w:t>
      </w:r>
      <w:r>
        <w:rPr>
          <w:rFonts w:hint="eastAsia" w:ascii="Times New Roman" w:hAnsi="Times New Roman" w:eastAsia="宋体" w:cs="Times New Roman"/>
          <w:b w:val="0"/>
          <w:bCs w:val="0"/>
          <w:sz w:val="28"/>
          <w:szCs w:val="28"/>
          <w:lang w:val="en-US" w:eastAsia="zh-CN"/>
        </w:rPr>
        <w:t>项目周边环境及敏感点示意图</w:t>
      </w:r>
    </w:p>
    <w:p w14:paraId="4F4CA242">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default" w:ascii="Times New Roman" w:hAnsi="Times New Roman" w:eastAsia="宋体" w:cs="Times New Roman"/>
          <w:b w:val="0"/>
          <w:bCs w:val="0"/>
          <w:sz w:val="28"/>
          <w:szCs w:val="28"/>
          <w:lang w:val="en-US" w:eastAsia="zh-CN"/>
        </w:rPr>
      </w:pPr>
      <w:r>
        <w:rPr>
          <w:rFonts w:hint="default" w:ascii="Times New Roman" w:hAnsi="Times New Roman" w:eastAsia="宋体" w:cs="Times New Roman"/>
          <w:b w:val="0"/>
          <w:bCs w:val="0"/>
          <w:sz w:val="28"/>
          <w:szCs w:val="28"/>
          <w:lang w:val="en-US" w:eastAsia="zh-CN"/>
        </w:rPr>
        <w:t>附图</w:t>
      </w:r>
      <w:r>
        <w:rPr>
          <w:rFonts w:hint="eastAsia" w:ascii="Times New Roman" w:hAnsi="Times New Roman" w:eastAsia="宋体" w:cs="Times New Roman"/>
          <w:b w:val="0"/>
          <w:bCs w:val="0"/>
          <w:sz w:val="28"/>
          <w:szCs w:val="28"/>
          <w:lang w:val="en-US" w:eastAsia="zh-CN"/>
        </w:rPr>
        <w:t>5</w:t>
      </w:r>
      <w:r>
        <w:rPr>
          <w:rFonts w:hint="default" w:ascii="Times New Roman" w:hAnsi="Times New Roman" w:eastAsia="宋体" w:cs="Times New Roman"/>
          <w:b w:val="0"/>
          <w:bCs w:val="0"/>
          <w:sz w:val="28"/>
          <w:szCs w:val="28"/>
          <w:lang w:val="en-US" w:eastAsia="zh-CN"/>
        </w:rPr>
        <w:t xml:space="preserve">  项目</w:t>
      </w:r>
      <w:r>
        <w:rPr>
          <w:rFonts w:hint="eastAsia" w:ascii="Times New Roman" w:hAnsi="Times New Roman" w:eastAsia="宋体" w:cs="Times New Roman"/>
          <w:b w:val="0"/>
          <w:bCs w:val="0"/>
          <w:sz w:val="28"/>
          <w:szCs w:val="28"/>
          <w:lang w:val="en-US" w:eastAsia="zh-CN"/>
        </w:rPr>
        <w:t>平面布置图</w:t>
      </w:r>
    </w:p>
    <w:p w14:paraId="1CA9E3A4">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default" w:ascii="Times New Roman" w:hAnsi="Times New Roman" w:eastAsia="宋体" w:cs="Times New Roman"/>
          <w:b w:val="0"/>
          <w:bCs w:val="0"/>
          <w:sz w:val="28"/>
          <w:szCs w:val="28"/>
          <w:lang w:val="en-US" w:eastAsia="zh-CN"/>
        </w:rPr>
      </w:pPr>
      <w:r>
        <w:rPr>
          <w:rFonts w:hint="default" w:ascii="Times New Roman" w:hAnsi="Times New Roman" w:eastAsia="宋体" w:cs="Times New Roman"/>
          <w:b w:val="0"/>
          <w:bCs w:val="0"/>
          <w:sz w:val="28"/>
          <w:szCs w:val="28"/>
          <w:lang w:val="en-US" w:eastAsia="zh-CN"/>
        </w:rPr>
        <w:t>附图</w:t>
      </w:r>
      <w:r>
        <w:rPr>
          <w:rFonts w:hint="eastAsia" w:ascii="Times New Roman" w:hAnsi="Times New Roman" w:eastAsia="宋体" w:cs="Times New Roman"/>
          <w:b w:val="0"/>
          <w:bCs w:val="0"/>
          <w:sz w:val="28"/>
          <w:szCs w:val="28"/>
          <w:lang w:val="en-US" w:eastAsia="zh-CN"/>
        </w:rPr>
        <w:t>6</w:t>
      </w:r>
      <w:r>
        <w:rPr>
          <w:rFonts w:hint="default" w:ascii="Times New Roman" w:hAnsi="Times New Roman" w:eastAsia="宋体" w:cs="Times New Roman"/>
          <w:b w:val="0"/>
          <w:bCs w:val="0"/>
          <w:sz w:val="28"/>
          <w:szCs w:val="28"/>
          <w:lang w:val="en-US" w:eastAsia="zh-CN"/>
        </w:rPr>
        <w:t xml:space="preserve">  现场照片</w:t>
      </w:r>
    </w:p>
    <w:p w14:paraId="1102E30A">
      <w:pPr>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附件</w:t>
      </w:r>
    </w:p>
    <w:p w14:paraId="3ACD7857">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default" w:ascii="Times New Roman" w:hAnsi="Times New Roman" w:eastAsia="宋体" w:cs="Times New Roman"/>
          <w:b w:val="0"/>
          <w:bCs w:val="0"/>
          <w:sz w:val="28"/>
          <w:szCs w:val="28"/>
          <w:lang w:val="en-US" w:eastAsia="zh-CN"/>
        </w:rPr>
      </w:pPr>
      <w:r>
        <w:rPr>
          <w:rFonts w:hint="default" w:ascii="Times New Roman" w:hAnsi="Times New Roman" w:eastAsia="宋体" w:cs="Times New Roman"/>
          <w:b w:val="0"/>
          <w:bCs w:val="0"/>
          <w:sz w:val="28"/>
          <w:szCs w:val="28"/>
          <w:lang w:val="en-US" w:eastAsia="zh-CN"/>
        </w:rPr>
        <w:t>附件1</w:t>
      </w:r>
      <w:r>
        <w:rPr>
          <w:rFonts w:hint="eastAsia" w:ascii="Times New Roman" w:hAnsi="Times New Roman" w:eastAsia="宋体" w:cs="Times New Roman"/>
          <w:b w:val="0"/>
          <w:bCs w:val="0"/>
          <w:sz w:val="28"/>
          <w:szCs w:val="28"/>
          <w:lang w:val="en-US" w:eastAsia="zh-CN"/>
        </w:rPr>
        <w:t xml:space="preserve">  </w:t>
      </w:r>
      <w:r>
        <w:rPr>
          <w:rFonts w:hint="default" w:ascii="Times New Roman" w:hAnsi="Times New Roman" w:eastAsia="宋体" w:cs="Times New Roman"/>
          <w:b w:val="0"/>
          <w:bCs w:val="0"/>
          <w:sz w:val="28"/>
          <w:szCs w:val="28"/>
          <w:lang w:val="en-US" w:eastAsia="zh-CN"/>
        </w:rPr>
        <w:t>环评委托书</w:t>
      </w:r>
    </w:p>
    <w:p w14:paraId="4FEF1A90">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default" w:ascii="Times New Roman" w:hAnsi="Times New Roman" w:eastAsia="宋体" w:cs="Times New Roman"/>
          <w:b w:val="0"/>
          <w:bCs w:val="0"/>
          <w:sz w:val="28"/>
          <w:szCs w:val="28"/>
          <w:lang w:val="en-US" w:eastAsia="zh-CN"/>
        </w:rPr>
      </w:pPr>
      <w:r>
        <w:rPr>
          <w:rFonts w:hint="default" w:ascii="Times New Roman" w:hAnsi="Times New Roman" w:eastAsia="宋体" w:cs="Times New Roman"/>
          <w:b w:val="0"/>
          <w:bCs w:val="0"/>
          <w:sz w:val="28"/>
          <w:szCs w:val="28"/>
          <w:lang w:val="en-US" w:eastAsia="zh-CN"/>
        </w:rPr>
        <w:t>附件</w:t>
      </w:r>
      <w:r>
        <w:rPr>
          <w:rFonts w:hint="eastAsia" w:ascii="Times New Roman" w:hAnsi="Times New Roman" w:eastAsia="宋体" w:cs="Times New Roman"/>
          <w:b w:val="0"/>
          <w:bCs w:val="0"/>
          <w:sz w:val="28"/>
          <w:szCs w:val="28"/>
          <w:lang w:val="en-US" w:eastAsia="zh-CN"/>
        </w:rPr>
        <w:t>2  营业执照及法人身份证</w:t>
      </w:r>
    </w:p>
    <w:p w14:paraId="05198828">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default" w:ascii="Times New Roman" w:hAnsi="Times New Roman" w:eastAsia="宋体" w:cs="Times New Roman"/>
          <w:b w:val="0"/>
          <w:bCs w:val="0"/>
          <w:sz w:val="28"/>
          <w:szCs w:val="28"/>
          <w:lang w:val="en-US" w:eastAsia="zh-CN"/>
        </w:rPr>
      </w:pPr>
      <w:r>
        <w:rPr>
          <w:rFonts w:hint="default" w:ascii="Times New Roman" w:hAnsi="Times New Roman" w:eastAsia="宋体" w:cs="Times New Roman"/>
          <w:b w:val="0"/>
          <w:bCs w:val="0"/>
          <w:sz w:val="28"/>
          <w:szCs w:val="28"/>
          <w:lang w:val="en-US" w:eastAsia="zh-CN"/>
        </w:rPr>
        <w:t>附件</w:t>
      </w:r>
      <w:r>
        <w:rPr>
          <w:rFonts w:hint="eastAsia" w:ascii="Times New Roman" w:hAnsi="Times New Roman" w:eastAsia="宋体" w:cs="Times New Roman"/>
          <w:b w:val="0"/>
          <w:bCs w:val="0"/>
          <w:sz w:val="28"/>
          <w:szCs w:val="28"/>
          <w:lang w:val="en-US" w:eastAsia="zh-CN"/>
        </w:rPr>
        <w:t>3  项目备案证明</w:t>
      </w:r>
    </w:p>
    <w:p w14:paraId="0C960F49">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default" w:ascii="Times New Roman" w:hAnsi="Times New Roman" w:eastAsia="宋体" w:cs="Times New Roman"/>
          <w:b w:val="0"/>
          <w:bCs w:val="0"/>
          <w:sz w:val="28"/>
          <w:szCs w:val="28"/>
          <w:lang w:val="en-US" w:eastAsia="zh-CN"/>
        </w:rPr>
      </w:pPr>
      <w:r>
        <w:rPr>
          <w:rFonts w:hint="default" w:ascii="Times New Roman" w:hAnsi="Times New Roman" w:eastAsia="宋体" w:cs="Times New Roman"/>
          <w:b w:val="0"/>
          <w:bCs w:val="0"/>
          <w:sz w:val="28"/>
          <w:szCs w:val="28"/>
          <w:lang w:val="en-US" w:eastAsia="zh-CN"/>
        </w:rPr>
        <w:t>附件</w:t>
      </w:r>
      <w:r>
        <w:rPr>
          <w:rFonts w:hint="eastAsia" w:ascii="Times New Roman" w:hAnsi="Times New Roman" w:eastAsia="宋体" w:cs="Times New Roman"/>
          <w:b w:val="0"/>
          <w:bCs w:val="0"/>
          <w:sz w:val="28"/>
          <w:szCs w:val="28"/>
          <w:lang w:val="en-US" w:eastAsia="zh-CN"/>
        </w:rPr>
        <w:t>4  租赁协议</w:t>
      </w:r>
    </w:p>
    <w:p w14:paraId="27FCD033">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default" w:ascii="Times New Roman" w:hAnsi="Times New Roman" w:eastAsia="宋体" w:cs="Times New Roman"/>
          <w:b w:val="0"/>
          <w:bCs w:val="0"/>
          <w:sz w:val="28"/>
          <w:szCs w:val="28"/>
          <w:lang w:val="en-US" w:eastAsia="zh-CN"/>
        </w:rPr>
      </w:pPr>
      <w:r>
        <w:rPr>
          <w:rFonts w:hint="default" w:ascii="Times New Roman" w:hAnsi="Times New Roman" w:eastAsia="宋体" w:cs="Times New Roman"/>
          <w:b w:val="0"/>
          <w:bCs w:val="0"/>
          <w:sz w:val="28"/>
          <w:szCs w:val="28"/>
          <w:lang w:val="en-US" w:eastAsia="zh-CN"/>
        </w:rPr>
        <w:t>附件</w:t>
      </w:r>
      <w:r>
        <w:rPr>
          <w:rFonts w:hint="eastAsia" w:ascii="Times New Roman" w:hAnsi="Times New Roman" w:eastAsia="宋体" w:cs="Times New Roman"/>
          <w:b w:val="0"/>
          <w:bCs w:val="0"/>
          <w:sz w:val="28"/>
          <w:szCs w:val="28"/>
          <w:lang w:val="en-US" w:eastAsia="zh-CN"/>
        </w:rPr>
        <w:t>5  园区入驻证明</w:t>
      </w:r>
    </w:p>
    <w:p w14:paraId="4861C66E">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default" w:ascii="Times New Roman" w:hAnsi="Times New Roman" w:eastAsia="宋体" w:cs="Times New Roman"/>
          <w:b w:val="0"/>
          <w:bCs w:val="0"/>
          <w:sz w:val="28"/>
          <w:szCs w:val="28"/>
          <w:lang w:val="en-US" w:eastAsia="zh-CN"/>
        </w:rPr>
      </w:pPr>
      <w:r>
        <w:rPr>
          <w:rFonts w:hint="default" w:ascii="Times New Roman" w:hAnsi="Times New Roman" w:eastAsia="宋体" w:cs="Times New Roman"/>
          <w:b w:val="0"/>
          <w:bCs w:val="0"/>
          <w:sz w:val="28"/>
          <w:szCs w:val="28"/>
          <w:lang w:val="en-US" w:eastAsia="zh-CN"/>
        </w:rPr>
        <w:t>附件</w:t>
      </w:r>
      <w:r>
        <w:rPr>
          <w:rFonts w:hint="eastAsia" w:cs="Times New Roman"/>
          <w:b w:val="0"/>
          <w:bCs w:val="0"/>
          <w:sz w:val="28"/>
          <w:szCs w:val="28"/>
          <w:lang w:val="en-US" w:eastAsia="zh-CN"/>
        </w:rPr>
        <w:t>6</w:t>
      </w:r>
      <w:r>
        <w:rPr>
          <w:rFonts w:hint="eastAsia" w:ascii="Times New Roman" w:hAnsi="Times New Roman" w:eastAsia="宋体" w:cs="Times New Roman"/>
          <w:b w:val="0"/>
          <w:bCs w:val="0"/>
          <w:sz w:val="28"/>
          <w:szCs w:val="28"/>
          <w:lang w:val="en-US" w:eastAsia="zh-CN"/>
        </w:rPr>
        <w:t xml:space="preserve">  </w:t>
      </w:r>
      <w:r>
        <w:rPr>
          <w:rFonts w:hint="eastAsia" w:cs="Times New Roman"/>
          <w:b w:val="0"/>
          <w:bCs w:val="0"/>
          <w:sz w:val="28"/>
          <w:szCs w:val="28"/>
          <w:lang w:val="en-US" w:eastAsia="zh-CN"/>
        </w:rPr>
        <w:t>专家评审意见及复审意见</w:t>
      </w:r>
    </w:p>
    <w:p w14:paraId="065026B8">
      <w:pPr>
        <w:pStyle w:val="19"/>
      </w:pPr>
    </w:p>
    <w:p w14:paraId="7CD77522"/>
    <w:p w14:paraId="2CDA02D8">
      <w:pPr>
        <w:pStyle w:val="19"/>
        <w:sectPr>
          <w:pgSz w:w="11906" w:h="16838"/>
          <w:pgMar w:top="1418" w:right="1418" w:bottom="1418" w:left="1588" w:header="851" w:footer="1077" w:gutter="0"/>
          <w:pgBorders>
            <w:top w:val="none" w:sz="0" w:space="0"/>
            <w:left w:val="none" w:sz="0" w:space="0"/>
            <w:bottom w:val="none" w:sz="0" w:space="0"/>
            <w:right w:val="none" w:sz="0" w:space="0"/>
          </w:pgBorders>
          <w:pgNumType w:start="3"/>
          <w:cols w:space="720" w:num="1"/>
          <w:docGrid w:linePitch="312" w:charSpace="0"/>
        </w:sectPr>
      </w:pPr>
    </w:p>
    <w:p w14:paraId="4678F4CE">
      <w:pPr>
        <w:pStyle w:val="2"/>
        <w:rPr>
          <w:snapToGrid w:val="0"/>
          <w:color w:val="auto"/>
        </w:rPr>
      </w:pPr>
      <w:bookmarkStart w:id="1" w:name="_Toc8865"/>
      <w:r>
        <w:rPr>
          <w:rFonts w:hint="eastAsia"/>
          <w:snapToGrid w:val="0"/>
          <w:color w:val="auto"/>
        </w:rPr>
        <w:t>一、建设项目基本情况</w:t>
      </w:r>
      <w:bookmarkEnd w:id="1"/>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28" w:type="dxa"/>
          <w:bottom w:w="28" w:type="dxa"/>
          <w:right w:w="28" w:type="dxa"/>
        </w:tblCellMar>
      </w:tblPr>
      <w:tblGrid>
        <w:gridCol w:w="812"/>
        <w:gridCol w:w="2817"/>
        <w:gridCol w:w="1975"/>
        <w:gridCol w:w="3338"/>
      </w:tblGrid>
      <w:tr w14:paraId="696DC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24" w:hRule="atLeast"/>
          <w:jc w:val="center"/>
        </w:trPr>
        <w:tc>
          <w:tcPr>
            <w:tcW w:w="454" w:type="pct"/>
            <w:tcMar>
              <w:top w:w="16" w:type="dxa"/>
              <w:left w:w="16" w:type="dxa"/>
              <w:right w:w="16" w:type="dxa"/>
            </w:tcMar>
            <w:vAlign w:val="center"/>
          </w:tcPr>
          <w:p w14:paraId="34BA1A99">
            <w:pPr>
              <w:spacing w:line="240" w:lineRule="auto"/>
              <w:ind w:firstLine="0" w:firstLineChars="0"/>
              <w:jc w:val="center"/>
              <w:rPr>
                <w:color w:val="auto"/>
              </w:rPr>
            </w:pPr>
            <w:r>
              <w:rPr>
                <w:rFonts w:hint="eastAsia"/>
                <w:color w:val="auto"/>
              </w:rPr>
              <w:t>建设项目名称</w:t>
            </w:r>
          </w:p>
        </w:tc>
        <w:tc>
          <w:tcPr>
            <w:tcW w:w="4545" w:type="pct"/>
            <w:gridSpan w:val="3"/>
            <w:vAlign w:val="center"/>
          </w:tcPr>
          <w:p w14:paraId="6DA6AE8F">
            <w:pPr>
              <w:spacing w:line="240" w:lineRule="auto"/>
              <w:ind w:firstLine="0" w:firstLineChars="0"/>
              <w:jc w:val="center"/>
              <w:rPr>
                <w:color w:val="auto"/>
              </w:rPr>
            </w:pPr>
            <w:r>
              <w:rPr>
                <w:rFonts w:hint="eastAsia"/>
                <w:color w:val="auto"/>
                <w:lang w:val="en-US" w:eastAsia="zh-CN"/>
              </w:rPr>
              <w:t>河南普惠天成生物制药有限公司新型中药饮片生产建设项目</w:t>
            </w:r>
          </w:p>
        </w:tc>
      </w:tr>
      <w:tr w14:paraId="05440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24" w:hRule="atLeast"/>
          <w:jc w:val="center"/>
        </w:trPr>
        <w:tc>
          <w:tcPr>
            <w:tcW w:w="454" w:type="pct"/>
            <w:tcMar>
              <w:top w:w="16" w:type="dxa"/>
              <w:left w:w="16" w:type="dxa"/>
              <w:right w:w="16" w:type="dxa"/>
            </w:tcMar>
            <w:vAlign w:val="center"/>
          </w:tcPr>
          <w:p w14:paraId="59DB6C72">
            <w:pPr>
              <w:spacing w:line="240" w:lineRule="auto"/>
              <w:ind w:firstLine="0" w:firstLineChars="0"/>
              <w:jc w:val="center"/>
              <w:rPr>
                <w:color w:val="auto"/>
              </w:rPr>
            </w:pPr>
            <w:r>
              <w:rPr>
                <w:rFonts w:hint="eastAsia"/>
                <w:color w:val="auto"/>
              </w:rPr>
              <w:t>项目代码</w:t>
            </w:r>
          </w:p>
        </w:tc>
        <w:tc>
          <w:tcPr>
            <w:tcW w:w="4545" w:type="pct"/>
            <w:gridSpan w:val="3"/>
            <w:vAlign w:val="center"/>
          </w:tcPr>
          <w:p w14:paraId="7E4768A5">
            <w:pPr>
              <w:spacing w:line="240" w:lineRule="auto"/>
              <w:ind w:firstLine="0" w:firstLineChars="0"/>
              <w:jc w:val="center"/>
              <w:rPr>
                <w:color w:val="auto"/>
              </w:rPr>
            </w:pPr>
            <w:r>
              <w:rPr>
                <w:rFonts w:hint="eastAsia"/>
                <w:color w:val="auto"/>
              </w:rPr>
              <w:t>2408-410923-04-01-671066</w:t>
            </w:r>
          </w:p>
        </w:tc>
      </w:tr>
      <w:tr w14:paraId="14EDB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24" w:hRule="atLeast"/>
          <w:jc w:val="center"/>
        </w:trPr>
        <w:tc>
          <w:tcPr>
            <w:tcW w:w="454" w:type="pct"/>
            <w:tcMar>
              <w:top w:w="16" w:type="dxa"/>
              <w:left w:w="16" w:type="dxa"/>
              <w:right w:w="16" w:type="dxa"/>
            </w:tcMar>
            <w:vAlign w:val="center"/>
          </w:tcPr>
          <w:p w14:paraId="489A3CC9">
            <w:pPr>
              <w:spacing w:line="240" w:lineRule="auto"/>
              <w:ind w:firstLine="0" w:firstLineChars="0"/>
              <w:jc w:val="center"/>
              <w:rPr>
                <w:color w:val="auto"/>
              </w:rPr>
            </w:pPr>
            <w:r>
              <w:rPr>
                <w:rFonts w:hint="eastAsia"/>
                <w:color w:val="auto"/>
              </w:rPr>
              <w:t>建设单位联系人</w:t>
            </w:r>
          </w:p>
        </w:tc>
        <w:tc>
          <w:tcPr>
            <w:tcW w:w="1575" w:type="pct"/>
            <w:vAlign w:val="center"/>
          </w:tcPr>
          <w:p w14:paraId="0350A35D">
            <w:pPr>
              <w:spacing w:line="240" w:lineRule="auto"/>
              <w:ind w:firstLine="0" w:firstLineChars="0"/>
              <w:jc w:val="center"/>
              <w:rPr>
                <w:color w:val="auto"/>
              </w:rPr>
            </w:pPr>
            <w:r>
              <w:rPr>
                <w:rFonts w:hint="eastAsia"/>
                <w:color w:val="auto"/>
                <w:lang w:val="en-US" w:eastAsia="zh-CN"/>
              </w:rPr>
              <w:t>李振举</w:t>
            </w:r>
          </w:p>
        </w:tc>
        <w:tc>
          <w:tcPr>
            <w:tcW w:w="1104" w:type="pct"/>
            <w:vAlign w:val="center"/>
          </w:tcPr>
          <w:p w14:paraId="15AC5B4E">
            <w:pPr>
              <w:spacing w:line="240" w:lineRule="auto"/>
              <w:ind w:firstLine="0" w:firstLineChars="0"/>
              <w:jc w:val="center"/>
              <w:rPr>
                <w:color w:val="auto"/>
              </w:rPr>
            </w:pPr>
            <w:r>
              <w:rPr>
                <w:rFonts w:hint="eastAsia"/>
                <w:color w:val="auto"/>
              </w:rPr>
              <w:t>联系方式</w:t>
            </w:r>
          </w:p>
        </w:tc>
        <w:tc>
          <w:tcPr>
            <w:tcW w:w="1865" w:type="pct"/>
            <w:vAlign w:val="center"/>
          </w:tcPr>
          <w:p w14:paraId="226A1A5E">
            <w:pPr>
              <w:spacing w:line="240" w:lineRule="auto"/>
              <w:ind w:firstLine="0" w:firstLineChars="0"/>
              <w:jc w:val="center"/>
              <w:rPr>
                <w:color w:val="auto"/>
              </w:rPr>
            </w:pPr>
            <w:r>
              <w:rPr>
                <w:rFonts w:hint="eastAsia"/>
                <w:color w:val="auto"/>
              </w:rPr>
              <w:t>17639358662</w:t>
            </w:r>
          </w:p>
        </w:tc>
      </w:tr>
      <w:tr w14:paraId="7F7D9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24" w:hRule="atLeast"/>
          <w:jc w:val="center"/>
        </w:trPr>
        <w:tc>
          <w:tcPr>
            <w:tcW w:w="454" w:type="pct"/>
            <w:tcMar>
              <w:top w:w="16" w:type="dxa"/>
              <w:left w:w="16" w:type="dxa"/>
              <w:right w:w="16" w:type="dxa"/>
            </w:tcMar>
            <w:vAlign w:val="center"/>
          </w:tcPr>
          <w:p w14:paraId="76FFA89B">
            <w:pPr>
              <w:spacing w:line="240" w:lineRule="auto"/>
              <w:ind w:firstLine="0" w:firstLineChars="0"/>
              <w:jc w:val="center"/>
              <w:rPr>
                <w:color w:val="auto"/>
              </w:rPr>
            </w:pPr>
            <w:r>
              <w:rPr>
                <w:rFonts w:hint="eastAsia"/>
                <w:color w:val="auto"/>
              </w:rPr>
              <w:t>建设地点</w:t>
            </w:r>
          </w:p>
        </w:tc>
        <w:tc>
          <w:tcPr>
            <w:tcW w:w="4545" w:type="pct"/>
            <w:gridSpan w:val="3"/>
            <w:vAlign w:val="center"/>
          </w:tcPr>
          <w:p w14:paraId="18417C61">
            <w:pPr>
              <w:spacing w:line="240" w:lineRule="auto"/>
              <w:ind w:firstLine="0" w:firstLineChars="0"/>
              <w:jc w:val="center"/>
              <w:rPr>
                <w:color w:val="auto"/>
              </w:rPr>
            </w:pPr>
            <w:r>
              <w:rPr>
                <w:rFonts w:hint="eastAsia"/>
                <w:color w:val="auto"/>
              </w:rPr>
              <w:t>濮阳市</w:t>
            </w:r>
            <w:r>
              <w:rPr>
                <w:rFonts w:hint="eastAsia"/>
                <w:color w:val="auto"/>
                <w:lang w:eastAsia="zh-CN"/>
              </w:rPr>
              <w:t>南乐县先进制造业开发区</w:t>
            </w:r>
            <w:r>
              <w:rPr>
                <w:rFonts w:hint="eastAsia"/>
                <w:color w:val="auto"/>
              </w:rPr>
              <w:t>鸿宇路南侧5号</w:t>
            </w:r>
          </w:p>
        </w:tc>
      </w:tr>
      <w:tr w14:paraId="6C10E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24" w:hRule="atLeast"/>
          <w:jc w:val="center"/>
        </w:trPr>
        <w:tc>
          <w:tcPr>
            <w:tcW w:w="454" w:type="pct"/>
            <w:tcMar>
              <w:top w:w="16" w:type="dxa"/>
              <w:left w:w="16" w:type="dxa"/>
              <w:right w:w="16" w:type="dxa"/>
            </w:tcMar>
            <w:vAlign w:val="center"/>
          </w:tcPr>
          <w:p w14:paraId="1522C95B">
            <w:pPr>
              <w:spacing w:line="240" w:lineRule="auto"/>
              <w:ind w:firstLine="0" w:firstLineChars="0"/>
              <w:jc w:val="center"/>
              <w:rPr>
                <w:color w:val="auto"/>
              </w:rPr>
            </w:pPr>
            <w:r>
              <w:rPr>
                <w:rFonts w:hint="eastAsia"/>
                <w:color w:val="auto"/>
              </w:rPr>
              <w:t>地理坐标</w:t>
            </w:r>
          </w:p>
        </w:tc>
        <w:tc>
          <w:tcPr>
            <w:tcW w:w="4545" w:type="pct"/>
            <w:gridSpan w:val="3"/>
            <w:vAlign w:val="center"/>
          </w:tcPr>
          <w:p w14:paraId="2F10C9AD">
            <w:pPr>
              <w:spacing w:line="240" w:lineRule="auto"/>
              <w:ind w:firstLine="0" w:firstLineChars="0"/>
              <w:jc w:val="center"/>
            </w:pPr>
            <w:r>
              <w:rPr>
                <w:color w:val="auto"/>
              </w:rPr>
              <w:t>115</w:t>
            </w:r>
            <w:r>
              <w:rPr>
                <w:rFonts w:hint="eastAsia"/>
                <w:color w:val="auto"/>
              </w:rPr>
              <w:t>度1</w:t>
            </w:r>
            <w:r>
              <w:rPr>
                <w:color w:val="auto"/>
              </w:rPr>
              <w:t>3</w:t>
            </w:r>
            <w:r>
              <w:rPr>
                <w:rFonts w:hint="eastAsia"/>
                <w:color w:val="auto"/>
              </w:rPr>
              <w:t>分59.893秒，</w:t>
            </w:r>
            <w:r>
              <w:rPr>
                <w:color w:val="auto"/>
              </w:rPr>
              <w:t>36</w:t>
            </w:r>
            <w:r>
              <w:rPr>
                <w:rFonts w:hint="eastAsia"/>
                <w:color w:val="auto"/>
              </w:rPr>
              <w:t>度</w:t>
            </w:r>
            <w:r>
              <w:rPr>
                <w:rFonts w:hint="eastAsia"/>
                <w:color w:val="auto"/>
                <w:lang w:val="en-US" w:eastAsia="zh-CN"/>
              </w:rPr>
              <w:t>5</w:t>
            </w:r>
            <w:r>
              <w:rPr>
                <w:rFonts w:hint="eastAsia"/>
                <w:color w:val="auto"/>
              </w:rPr>
              <w:t>分16.984秒</w:t>
            </w:r>
          </w:p>
        </w:tc>
      </w:tr>
      <w:tr w14:paraId="27D0C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24" w:hRule="atLeast"/>
          <w:jc w:val="center"/>
        </w:trPr>
        <w:tc>
          <w:tcPr>
            <w:tcW w:w="454" w:type="pct"/>
            <w:tcMar>
              <w:top w:w="16" w:type="dxa"/>
              <w:left w:w="16" w:type="dxa"/>
              <w:right w:w="16" w:type="dxa"/>
            </w:tcMar>
            <w:vAlign w:val="center"/>
          </w:tcPr>
          <w:p w14:paraId="61701E6F">
            <w:pPr>
              <w:spacing w:line="240" w:lineRule="auto"/>
              <w:ind w:firstLine="0" w:firstLineChars="0"/>
              <w:jc w:val="center"/>
              <w:rPr>
                <w:color w:val="auto"/>
              </w:rPr>
            </w:pPr>
            <w:r>
              <w:rPr>
                <w:rFonts w:hint="eastAsia"/>
                <w:color w:val="auto"/>
              </w:rPr>
              <w:t>国民经济</w:t>
            </w:r>
          </w:p>
          <w:p w14:paraId="1E50A45E">
            <w:pPr>
              <w:spacing w:line="240" w:lineRule="auto"/>
              <w:ind w:firstLine="0" w:firstLineChars="0"/>
              <w:jc w:val="center"/>
              <w:rPr>
                <w:color w:val="auto"/>
              </w:rPr>
            </w:pPr>
            <w:r>
              <w:rPr>
                <w:rFonts w:hint="eastAsia"/>
                <w:color w:val="auto"/>
              </w:rPr>
              <w:t>行业类别</w:t>
            </w:r>
          </w:p>
        </w:tc>
        <w:tc>
          <w:tcPr>
            <w:tcW w:w="1575" w:type="pct"/>
            <w:vAlign w:val="center"/>
          </w:tcPr>
          <w:p w14:paraId="15BE214B">
            <w:pPr>
              <w:spacing w:line="240" w:lineRule="auto"/>
              <w:ind w:firstLine="0" w:firstLine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C</w:t>
            </w:r>
            <w:r>
              <w:rPr>
                <w:rFonts w:hint="eastAsia" w:ascii="Times New Roman" w:hAnsi="Times New Roman" w:eastAsia="宋体" w:cs="Times New Roman"/>
                <w:color w:val="auto"/>
                <w:lang w:val="en-US" w:eastAsia="zh-CN"/>
              </w:rPr>
              <w:t>2730中药饮片加工</w:t>
            </w:r>
          </w:p>
          <w:p w14:paraId="3931AD15">
            <w:pPr>
              <w:spacing w:line="240" w:lineRule="auto"/>
              <w:ind w:firstLine="0" w:firstLineChars="0"/>
              <w:jc w:val="center"/>
              <w:rPr>
                <w:rFonts w:hint="default"/>
                <w:lang w:val="en-US" w:eastAsia="zh-CN"/>
              </w:rPr>
            </w:pPr>
            <w:r>
              <w:rPr>
                <w:rFonts w:hint="eastAsia" w:ascii="Times New Roman" w:hAnsi="Times New Roman" w:eastAsia="宋体" w:cs="Times New Roman"/>
                <w:color w:val="auto"/>
                <w:lang w:val="en-US" w:eastAsia="zh-CN"/>
              </w:rPr>
              <w:t>C2740中成药生产</w:t>
            </w:r>
          </w:p>
        </w:tc>
        <w:tc>
          <w:tcPr>
            <w:tcW w:w="1104" w:type="pct"/>
            <w:vAlign w:val="center"/>
          </w:tcPr>
          <w:p w14:paraId="5804EEC4">
            <w:pPr>
              <w:spacing w:line="240" w:lineRule="auto"/>
              <w:ind w:firstLine="0" w:firstLineChars="0"/>
              <w:jc w:val="center"/>
              <w:rPr>
                <w:rFonts w:hint="eastAsia" w:ascii="Times New Roman" w:hAnsi="Times New Roman" w:eastAsia="宋体" w:cs="Times New Roman"/>
                <w:color w:val="auto"/>
              </w:rPr>
            </w:pPr>
            <w:bookmarkStart w:id="2" w:name="_Hlk49843745"/>
            <w:r>
              <w:rPr>
                <w:rFonts w:hint="eastAsia" w:ascii="Times New Roman" w:hAnsi="Times New Roman" w:eastAsia="宋体" w:cs="Times New Roman"/>
                <w:color w:val="auto"/>
              </w:rPr>
              <w:t>建设项目</w:t>
            </w:r>
          </w:p>
          <w:p w14:paraId="5D98CC8B">
            <w:pPr>
              <w:spacing w:line="240" w:lineRule="auto"/>
              <w:ind w:firstLine="0" w:firstLineChars="0"/>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行业类别</w:t>
            </w:r>
            <w:bookmarkEnd w:id="2"/>
          </w:p>
        </w:tc>
        <w:tc>
          <w:tcPr>
            <w:tcW w:w="1865" w:type="pct"/>
            <w:vAlign w:val="center"/>
          </w:tcPr>
          <w:p w14:paraId="4566A8E4">
            <w:pPr>
              <w:spacing w:line="240" w:lineRule="auto"/>
              <w:ind w:firstLine="0" w:firstLineChars="0"/>
              <w:jc w:val="center"/>
              <w:rPr>
                <w:rFonts w:hint="eastAsia" w:ascii="Times New Roman" w:hAnsi="Times New Roman" w:eastAsia="宋体" w:cs="Times New Roman"/>
                <w:color w:val="auto"/>
              </w:rPr>
            </w:pPr>
            <w:r>
              <w:rPr>
                <w:rFonts w:hint="eastAsia" w:cs="Times New Roman"/>
                <w:color w:val="auto"/>
                <w:lang w:val="en-US" w:eastAsia="zh-CN"/>
              </w:rPr>
              <w:t>二</w:t>
            </w:r>
            <w:r>
              <w:rPr>
                <w:rFonts w:hint="eastAsia" w:ascii="Times New Roman" w:hAnsi="Times New Roman" w:eastAsia="宋体" w:cs="Times New Roman"/>
                <w:color w:val="auto"/>
              </w:rPr>
              <w:t>十四、医药制造业27</w:t>
            </w:r>
          </w:p>
          <w:p w14:paraId="5995C733">
            <w:pPr>
              <w:spacing w:line="240" w:lineRule="auto"/>
              <w:ind w:firstLine="0" w:firstLineChars="0"/>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48</w:t>
            </w:r>
            <w:r>
              <w:rPr>
                <w:rFonts w:hint="eastAsia" w:cs="Times New Roman"/>
                <w:color w:val="auto"/>
                <w:lang w:val="en-US" w:eastAsia="zh-CN"/>
              </w:rPr>
              <w:t>中</w:t>
            </w:r>
            <w:r>
              <w:rPr>
                <w:rFonts w:hint="eastAsia" w:ascii="Times New Roman" w:hAnsi="Times New Roman" w:eastAsia="宋体" w:cs="Times New Roman"/>
                <w:color w:val="auto"/>
              </w:rPr>
              <w:t>药饮片加工273*；中成药生产274*</w:t>
            </w:r>
          </w:p>
        </w:tc>
      </w:tr>
      <w:tr w14:paraId="1983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24" w:hRule="atLeast"/>
          <w:jc w:val="center"/>
        </w:trPr>
        <w:tc>
          <w:tcPr>
            <w:tcW w:w="454" w:type="pct"/>
            <w:tcMar>
              <w:top w:w="16" w:type="dxa"/>
              <w:left w:w="16" w:type="dxa"/>
              <w:right w:w="16" w:type="dxa"/>
            </w:tcMar>
            <w:vAlign w:val="center"/>
          </w:tcPr>
          <w:p w14:paraId="404C8B83">
            <w:pPr>
              <w:spacing w:line="240" w:lineRule="auto"/>
              <w:ind w:firstLine="0" w:firstLineChars="0"/>
              <w:jc w:val="center"/>
              <w:rPr>
                <w:color w:val="auto"/>
              </w:rPr>
            </w:pPr>
            <w:r>
              <w:rPr>
                <w:rFonts w:hint="eastAsia"/>
                <w:color w:val="auto"/>
              </w:rPr>
              <w:t>建设性质</w:t>
            </w:r>
          </w:p>
        </w:tc>
        <w:tc>
          <w:tcPr>
            <w:tcW w:w="1575" w:type="pct"/>
            <w:vAlign w:val="center"/>
          </w:tcPr>
          <w:p w14:paraId="39085AFA">
            <w:pPr>
              <w:spacing w:line="240" w:lineRule="auto"/>
              <w:ind w:firstLine="0" w:firstLineChars="0"/>
              <w:jc w:val="left"/>
              <w:rPr>
                <w:color w:val="auto"/>
              </w:rPr>
            </w:pPr>
            <w:r>
              <w:rPr>
                <w:rFonts w:hint="eastAsia"/>
                <w:color w:val="auto"/>
              </w:rPr>
              <w:sym w:font="Wingdings 2" w:char="0052"/>
            </w:r>
            <w:r>
              <w:rPr>
                <w:rFonts w:hint="eastAsia"/>
                <w:color w:val="auto"/>
              </w:rPr>
              <w:t>新建</w:t>
            </w:r>
          </w:p>
          <w:p w14:paraId="0CCD7853">
            <w:pPr>
              <w:spacing w:line="240" w:lineRule="auto"/>
              <w:ind w:firstLine="0" w:firstLineChars="0"/>
              <w:jc w:val="left"/>
              <w:rPr>
                <w:color w:val="auto"/>
              </w:rPr>
            </w:pPr>
            <w:r>
              <w:rPr>
                <w:rFonts w:hint="eastAsia"/>
                <w:color w:val="auto"/>
              </w:rPr>
              <w:sym w:font="Wingdings 2" w:char="00A3"/>
            </w:r>
            <w:r>
              <w:rPr>
                <w:rFonts w:hint="eastAsia"/>
                <w:color w:val="auto"/>
              </w:rPr>
              <w:t>改建</w:t>
            </w:r>
          </w:p>
          <w:p w14:paraId="78F8F910">
            <w:pPr>
              <w:spacing w:line="240" w:lineRule="auto"/>
              <w:ind w:firstLine="0" w:firstLineChars="0"/>
              <w:jc w:val="left"/>
              <w:rPr>
                <w:color w:val="auto"/>
              </w:rPr>
            </w:pPr>
            <w:r>
              <w:rPr>
                <w:rFonts w:hint="eastAsia"/>
                <w:color w:val="auto"/>
              </w:rPr>
              <w:t>□扩建</w:t>
            </w:r>
          </w:p>
          <w:p w14:paraId="4A399AB0">
            <w:pPr>
              <w:spacing w:line="240" w:lineRule="auto"/>
              <w:ind w:firstLine="0" w:firstLineChars="0"/>
              <w:jc w:val="left"/>
              <w:rPr>
                <w:color w:val="auto"/>
              </w:rPr>
            </w:pPr>
            <w:r>
              <w:rPr>
                <w:rFonts w:hint="eastAsia"/>
                <w:color w:val="auto"/>
              </w:rPr>
              <w:sym w:font="Wingdings 2" w:char="00A3"/>
            </w:r>
            <w:r>
              <w:rPr>
                <w:rFonts w:hint="eastAsia"/>
                <w:color w:val="auto"/>
              </w:rPr>
              <w:t>技术改造</w:t>
            </w:r>
          </w:p>
        </w:tc>
        <w:tc>
          <w:tcPr>
            <w:tcW w:w="1104" w:type="pct"/>
            <w:vAlign w:val="center"/>
          </w:tcPr>
          <w:p w14:paraId="63F79D50">
            <w:pPr>
              <w:spacing w:line="240" w:lineRule="auto"/>
              <w:ind w:firstLine="0" w:firstLineChars="0"/>
              <w:jc w:val="center"/>
              <w:rPr>
                <w:color w:val="auto"/>
              </w:rPr>
            </w:pPr>
            <w:r>
              <w:rPr>
                <w:rFonts w:hint="eastAsia"/>
                <w:color w:val="auto"/>
              </w:rPr>
              <w:t>建设项目</w:t>
            </w:r>
          </w:p>
          <w:p w14:paraId="383F75AA">
            <w:pPr>
              <w:spacing w:line="240" w:lineRule="auto"/>
              <w:ind w:firstLine="0" w:firstLineChars="0"/>
              <w:jc w:val="center"/>
              <w:rPr>
                <w:color w:val="auto"/>
              </w:rPr>
            </w:pPr>
            <w:r>
              <w:rPr>
                <w:rFonts w:hint="eastAsia"/>
                <w:color w:val="auto"/>
              </w:rPr>
              <w:t>申报情形</w:t>
            </w:r>
          </w:p>
        </w:tc>
        <w:tc>
          <w:tcPr>
            <w:tcW w:w="1865" w:type="pct"/>
            <w:vAlign w:val="center"/>
          </w:tcPr>
          <w:p w14:paraId="57588618">
            <w:pPr>
              <w:spacing w:line="240" w:lineRule="auto"/>
              <w:ind w:firstLine="0" w:firstLineChars="0"/>
              <w:jc w:val="left"/>
              <w:rPr>
                <w:color w:val="auto"/>
              </w:rPr>
            </w:pPr>
            <w:r>
              <w:rPr>
                <w:rFonts w:hint="eastAsia"/>
                <w:color w:val="auto"/>
              </w:rPr>
              <w:sym w:font="Wingdings" w:char="F0FE"/>
            </w:r>
            <w:r>
              <w:rPr>
                <w:rFonts w:hint="eastAsia"/>
                <w:color w:val="auto"/>
              </w:rPr>
              <w:t>首次申报项目</w:t>
            </w:r>
          </w:p>
          <w:p w14:paraId="74E30003">
            <w:pPr>
              <w:spacing w:line="240" w:lineRule="auto"/>
              <w:ind w:firstLine="0" w:firstLineChars="0"/>
              <w:jc w:val="left"/>
              <w:rPr>
                <w:color w:val="auto"/>
              </w:rPr>
            </w:pPr>
            <w:r>
              <w:rPr>
                <w:rFonts w:hint="eastAsia"/>
                <w:color w:val="auto"/>
              </w:rPr>
              <w:t>□不予批准后再次申报项目</w:t>
            </w:r>
          </w:p>
          <w:p w14:paraId="18A0B7FE">
            <w:pPr>
              <w:spacing w:line="240" w:lineRule="auto"/>
              <w:ind w:firstLine="0" w:firstLineChars="0"/>
              <w:jc w:val="left"/>
              <w:rPr>
                <w:color w:val="auto"/>
              </w:rPr>
            </w:pPr>
            <w:r>
              <w:rPr>
                <w:rFonts w:hint="eastAsia"/>
                <w:color w:val="auto"/>
              </w:rPr>
              <w:sym w:font="Wingdings 2" w:char="00A3"/>
            </w:r>
            <w:r>
              <w:rPr>
                <w:rFonts w:hint="eastAsia"/>
                <w:color w:val="auto"/>
              </w:rPr>
              <w:t>超五年重新审核项目</w:t>
            </w:r>
          </w:p>
          <w:p w14:paraId="0778D025">
            <w:pPr>
              <w:spacing w:line="240" w:lineRule="auto"/>
              <w:ind w:firstLine="0" w:firstLineChars="0"/>
              <w:jc w:val="left"/>
              <w:rPr>
                <w:color w:val="auto"/>
              </w:rPr>
            </w:pPr>
            <w:r>
              <w:rPr>
                <w:rFonts w:hint="eastAsia"/>
                <w:color w:val="auto"/>
              </w:rPr>
              <w:t>□重大变动重新报批项目</w:t>
            </w:r>
          </w:p>
        </w:tc>
      </w:tr>
      <w:tr w14:paraId="79E76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24" w:hRule="atLeast"/>
          <w:jc w:val="center"/>
        </w:trPr>
        <w:tc>
          <w:tcPr>
            <w:tcW w:w="454" w:type="pct"/>
            <w:tcMar>
              <w:top w:w="16" w:type="dxa"/>
              <w:left w:w="16" w:type="dxa"/>
              <w:right w:w="16" w:type="dxa"/>
            </w:tcMar>
            <w:vAlign w:val="center"/>
          </w:tcPr>
          <w:p w14:paraId="0775BBE9">
            <w:pPr>
              <w:spacing w:line="240" w:lineRule="auto"/>
              <w:ind w:firstLine="0" w:firstLineChars="0"/>
              <w:jc w:val="center"/>
              <w:rPr>
                <w:color w:val="auto"/>
              </w:rPr>
            </w:pPr>
            <w:r>
              <w:rPr>
                <w:rFonts w:hint="eastAsia"/>
                <w:color w:val="auto"/>
              </w:rPr>
              <w:t>项目审批（核准</w:t>
            </w:r>
            <w:r>
              <w:rPr>
                <w:color w:val="auto"/>
              </w:rPr>
              <w:t>/</w:t>
            </w:r>
            <w:r>
              <w:rPr>
                <w:rFonts w:hint="eastAsia"/>
                <w:color w:val="auto"/>
              </w:rPr>
              <w:t>备案）部门</w:t>
            </w:r>
          </w:p>
        </w:tc>
        <w:tc>
          <w:tcPr>
            <w:tcW w:w="1575" w:type="pct"/>
            <w:vAlign w:val="center"/>
          </w:tcPr>
          <w:p w14:paraId="25852810">
            <w:pPr>
              <w:spacing w:line="240" w:lineRule="auto"/>
              <w:ind w:firstLine="0" w:firstLineChars="0"/>
              <w:jc w:val="center"/>
              <w:rPr>
                <w:rFonts w:hint="default" w:eastAsia="宋体"/>
                <w:color w:val="auto"/>
                <w:lang w:val="en-US" w:eastAsia="zh-CN"/>
              </w:rPr>
            </w:pPr>
            <w:r>
              <w:rPr>
                <w:rFonts w:hint="eastAsia"/>
                <w:color w:val="auto"/>
                <w:lang w:val="en-US" w:eastAsia="zh-CN"/>
              </w:rPr>
              <w:t>南乐县行政审批和政务信息管理局</w:t>
            </w:r>
          </w:p>
        </w:tc>
        <w:tc>
          <w:tcPr>
            <w:tcW w:w="1104" w:type="pct"/>
            <w:vAlign w:val="center"/>
          </w:tcPr>
          <w:p w14:paraId="13E6EC06">
            <w:pPr>
              <w:spacing w:line="240" w:lineRule="auto"/>
              <w:ind w:firstLine="0" w:firstLineChars="0"/>
              <w:jc w:val="center"/>
              <w:rPr>
                <w:color w:val="auto"/>
              </w:rPr>
            </w:pPr>
            <w:r>
              <w:rPr>
                <w:rFonts w:hint="eastAsia"/>
                <w:color w:val="auto"/>
              </w:rPr>
              <w:t>项目审批（核准</w:t>
            </w:r>
            <w:r>
              <w:rPr>
                <w:color w:val="auto"/>
              </w:rPr>
              <w:t>/</w:t>
            </w:r>
            <w:r>
              <w:rPr>
                <w:rFonts w:hint="eastAsia"/>
                <w:color w:val="auto"/>
              </w:rPr>
              <w:t>备案）文号</w:t>
            </w:r>
          </w:p>
        </w:tc>
        <w:tc>
          <w:tcPr>
            <w:tcW w:w="1865" w:type="pct"/>
            <w:vAlign w:val="center"/>
          </w:tcPr>
          <w:p w14:paraId="47ABAA4B">
            <w:pPr>
              <w:spacing w:line="240" w:lineRule="auto"/>
              <w:ind w:firstLine="0" w:firstLineChars="0"/>
              <w:jc w:val="center"/>
              <w:rPr>
                <w:color w:val="auto"/>
              </w:rPr>
            </w:pPr>
            <w:r>
              <w:rPr>
                <w:rFonts w:hint="eastAsia"/>
                <w:color w:val="auto"/>
              </w:rPr>
              <w:t>2408-410923-04-01-671066</w:t>
            </w:r>
          </w:p>
        </w:tc>
      </w:tr>
      <w:tr w14:paraId="1132A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24" w:hRule="atLeast"/>
          <w:jc w:val="center"/>
        </w:trPr>
        <w:tc>
          <w:tcPr>
            <w:tcW w:w="454" w:type="pct"/>
            <w:tcMar>
              <w:top w:w="16" w:type="dxa"/>
              <w:left w:w="16" w:type="dxa"/>
              <w:right w:w="16" w:type="dxa"/>
            </w:tcMar>
            <w:vAlign w:val="center"/>
          </w:tcPr>
          <w:p w14:paraId="130D79A1">
            <w:pPr>
              <w:spacing w:line="240" w:lineRule="auto"/>
              <w:ind w:firstLine="0" w:firstLineChars="0"/>
              <w:jc w:val="center"/>
              <w:rPr>
                <w:color w:val="auto"/>
              </w:rPr>
            </w:pPr>
            <w:r>
              <w:rPr>
                <w:rFonts w:hint="eastAsia"/>
                <w:color w:val="auto"/>
              </w:rPr>
              <w:t>总投资（万元）</w:t>
            </w:r>
          </w:p>
        </w:tc>
        <w:tc>
          <w:tcPr>
            <w:tcW w:w="1575" w:type="pct"/>
            <w:vAlign w:val="center"/>
          </w:tcPr>
          <w:p w14:paraId="160CD2F2">
            <w:pPr>
              <w:spacing w:line="240" w:lineRule="auto"/>
              <w:ind w:firstLine="0" w:firstLineChars="0"/>
              <w:jc w:val="center"/>
              <w:rPr>
                <w:rFonts w:hint="default" w:eastAsia="宋体"/>
                <w:color w:val="auto"/>
                <w:lang w:val="en-US" w:eastAsia="zh-CN"/>
              </w:rPr>
            </w:pPr>
            <w:r>
              <w:rPr>
                <w:rFonts w:hint="eastAsia"/>
                <w:color w:val="auto"/>
                <w:lang w:val="en-US" w:eastAsia="zh-CN"/>
              </w:rPr>
              <w:t>47000</w:t>
            </w:r>
          </w:p>
        </w:tc>
        <w:tc>
          <w:tcPr>
            <w:tcW w:w="1104" w:type="pct"/>
            <w:tcMar>
              <w:top w:w="16" w:type="dxa"/>
              <w:left w:w="16" w:type="dxa"/>
              <w:right w:w="16" w:type="dxa"/>
            </w:tcMar>
            <w:vAlign w:val="center"/>
          </w:tcPr>
          <w:p w14:paraId="08EA8F48">
            <w:pPr>
              <w:spacing w:line="240" w:lineRule="auto"/>
              <w:ind w:firstLine="0" w:firstLineChars="0"/>
              <w:jc w:val="center"/>
              <w:rPr>
                <w:color w:val="auto"/>
              </w:rPr>
            </w:pPr>
            <w:r>
              <w:rPr>
                <w:rFonts w:hint="eastAsia"/>
                <w:color w:val="auto"/>
              </w:rPr>
              <w:t>环保投资（万元）</w:t>
            </w:r>
          </w:p>
        </w:tc>
        <w:tc>
          <w:tcPr>
            <w:tcW w:w="1865" w:type="pct"/>
            <w:vAlign w:val="center"/>
          </w:tcPr>
          <w:p w14:paraId="0CBFD945">
            <w:pPr>
              <w:spacing w:line="240" w:lineRule="auto"/>
              <w:ind w:firstLine="0" w:firstLineChars="0"/>
              <w:jc w:val="center"/>
              <w:rPr>
                <w:rFonts w:hint="default" w:eastAsia="宋体"/>
                <w:color w:val="auto"/>
                <w:lang w:val="en-US" w:eastAsia="zh-CN"/>
              </w:rPr>
            </w:pPr>
            <w:r>
              <w:rPr>
                <w:rFonts w:hint="eastAsia"/>
                <w:color w:val="auto"/>
                <w:lang w:val="en-US" w:eastAsia="zh-CN"/>
              </w:rPr>
              <w:t>387</w:t>
            </w:r>
          </w:p>
        </w:tc>
      </w:tr>
      <w:tr w14:paraId="00330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24" w:hRule="atLeast"/>
          <w:jc w:val="center"/>
        </w:trPr>
        <w:tc>
          <w:tcPr>
            <w:tcW w:w="454" w:type="pct"/>
            <w:tcMar>
              <w:top w:w="16" w:type="dxa"/>
              <w:left w:w="16" w:type="dxa"/>
              <w:right w:w="16" w:type="dxa"/>
            </w:tcMar>
            <w:vAlign w:val="center"/>
          </w:tcPr>
          <w:p w14:paraId="32D74C58">
            <w:pPr>
              <w:spacing w:line="240" w:lineRule="auto"/>
              <w:ind w:firstLine="0" w:firstLineChars="0"/>
              <w:jc w:val="center"/>
              <w:rPr>
                <w:rFonts w:hint="eastAsia" w:eastAsia="宋体"/>
                <w:color w:val="auto"/>
                <w:lang w:eastAsia="zh-CN"/>
              </w:rPr>
            </w:pPr>
            <w:r>
              <w:rPr>
                <w:rFonts w:hint="eastAsia"/>
                <w:color w:val="auto"/>
              </w:rPr>
              <w:t>环保投资占比</w:t>
            </w:r>
            <w:r>
              <w:rPr>
                <w:rFonts w:hint="eastAsia"/>
                <w:color w:val="auto"/>
                <w:lang w:eastAsia="zh-CN"/>
              </w:rPr>
              <w:t>（</w:t>
            </w:r>
            <w:r>
              <w:rPr>
                <w:rFonts w:hint="eastAsia"/>
                <w:color w:val="auto"/>
                <w:lang w:val="en-US" w:eastAsia="zh-CN"/>
              </w:rPr>
              <w:t>%</w:t>
            </w:r>
            <w:r>
              <w:rPr>
                <w:rFonts w:hint="eastAsia"/>
                <w:color w:val="auto"/>
                <w:lang w:eastAsia="zh-CN"/>
              </w:rPr>
              <w:t>）</w:t>
            </w:r>
          </w:p>
        </w:tc>
        <w:tc>
          <w:tcPr>
            <w:tcW w:w="1575" w:type="pct"/>
            <w:vAlign w:val="center"/>
          </w:tcPr>
          <w:p w14:paraId="61C2E558">
            <w:pPr>
              <w:spacing w:line="240" w:lineRule="auto"/>
              <w:ind w:firstLine="0" w:firstLineChars="0"/>
              <w:jc w:val="center"/>
              <w:rPr>
                <w:rFonts w:hint="default" w:eastAsia="宋体"/>
                <w:color w:val="auto"/>
                <w:lang w:val="en-US" w:eastAsia="zh-CN"/>
              </w:rPr>
            </w:pPr>
            <w:r>
              <w:rPr>
                <w:rFonts w:hint="eastAsia"/>
                <w:color w:val="auto"/>
                <w:lang w:val="en-US" w:eastAsia="zh-CN"/>
              </w:rPr>
              <w:t>0.82</w:t>
            </w:r>
          </w:p>
        </w:tc>
        <w:tc>
          <w:tcPr>
            <w:tcW w:w="1104" w:type="pct"/>
            <w:tcMar>
              <w:top w:w="16" w:type="dxa"/>
              <w:left w:w="16" w:type="dxa"/>
              <w:right w:w="16" w:type="dxa"/>
            </w:tcMar>
            <w:vAlign w:val="center"/>
          </w:tcPr>
          <w:p w14:paraId="590C2D87">
            <w:pPr>
              <w:spacing w:line="240" w:lineRule="auto"/>
              <w:ind w:firstLine="0" w:firstLineChars="0"/>
              <w:jc w:val="center"/>
              <w:rPr>
                <w:color w:val="auto"/>
              </w:rPr>
            </w:pPr>
            <w:r>
              <w:rPr>
                <w:rFonts w:hint="eastAsia"/>
                <w:color w:val="auto"/>
              </w:rPr>
              <w:t>施工工期</w:t>
            </w:r>
          </w:p>
        </w:tc>
        <w:tc>
          <w:tcPr>
            <w:tcW w:w="1865" w:type="pct"/>
            <w:vAlign w:val="center"/>
          </w:tcPr>
          <w:p w14:paraId="373A9B8F">
            <w:pPr>
              <w:spacing w:line="240" w:lineRule="auto"/>
              <w:ind w:firstLine="0" w:firstLineChars="0"/>
              <w:jc w:val="center"/>
              <w:rPr>
                <w:rFonts w:hint="default" w:eastAsia="宋体"/>
                <w:color w:val="auto"/>
                <w:lang w:val="en-US" w:eastAsia="zh-CN"/>
              </w:rPr>
            </w:pPr>
            <w:r>
              <w:rPr>
                <w:rFonts w:hint="eastAsia"/>
                <w:color w:val="auto"/>
                <w:lang w:val="en-US" w:eastAsia="zh-CN"/>
              </w:rPr>
              <w:t>12个月</w:t>
            </w:r>
          </w:p>
        </w:tc>
      </w:tr>
      <w:tr w14:paraId="30B0F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24" w:hRule="atLeast"/>
          <w:jc w:val="center"/>
        </w:trPr>
        <w:tc>
          <w:tcPr>
            <w:tcW w:w="454" w:type="pct"/>
            <w:tcMar>
              <w:top w:w="16" w:type="dxa"/>
              <w:left w:w="16" w:type="dxa"/>
              <w:right w:w="16" w:type="dxa"/>
            </w:tcMar>
            <w:vAlign w:val="center"/>
          </w:tcPr>
          <w:p w14:paraId="0D2981E4">
            <w:pPr>
              <w:spacing w:line="240" w:lineRule="auto"/>
              <w:ind w:firstLine="0" w:firstLineChars="0"/>
              <w:jc w:val="center"/>
              <w:rPr>
                <w:color w:val="auto"/>
              </w:rPr>
            </w:pPr>
            <w:r>
              <w:rPr>
                <w:rFonts w:hint="eastAsia"/>
                <w:color w:val="auto"/>
              </w:rPr>
              <w:t>是否开工建设</w:t>
            </w:r>
          </w:p>
        </w:tc>
        <w:tc>
          <w:tcPr>
            <w:tcW w:w="1575" w:type="pct"/>
            <w:vAlign w:val="center"/>
          </w:tcPr>
          <w:p w14:paraId="63BD710C">
            <w:pPr>
              <w:spacing w:line="240" w:lineRule="auto"/>
              <w:ind w:firstLine="0" w:firstLineChars="0"/>
              <w:jc w:val="left"/>
              <w:rPr>
                <w:color w:val="auto"/>
              </w:rPr>
            </w:pPr>
            <w:r>
              <w:rPr>
                <w:rFonts w:hint="eastAsia"/>
                <w:color w:val="auto"/>
              </w:rPr>
              <w:sym w:font="Wingdings" w:char="F0FE"/>
            </w:r>
            <w:r>
              <w:rPr>
                <w:rFonts w:hint="eastAsia"/>
                <w:color w:val="auto"/>
              </w:rPr>
              <w:t>否</w:t>
            </w:r>
          </w:p>
          <w:p w14:paraId="4B826C2A">
            <w:pPr>
              <w:spacing w:line="240" w:lineRule="auto"/>
              <w:ind w:firstLine="0" w:firstLineChars="0"/>
              <w:jc w:val="left"/>
              <w:rPr>
                <w:color w:val="auto"/>
              </w:rPr>
            </w:pPr>
            <w:r>
              <w:rPr>
                <w:rFonts w:hint="eastAsia"/>
                <w:color w:val="auto"/>
              </w:rPr>
              <w:sym w:font="Wingdings 2" w:char="00A3"/>
            </w:r>
            <w:r>
              <w:rPr>
                <w:rFonts w:hint="eastAsia"/>
                <w:color w:val="auto"/>
              </w:rPr>
              <w:t>是：</w:t>
            </w:r>
            <w:r>
              <w:rPr>
                <w:rFonts w:hint="eastAsia"/>
                <w:color w:val="auto"/>
                <w:u w:val="single"/>
              </w:rPr>
              <w:t xml:space="preserve">             </w:t>
            </w:r>
          </w:p>
        </w:tc>
        <w:tc>
          <w:tcPr>
            <w:tcW w:w="1104" w:type="pct"/>
            <w:tcMar>
              <w:top w:w="16" w:type="dxa"/>
              <w:left w:w="16" w:type="dxa"/>
              <w:right w:w="16" w:type="dxa"/>
            </w:tcMar>
            <w:vAlign w:val="center"/>
          </w:tcPr>
          <w:p w14:paraId="266B2AC7">
            <w:pPr>
              <w:spacing w:line="240" w:lineRule="auto"/>
              <w:ind w:firstLine="0" w:firstLineChars="0"/>
              <w:jc w:val="center"/>
              <w:rPr>
                <w:color w:val="auto"/>
                <w:spacing w:val="-6"/>
              </w:rPr>
            </w:pPr>
            <w:r>
              <w:rPr>
                <w:rFonts w:hint="eastAsia"/>
                <w:color w:val="auto"/>
                <w:spacing w:val="-6"/>
              </w:rPr>
              <w:t>用地（用海）</w:t>
            </w:r>
          </w:p>
          <w:p w14:paraId="2EE2BEB1">
            <w:pPr>
              <w:spacing w:line="240" w:lineRule="auto"/>
              <w:ind w:firstLine="0" w:firstLineChars="0"/>
              <w:jc w:val="center"/>
              <w:rPr>
                <w:color w:val="auto"/>
              </w:rPr>
            </w:pPr>
            <w:r>
              <w:rPr>
                <w:rFonts w:hint="eastAsia"/>
                <w:color w:val="auto"/>
                <w:spacing w:val="-6"/>
              </w:rPr>
              <w:t>面积（</w:t>
            </w:r>
            <w:r>
              <w:rPr>
                <w:color w:val="auto"/>
                <w:spacing w:val="-6"/>
              </w:rPr>
              <w:t>m</w:t>
            </w:r>
            <w:r>
              <w:rPr>
                <w:color w:val="auto"/>
                <w:spacing w:val="-6"/>
                <w:vertAlign w:val="superscript"/>
              </w:rPr>
              <w:t>2</w:t>
            </w:r>
            <w:r>
              <w:rPr>
                <w:rFonts w:hint="eastAsia"/>
                <w:color w:val="auto"/>
                <w:spacing w:val="-6"/>
              </w:rPr>
              <w:t>）</w:t>
            </w:r>
          </w:p>
        </w:tc>
        <w:tc>
          <w:tcPr>
            <w:tcW w:w="1865" w:type="pct"/>
            <w:vAlign w:val="center"/>
          </w:tcPr>
          <w:p w14:paraId="48E46CFC">
            <w:pPr>
              <w:spacing w:line="240" w:lineRule="auto"/>
              <w:ind w:firstLine="0" w:firstLineChars="0"/>
              <w:jc w:val="center"/>
              <w:rPr>
                <w:rFonts w:hint="default" w:eastAsia="宋体"/>
                <w:color w:val="auto"/>
                <w:lang w:val="en-US" w:eastAsia="zh-CN"/>
              </w:rPr>
            </w:pPr>
            <w:r>
              <w:rPr>
                <w:rFonts w:hint="default" w:eastAsia="宋体"/>
                <w:color w:val="auto"/>
                <w:lang w:val="en-US" w:eastAsia="zh-CN"/>
              </w:rPr>
              <w:t>32934(约49.4亩)</w:t>
            </w:r>
          </w:p>
        </w:tc>
      </w:tr>
      <w:tr w14:paraId="37EF2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24" w:hRule="atLeast"/>
          <w:jc w:val="center"/>
        </w:trPr>
        <w:tc>
          <w:tcPr>
            <w:tcW w:w="454" w:type="pct"/>
            <w:vAlign w:val="center"/>
          </w:tcPr>
          <w:p w14:paraId="1461713E">
            <w:pPr>
              <w:spacing w:line="240" w:lineRule="auto"/>
              <w:ind w:firstLine="0" w:firstLineChars="0"/>
              <w:jc w:val="center"/>
              <w:rPr>
                <w:color w:val="auto"/>
                <w:kern w:val="0"/>
              </w:rPr>
            </w:pPr>
            <w:r>
              <w:rPr>
                <w:rFonts w:hint="eastAsia"/>
                <w:color w:val="auto"/>
                <w:kern w:val="0"/>
              </w:rPr>
              <w:t>专项评价设置情况</w:t>
            </w:r>
          </w:p>
        </w:tc>
        <w:tc>
          <w:tcPr>
            <w:tcW w:w="4545" w:type="pct"/>
            <w:gridSpan w:val="3"/>
            <w:vAlign w:val="center"/>
          </w:tcPr>
          <w:p w14:paraId="5E906DE5">
            <w:pPr>
              <w:spacing w:line="240" w:lineRule="auto"/>
              <w:ind w:firstLine="0" w:firstLineChars="0"/>
              <w:jc w:val="center"/>
            </w:pPr>
            <w:r>
              <w:rPr>
                <w:rFonts w:hint="eastAsia"/>
                <w:color w:val="auto"/>
                <w:kern w:val="0"/>
              </w:rPr>
              <w:t>无</w:t>
            </w:r>
          </w:p>
        </w:tc>
      </w:tr>
      <w:tr w14:paraId="3AEE7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67" w:hRule="atLeast"/>
          <w:jc w:val="center"/>
        </w:trPr>
        <w:tc>
          <w:tcPr>
            <w:tcW w:w="454" w:type="pct"/>
            <w:vAlign w:val="center"/>
          </w:tcPr>
          <w:p w14:paraId="235EBDCA">
            <w:pPr>
              <w:spacing w:line="240" w:lineRule="auto"/>
              <w:ind w:firstLine="0" w:firstLineChars="0"/>
              <w:jc w:val="center"/>
              <w:rPr>
                <w:color w:val="auto"/>
                <w:kern w:val="0"/>
              </w:rPr>
            </w:pPr>
            <w:r>
              <w:rPr>
                <w:rFonts w:hint="eastAsia"/>
                <w:color w:val="auto"/>
              </w:rPr>
              <w:t>规划情况</w:t>
            </w:r>
          </w:p>
        </w:tc>
        <w:tc>
          <w:tcPr>
            <w:tcW w:w="4545" w:type="pct"/>
            <w:gridSpan w:val="3"/>
            <w:vAlign w:val="center"/>
          </w:tcPr>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28" w:type="dxa"/>
                <w:bottom w:w="28" w:type="dxa"/>
                <w:right w:w="28" w:type="dxa"/>
              </w:tblCellMar>
            </w:tblPr>
            <w:tblGrid>
              <w:gridCol w:w="1168"/>
              <w:gridCol w:w="2097"/>
              <w:gridCol w:w="1529"/>
              <w:gridCol w:w="1337"/>
              <w:gridCol w:w="1053"/>
              <w:gridCol w:w="877"/>
            </w:tblGrid>
            <w:tr w14:paraId="5581B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724" w:type="pct"/>
                  <w:vAlign w:val="center"/>
                </w:tcPr>
                <w:p w14:paraId="68F37545">
                  <w:pPr>
                    <w:spacing w:line="240" w:lineRule="auto"/>
                    <w:ind w:firstLine="0" w:firstLineChars="0"/>
                    <w:jc w:val="center"/>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调整年份</w:t>
                  </w:r>
                </w:p>
              </w:tc>
              <w:tc>
                <w:tcPr>
                  <w:tcW w:w="1300" w:type="pct"/>
                  <w:vAlign w:val="center"/>
                </w:tcPr>
                <w:p w14:paraId="180C0F02">
                  <w:pPr>
                    <w:spacing w:line="240" w:lineRule="auto"/>
                    <w:ind w:firstLine="0" w:firstLineChars="0"/>
                    <w:jc w:val="center"/>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调整内容</w:t>
                  </w:r>
                </w:p>
              </w:tc>
              <w:tc>
                <w:tcPr>
                  <w:tcW w:w="948" w:type="pct"/>
                  <w:vAlign w:val="center"/>
                </w:tcPr>
                <w:p w14:paraId="03D0A2E6">
                  <w:pPr>
                    <w:spacing w:line="240" w:lineRule="auto"/>
                    <w:ind w:firstLine="0" w:firstLineChars="0"/>
                    <w:jc w:val="center"/>
                    <w:rPr>
                      <w:rFonts w:hint="eastAsia"/>
                      <w:b/>
                      <w:bCs/>
                      <w:color w:val="auto"/>
                      <w:sz w:val="24"/>
                      <w:szCs w:val="24"/>
                    </w:rPr>
                  </w:pPr>
                  <w:r>
                    <w:rPr>
                      <w:rFonts w:hint="eastAsia"/>
                      <w:b/>
                      <w:bCs/>
                      <w:color w:val="auto"/>
                      <w:sz w:val="24"/>
                      <w:szCs w:val="24"/>
                    </w:rPr>
                    <w:t>规划文件名称</w:t>
                  </w:r>
                </w:p>
              </w:tc>
              <w:tc>
                <w:tcPr>
                  <w:tcW w:w="829" w:type="pct"/>
                  <w:vAlign w:val="center"/>
                </w:tcPr>
                <w:p w14:paraId="7C9D8CEA">
                  <w:pPr>
                    <w:spacing w:line="240" w:lineRule="auto"/>
                    <w:ind w:firstLine="0" w:firstLineChars="0"/>
                    <w:jc w:val="center"/>
                    <w:rPr>
                      <w:rFonts w:hint="eastAsia"/>
                      <w:b/>
                      <w:bCs/>
                      <w:color w:val="auto"/>
                      <w:sz w:val="24"/>
                      <w:szCs w:val="24"/>
                    </w:rPr>
                  </w:pPr>
                  <w:r>
                    <w:rPr>
                      <w:rFonts w:hint="eastAsia"/>
                      <w:b/>
                      <w:bCs/>
                      <w:color w:val="auto"/>
                      <w:sz w:val="24"/>
                      <w:szCs w:val="24"/>
                    </w:rPr>
                    <w:t>审批机关</w:t>
                  </w:r>
                </w:p>
              </w:tc>
              <w:tc>
                <w:tcPr>
                  <w:tcW w:w="653" w:type="pct"/>
                  <w:vAlign w:val="center"/>
                </w:tcPr>
                <w:p w14:paraId="45243719">
                  <w:pPr>
                    <w:spacing w:line="240" w:lineRule="auto"/>
                    <w:ind w:firstLine="0" w:firstLineChars="0"/>
                    <w:jc w:val="center"/>
                    <w:rPr>
                      <w:rFonts w:hint="eastAsia"/>
                      <w:b/>
                      <w:bCs/>
                      <w:color w:val="auto"/>
                      <w:sz w:val="24"/>
                      <w:szCs w:val="24"/>
                    </w:rPr>
                  </w:pPr>
                  <w:r>
                    <w:rPr>
                      <w:rFonts w:hint="eastAsia"/>
                      <w:b/>
                      <w:bCs/>
                      <w:color w:val="auto"/>
                      <w:sz w:val="24"/>
                      <w:szCs w:val="24"/>
                    </w:rPr>
                    <w:t>审批文号</w:t>
                  </w:r>
                </w:p>
              </w:tc>
              <w:tc>
                <w:tcPr>
                  <w:tcW w:w="543" w:type="pct"/>
                  <w:vAlign w:val="center"/>
                </w:tcPr>
                <w:p w14:paraId="7D60BBD2">
                  <w:pPr>
                    <w:spacing w:line="240" w:lineRule="auto"/>
                    <w:ind w:firstLine="0" w:firstLineChars="0"/>
                    <w:jc w:val="center"/>
                    <w:rPr>
                      <w:rFonts w:hint="eastAsia"/>
                      <w:b/>
                      <w:bCs/>
                      <w:color w:val="auto"/>
                      <w:sz w:val="24"/>
                      <w:szCs w:val="24"/>
                    </w:rPr>
                  </w:pPr>
                  <w:r>
                    <w:rPr>
                      <w:rFonts w:hint="eastAsia"/>
                      <w:b/>
                      <w:bCs/>
                      <w:color w:val="auto"/>
                      <w:sz w:val="24"/>
                      <w:szCs w:val="24"/>
                    </w:rPr>
                    <w:t>审批时间</w:t>
                  </w:r>
                </w:p>
              </w:tc>
            </w:tr>
            <w:tr w14:paraId="66618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724" w:type="pct"/>
                  <w:vAlign w:val="center"/>
                </w:tcPr>
                <w:p w14:paraId="26F497CD">
                  <w:pPr>
                    <w:spacing w:line="240" w:lineRule="auto"/>
                    <w:ind w:firstLine="0" w:firstLineChars="0"/>
                    <w:jc w:val="center"/>
                    <w:rPr>
                      <w:rFonts w:hint="eastAsia" w:ascii="Times New Roman" w:hAnsi="Times New Roman" w:eastAsia="宋体" w:cs="Times New Roman"/>
                      <w:b w:val="0"/>
                      <w:bCs w:val="0"/>
                      <w:color w:val="auto"/>
                      <w:sz w:val="24"/>
                      <w:szCs w:val="24"/>
                    </w:rPr>
                  </w:pPr>
                  <w:r>
                    <w:rPr>
                      <w:rFonts w:hint="eastAsia" w:ascii="Times New Roman" w:hAnsi="Times New Roman" w:eastAsia="宋体" w:cs="Times New Roman"/>
                      <w:b w:val="0"/>
                      <w:bCs w:val="0"/>
                      <w:color w:val="auto"/>
                      <w:sz w:val="24"/>
                      <w:szCs w:val="24"/>
                      <w:lang w:val="en-US" w:eastAsia="zh-CN"/>
                    </w:rPr>
                    <w:t>2008年</w:t>
                  </w:r>
                </w:p>
              </w:tc>
              <w:tc>
                <w:tcPr>
                  <w:tcW w:w="1300" w:type="pct"/>
                  <w:vAlign w:val="center"/>
                </w:tcPr>
                <w:p w14:paraId="26CC8BED">
                  <w:pPr>
                    <w:spacing w:line="240" w:lineRule="auto"/>
                    <w:ind w:firstLine="0" w:firstLineChars="0"/>
                    <w:jc w:val="center"/>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首次规划</w:t>
                  </w:r>
                </w:p>
              </w:tc>
              <w:tc>
                <w:tcPr>
                  <w:tcW w:w="948" w:type="pct"/>
                  <w:vAlign w:val="center"/>
                </w:tcPr>
                <w:p w14:paraId="0159073C">
                  <w:pPr>
                    <w:spacing w:line="240" w:lineRule="auto"/>
                    <w:ind w:firstLine="0" w:firstLineChars="0"/>
                    <w:jc w:val="center"/>
                    <w:rPr>
                      <w:rFonts w:hint="eastAsia"/>
                      <w:color w:val="auto"/>
                      <w:sz w:val="24"/>
                      <w:szCs w:val="24"/>
                    </w:rPr>
                  </w:pPr>
                  <w:r>
                    <w:rPr>
                      <w:rFonts w:hint="eastAsia" w:cs="Times New Roman"/>
                      <w:color w:val="auto"/>
                      <w:kern w:val="0"/>
                      <w:sz w:val="24"/>
                      <w:szCs w:val="24"/>
                      <w:lang w:eastAsia="zh-CN"/>
                    </w:rPr>
                    <w:t>南乐县</w:t>
                  </w:r>
                  <w:r>
                    <w:rPr>
                      <w:rFonts w:hint="eastAsia" w:cs="Times New Roman"/>
                      <w:color w:val="auto"/>
                      <w:kern w:val="0"/>
                      <w:sz w:val="24"/>
                      <w:szCs w:val="24"/>
                      <w:lang w:val="en-US" w:eastAsia="zh-CN"/>
                    </w:rPr>
                    <w:t>产业集聚区</w:t>
                  </w:r>
                  <w:r>
                    <w:rPr>
                      <w:rFonts w:hint="eastAsia"/>
                      <w:color w:val="auto"/>
                      <w:sz w:val="24"/>
                      <w:szCs w:val="24"/>
                    </w:rPr>
                    <w:t>发展规划（2009-2020年）</w:t>
                  </w:r>
                </w:p>
              </w:tc>
              <w:tc>
                <w:tcPr>
                  <w:tcW w:w="829" w:type="pct"/>
                  <w:vAlign w:val="center"/>
                </w:tcPr>
                <w:p w14:paraId="7B4B7ADB">
                  <w:pPr>
                    <w:spacing w:line="240" w:lineRule="auto"/>
                    <w:ind w:firstLine="0" w:firstLineChars="0"/>
                    <w:jc w:val="center"/>
                    <w:rPr>
                      <w:rFonts w:hint="eastAsia"/>
                      <w:color w:val="auto"/>
                      <w:sz w:val="24"/>
                      <w:szCs w:val="24"/>
                    </w:rPr>
                  </w:pPr>
                  <w:r>
                    <w:rPr>
                      <w:rFonts w:hint="eastAsia"/>
                      <w:color w:val="auto"/>
                      <w:sz w:val="24"/>
                      <w:szCs w:val="24"/>
                    </w:rPr>
                    <w:t>河南省发展和改革委员会</w:t>
                  </w:r>
                </w:p>
              </w:tc>
              <w:tc>
                <w:tcPr>
                  <w:tcW w:w="653" w:type="pct"/>
                  <w:vAlign w:val="center"/>
                </w:tcPr>
                <w:p w14:paraId="0F6DC1CD">
                  <w:pPr>
                    <w:spacing w:line="240" w:lineRule="auto"/>
                    <w:ind w:firstLine="0" w:firstLineChars="0"/>
                    <w:jc w:val="center"/>
                    <w:rPr>
                      <w:rFonts w:hint="eastAsia"/>
                      <w:color w:val="auto"/>
                      <w:sz w:val="24"/>
                      <w:szCs w:val="24"/>
                    </w:rPr>
                  </w:pPr>
                  <w:r>
                    <w:rPr>
                      <w:rFonts w:hint="eastAsia"/>
                      <w:color w:val="auto"/>
                      <w:sz w:val="24"/>
                      <w:szCs w:val="24"/>
                    </w:rPr>
                    <w:t>豫发改工业〔2010〕474号</w:t>
                  </w:r>
                </w:p>
              </w:tc>
              <w:tc>
                <w:tcPr>
                  <w:tcW w:w="543" w:type="pct"/>
                  <w:vAlign w:val="center"/>
                </w:tcPr>
                <w:p w14:paraId="11B6F4B1">
                  <w:pPr>
                    <w:spacing w:line="240" w:lineRule="auto"/>
                    <w:ind w:firstLine="0" w:firstLineChars="0"/>
                    <w:jc w:val="center"/>
                    <w:rPr>
                      <w:rFonts w:hint="eastAsia"/>
                      <w:color w:val="auto"/>
                      <w:sz w:val="24"/>
                      <w:szCs w:val="24"/>
                    </w:rPr>
                  </w:pPr>
                  <w:r>
                    <w:rPr>
                      <w:rFonts w:hint="eastAsia"/>
                      <w:color w:val="auto"/>
                      <w:sz w:val="24"/>
                      <w:szCs w:val="24"/>
                    </w:rPr>
                    <w:t>2010年4月</w:t>
                  </w:r>
                </w:p>
              </w:tc>
            </w:tr>
            <w:tr w14:paraId="0F8C9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724" w:type="pct"/>
                  <w:vAlign w:val="center"/>
                </w:tcPr>
                <w:p w14:paraId="5DD8CDBE">
                  <w:pPr>
                    <w:spacing w:line="240" w:lineRule="auto"/>
                    <w:ind w:firstLine="0" w:firstLineChars="0"/>
                    <w:jc w:val="center"/>
                    <w:rPr>
                      <w:b w:val="0"/>
                      <w:bCs w:val="0"/>
                      <w:color w:val="auto"/>
                      <w:sz w:val="24"/>
                      <w:szCs w:val="24"/>
                    </w:rPr>
                  </w:pPr>
                  <w:r>
                    <w:rPr>
                      <w:rFonts w:hint="eastAsia" w:ascii="Times New Roman" w:hAnsi="Times New Roman" w:eastAsia="宋体" w:cs="Times New Roman"/>
                      <w:b w:val="0"/>
                      <w:bCs w:val="0"/>
                      <w:color w:val="auto"/>
                      <w:sz w:val="24"/>
                      <w:szCs w:val="24"/>
                    </w:rPr>
                    <w:t>2012年</w:t>
                  </w:r>
                </w:p>
              </w:tc>
              <w:tc>
                <w:tcPr>
                  <w:tcW w:w="1300" w:type="pct"/>
                  <w:shd w:val="clear" w:color="auto" w:fill="auto"/>
                  <w:vAlign w:val="center"/>
                </w:tcPr>
                <w:p w14:paraId="20C0CCFF">
                  <w:pPr>
                    <w:spacing w:line="240" w:lineRule="auto"/>
                    <w:ind w:firstLine="0" w:firstLineChars="0"/>
                    <w:jc w:val="center"/>
                    <w:rPr>
                      <w:rFonts w:hint="eastAsia" w:ascii="Times New Roman" w:hAnsi="Times New Roman" w:eastAsia="宋体" w:cs="Times New Roman"/>
                      <w:b w:val="0"/>
                      <w:bCs w:val="0"/>
                      <w:color w:val="auto"/>
                      <w:sz w:val="24"/>
                      <w:szCs w:val="24"/>
                    </w:rPr>
                  </w:pPr>
                  <w:r>
                    <w:rPr>
                      <w:rFonts w:hint="eastAsia" w:ascii="Times New Roman" w:hAnsi="Times New Roman" w:eastAsia="宋体" w:cs="Times New Roman"/>
                      <w:b w:val="0"/>
                      <w:bCs w:val="0"/>
                      <w:color w:val="auto"/>
                      <w:sz w:val="24"/>
                      <w:szCs w:val="24"/>
                    </w:rPr>
                    <w:t>同意集聚区规划调整方案，沿原规划南、北边界适度拓展，新增规划面积6.3平方公里；新增主导产业—装备制造业</w:t>
                  </w:r>
                </w:p>
              </w:tc>
              <w:tc>
                <w:tcPr>
                  <w:tcW w:w="948" w:type="pct"/>
                  <w:shd w:val="clear" w:color="auto" w:fill="auto"/>
                  <w:vAlign w:val="center"/>
                </w:tcPr>
                <w:p w14:paraId="0255D45D">
                  <w:pPr>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kern w:val="0"/>
                      <w:sz w:val="24"/>
                      <w:szCs w:val="24"/>
                      <w:lang w:eastAsia="zh-CN"/>
                    </w:rPr>
                    <w:t>南乐县</w:t>
                  </w:r>
                  <w:r>
                    <w:rPr>
                      <w:rFonts w:hint="eastAsia" w:cs="Times New Roman"/>
                      <w:color w:val="auto"/>
                      <w:kern w:val="0"/>
                      <w:sz w:val="24"/>
                      <w:szCs w:val="24"/>
                      <w:lang w:val="en-US" w:eastAsia="zh-CN"/>
                    </w:rPr>
                    <w:t>产业集聚区</w:t>
                  </w:r>
                  <w:r>
                    <w:rPr>
                      <w:rFonts w:hint="eastAsia"/>
                      <w:color w:val="auto"/>
                      <w:sz w:val="24"/>
                      <w:szCs w:val="24"/>
                    </w:rPr>
                    <w:t>发展规划（2009-2020年）及调整方案</w:t>
                  </w:r>
                </w:p>
              </w:tc>
              <w:tc>
                <w:tcPr>
                  <w:tcW w:w="829" w:type="pct"/>
                  <w:shd w:val="clear" w:color="auto" w:fill="auto"/>
                  <w:vAlign w:val="center"/>
                </w:tcPr>
                <w:p w14:paraId="333DA53B">
                  <w:pPr>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szCs w:val="24"/>
                    </w:rPr>
                    <w:t>河南省发展和改革委员会</w:t>
                  </w:r>
                </w:p>
              </w:tc>
              <w:tc>
                <w:tcPr>
                  <w:tcW w:w="653" w:type="pct"/>
                  <w:shd w:val="clear" w:color="auto" w:fill="auto"/>
                  <w:vAlign w:val="center"/>
                </w:tcPr>
                <w:p w14:paraId="00040983">
                  <w:pPr>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szCs w:val="24"/>
                    </w:rPr>
                    <w:t>豫发改工业〔2012〕1606号</w:t>
                  </w:r>
                </w:p>
              </w:tc>
              <w:tc>
                <w:tcPr>
                  <w:tcW w:w="543" w:type="pct"/>
                  <w:shd w:val="clear" w:color="auto" w:fill="auto"/>
                  <w:vAlign w:val="center"/>
                </w:tcPr>
                <w:p w14:paraId="2AE426A2">
                  <w:pPr>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szCs w:val="24"/>
                    </w:rPr>
                    <w:t>2012年10月18日</w:t>
                  </w:r>
                </w:p>
              </w:tc>
            </w:tr>
            <w:tr w14:paraId="751A7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724" w:type="pct"/>
                  <w:vAlign w:val="center"/>
                </w:tcPr>
                <w:p w14:paraId="4096EEF4">
                  <w:pPr>
                    <w:spacing w:line="240" w:lineRule="auto"/>
                    <w:ind w:firstLine="0" w:firstLineChars="0"/>
                    <w:jc w:val="center"/>
                    <w:rPr>
                      <w:b w:val="0"/>
                      <w:bCs w:val="0"/>
                      <w:color w:val="auto"/>
                      <w:sz w:val="24"/>
                      <w:szCs w:val="24"/>
                    </w:rPr>
                  </w:pPr>
                  <w:r>
                    <w:rPr>
                      <w:rFonts w:hint="eastAsia" w:ascii="Times New Roman" w:hAnsi="Times New Roman" w:eastAsia="宋体" w:cs="Times New Roman"/>
                      <w:b w:val="0"/>
                      <w:bCs w:val="0"/>
                      <w:color w:val="auto"/>
                      <w:sz w:val="24"/>
                      <w:szCs w:val="24"/>
                    </w:rPr>
                    <w:t>2016年</w:t>
                  </w:r>
                </w:p>
              </w:tc>
              <w:tc>
                <w:tcPr>
                  <w:tcW w:w="1300" w:type="pct"/>
                  <w:vAlign w:val="center"/>
                </w:tcPr>
                <w:p w14:paraId="5DD7C8AA">
                  <w:pPr>
                    <w:spacing w:line="240" w:lineRule="auto"/>
                    <w:ind w:firstLine="0" w:firstLineChars="0"/>
                    <w:jc w:val="center"/>
                    <w:rPr>
                      <w:rFonts w:hint="eastAsia" w:ascii="Times New Roman" w:hAnsi="Times New Roman" w:eastAsia="宋体" w:cs="Times New Roman"/>
                      <w:b w:val="0"/>
                      <w:bCs w:val="0"/>
                      <w:color w:val="auto"/>
                      <w:sz w:val="24"/>
                      <w:szCs w:val="24"/>
                    </w:rPr>
                  </w:pPr>
                  <w:r>
                    <w:rPr>
                      <w:rFonts w:hint="eastAsia" w:ascii="Times New Roman" w:hAnsi="Times New Roman" w:eastAsia="宋体" w:cs="Times New Roman"/>
                      <w:b w:val="0"/>
                      <w:bCs w:val="0"/>
                      <w:color w:val="auto"/>
                      <w:sz w:val="24"/>
                      <w:szCs w:val="24"/>
                    </w:rPr>
                    <w:t>原则同意南乐县集聚区主导产业新增生物制造产业</w:t>
                  </w:r>
                </w:p>
              </w:tc>
              <w:tc>
                <w:tcPr>
                  <w:tcW w:w="948" w:type="pct"/>
                  <w:vAlign w:val="center"/>
                </w:tcPr>
                <w:p w14:paraId="44AF8A7F">
                  <w:pPr>
                    <w:spacing w:line="240" w:lineRule="auto"/>
                    <w:ind w:firstLine="0" w:firstLineChars="0"/>
                    <w:jc w:val="center"/>
                    <w:rPr>
                      <w:rFonts w:hint="eastAsia"/>
                      <w:color w:val="auto"/>
                      <w:sz w:val="24"/>
                      <w:szCs w:val="24"/>
                    </w:rPr>
                  </w:pPr>
                  <w:r>
                    <w:rPr>
                      <w:rFonts w:hint="eastAsia" w:cs="Times New Roman"/>
                      <w:color w:val="auto"/>
                      <w:kern w:val="0"/>
                      <w:sz w:val="24"/>
                      <w:szCs w:val="24"/>
                      <w:lang w:eastAsia="zh-CN"/>
                    </w:rPr>
                    <w:t>南乐县</w:t>
                  </w:r>
                  <w:r>
                    <w:rPr>
                      <w:rFonts w:hint="eastAsia" w:cs="Times New Roman"/>
                      <w:color w:val="auto"/>
                      <w:kern w:val="0"/>
                      <w:sz w:val="24"/>
                      <w:szCs w:val="24"/>
                      <w:lang w:val="en-US" w:eastAsia="zh-CN"/>
                    </w:rPr>
                    <w:t>产业集聚区</w:t>
                  </w:r>
                  <w:r>
                    <w:rPr>
                      <w:rFonts w:hint="eastAsia"/>
                      <w:color w:val="auto"/>
                      <w:kern w:val="0"/>
                      <w:sz w:val="24"/>
                      <w:szCs w:val="24"/>
                    </w:rPr>
                    <w:t>发展规划（2009-2020年）及调整方案</w:t>
                  </w:r>
                </w:p>
              </w:tc>
              <w:tc>
                <w:tcPr>
                  <w:tcW w:w="829" w:type="pct"/>
                  <w:vAlign w:val="center"/>
                </w:tcPr>
                <w:p w14:paraId="7E01883E">
                  <w:pPr>
                    <w:spacing w:line="240" w:lineRule="auto"/>
                    <w:ind w:firstLine="0" w:firstLineChars="0"/>
                    <w:jc w:val="center"/>
                    <w:rPr>
                      <w:rFonts w:hint="eastAsia"/>
                      <w:color w:val="auto"/>
                      <w:sz w:val="24"/>
                      <w:szCs w:val="24"/>
                    </w:rPr>
                  </w:pPr>
                  <w:r>
                    <w:rPr>
                      <w:rFonts w:hint="eastAsia"/>
                      <w:color w:val="auto"/>
                      <w:kern w:val="0"/>
                      <w:sz w:val="24"/>
                      <w:szCs w:val="24"/>
                    </w:rPr>
                    <w:t>河南省产业集聚区发展联席会议办公室</w:t>
                  </w:r>
                </w:p>
              </w:tc>
              <w:tc>
                <w:tcPr>
                  <w:tcW w:w="653" w:type="pct"/>
                  <w:vAlign w:val="center"/>
                </w:tcPr>
                <w:p w14:paraId="04C98BEB">
                  <w:pPr>
                    <w:spacing w:line="240" w:lineRule="auto"/>
                    <w:ind w:firstLine="0" w:firstLineChars="0"/>
                    <w:jc w:val="center"/>
                    <w:rPr>
                      <w:rFonts w:hint="eastAsia"/>
                      <w:color w:val="auto"/>
                      <w:sz w:val="24"/>
                      <w:szCs w:val="24"/>
                    </w:rPr>
                  </w:pPr>
                  <w:r>
                    <w:rPr>
                      <w:rFonts w:hint="eastAsia"/>
                      <w:color w:val="auto"/>
                      <w:kern w:val="0"/>
                      <w:sz w:val="24"/>
                      <w:szCs w:val="24"/>
                    </w:rPr>
                    <w:t>豫集聚办〔2016〕1号</w:t>
                  </w:r>
                </w:p>
              </w:tc>
              <w:tc>
                <w:tcPr>
                  <w:tcW w:w="543" w:type="pct"/>
                  <w:vAlign w:val="center"/>
                </w:tcPr>
                <w:p w14:paraId="6E2B8F2B">
                  <w:pPr>
                    <w:spacing w:line="240" w:lineRule="auto"/>
                    <w:ind w:firstLine="0" w:firstLineChars="0"/>
                    <w:jc w:val="center"/>
                    <w:rPr>
                      <w:rFonts w:hint="eastAsia"/>
                      <w:color w:val="auto"/>
                      <w:sz w:val="24"/>
                      <w:szCs w:val="24"/>
                    </w:rPr>
                  </w:pPr>
                  <w:r>
                    <w:rPr>
                      <w:rFonts w:hint="eastAsia"/>
                      <w:color w:val="auto"/>
                      <w:kern w:val="0"/>
                      <w:sz w:val="24"/>
                      <w:szCs w:val="24"/>
                    </w:rPr>
                    <w:t>2016年3月15日</w:t>
                  </w:r>
                </w:p>
              </w:tc>
            </w:tr>
            <w:tr w14:paraId="3D5A6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724" w:type="pct"/>
                  <w:vAlign w:val="center"/>
                </w:tcPr>
                <w:p w14:paraId="2DCBB68A">
                  <w:pPr>
                    <w:spacing w:line="240" w:lineRule="auto"/>
                    <w:ind w:firstLine="0" w:firstLineChars="0"/>
                    <w:jc w:val="center"/>
                    <w:rPr>
                      <w:rFonts w:hint="eastAsia" w:ascii="Times New Roman" w:hAnsi="Times New Roman" w:eastAsia="宋体" w:cs="Times New Roman"/>
                      <w:b w:val="0"/>
                      <w:bCs w:val="0"/>
                      <w:color w:val="auto"/>
                      <w:sz w:val="24"/>
                      <w:szCs w:val="24"/>
                    </w:rPr>
                  </w:pPr>
                  <w:r>
                    <w:rPr>
                      <w:rFonts w:hint="eastAsia" w:ascii="Times New Roman" w:hAnsi="Times New Roman" w:eastAsia="宋体" w:cs="Times New Roman"/>
                      <w:b w:val="0"/>
                      <w:bCs w:val="0"/>
                      <w:color w:val="auto"/>
                      <w:sz w:val="24"/>
                      <w:szCs w:val="24"/>
                      <w:lang w:val="en-US" w:eastAsia="zh-CN"/>
                    </w:rPr>
                    <w:t>2023年</w:t>
                  </w:r>
                </w:p>
              </w:tc>
              <w:tc>
                <w:tcPr>
                  <w:tcW w:w="1300" w:type="pct"/>
                  <w:vAlign w:val="center"/>
                </w:tcPr>
                <w:p w14:paraId="4199A8B1">
                  <w:pPr>
                    <w:spacing w:line="240" w:lineRule="auto"/>
                    <w:ind w:firstLine="0" w:firstLineChars="0"/>
                    <w:jc w:val="center"/>
                    <w:rPr>
                      <w:rFonts w:hint="eastAsia" w:ascii="Times New Roman" w:hAnsi="Times New Roman" w:eastAsia="宋体" w:cs="Times New Roman"/>
                      <w:b w:val="0"/>
                      <w:bCs w:val="0"/>
                      <w:color w:val="auto"/>
                      <w:sz w:val="24"/>
                      <w:szCs w:val="24"/>
                      <w:lang w:val="en-US" w:eastAsia="zh-CN"/>
                    </w:rPr>
                  </w:pPr>
                  <w:r>
                    <w:rPr>
                      <w:rFonts w:hint="eastAsia" w:cs="Times New Roman"/>
                      <w:color w:val="auto"/>
                      <w:kern w:val="0"/>
                      <w:sz w:val="24"/>
                      <w:szCs w:val="24"/>
                      <w:lang w:eastAsia="zh-CN"/>
                    </w:rPr>
                    <w:t>南乐县</w:t>
                  </w:r>
                  <w:r>
                    <w:rPr>
                      <w:rFonts w:hint="eastAsia" w:cs="Times New Roman"/>
                      <w:color w:val="auto"/>
                      <w:kern w:val="0"/>
                      <w:sz w:val="24"/>
                      <w:szCs w:val="24"/>
                      <w:lang w:val="en-US" w:eastAsia="zh-CN"/>
                    </w:rPr>
                    <w:t>产业集聚区</w:t>
                  </w:r>
                  <w:r>
                    <w:rPr>
                      <w:rFonts w:hint="eastAsia" w:ascii="Times New Roman" w:hAnsi="Times New Roman" w:eastAsia="宋体" w:cs="Times New Roman"/>
                      <w:b w:val="0"/>
                      <w:bCs w:val="0"/>
                      <w:color w:val="auto"/>
                      <w:sz w:val="24"/>
                      <w:szCs w:val="24"/>
                      <w:lang w:val="en-US" w:eastAsia="zh-CN"/>
                    </w:rPr>
                    <w:t>确定为南乐县先进制造业开发区</w:t>
                  </w:r>
                </w:p>
              </w:tc>
              <w:tc>
                <w:tcPr>
                  <w:tcW w:w="948" w:type="pct"/>
                  <w:vAlign w:val="center"/>
                </w:tcPr>
                <w:p w14:paraId="3D7C97E6">
                  <w:pPr>
                    <w:spacing w:line="240" w:lineRule="auto"/>
                    <w:ind w:firstLine="0" w:firstLineChars="0"/>
                    <w:jc w:val="center"/>
                    <w:rPr>
                      <w:rFonts w:hint="eastAsia"/>
                      <w:color w:val="auto"/>
                      <w:sz w:val="24"/>
                      <w:szCs w:val="24"/>
                    </w:rPr>
                  </w:pPr>
                  <w:r>
                    <w:rPr>
                      <w:rFonts w:hint="eastAsia"/>
                      <w:color w:val="auto"/>
                      <w:kern w:val="0"/>
                      <w:sz w:val="24"/>
                      <w:szCs w:val="24"/>
                    </w:rPr>
                    <w:t>南乐县先进制造业开发区发展规划（2022-2035年）</w:t>
                  </w:r>
                </w:p>
              </w:tc>
              <w:tc>
                <w:tcPr>
                  <w:tcW w:w="829" w:type="pct"/>
                  <w:vAlign w:val="center"/>
                </w:tcPr>
                <w:p w14:paraId="73B401FA">
                  <w:pPr>
                    <w:spacing w:line="240" w:lineRule="auto"/>
                    <w:ind w:firstLine="0" w:firstLineChars="0"/>
                    <w:jc w:val="center"/>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河南省发展和改革委员会</w:t>
                  </w:r>
                </w:p>
              </w:tc>
              <w:tc>
                <w:tcPr>
                  <w:tcW w:w="653" w:type="pct"/>
                  <w:vAlign w:val="center"/>
                </w:tcPr>
                <w:p w14:paraId="48887D71">
                  <w:pPr>
                    <w:spacing w:line="240" w:lineRule="auto"/>
                    <w:ind w:firstLine="0" w:firstLineChars="0"/>
                    <w:jc w:val="center"/>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豫发改工业函</w:t>
                  </w:r>
                  <w:r>
                    <w:rPr>
                      <w:rFonts w:hint="default" w:ascii="Times New Roman" w:hAnsi="Times New Roman" w:eastAsia="宋体" w:cs="Times New Roman"/>
                      <w:color w:val="auto"/>
                      <w:kern w:val="0"/>
                      <w:sz w:val="24"/>
                      <w:szCs w:val="24"/>
                      <w:lang w:val="en-US" w:eastAsia="zh-CN"/>
                    </w:rPr>
                    <w:t>[2022]42</w:t>
                  </w:r>
                  <w:r>
                    <w:rPr>
                      <w:rFonts w:hint="eastAsia" w:ascii="Times New Roman" w:hAnsi="Times New Roman" w:eastAsia="宋体" w:cs="Times New Roman"/>
                      <w:color w:val="auto"/>
                      <w:kern w:val="0"/>
                      <w:sz w:val="24"/>
                      <w:szCs w:val="24"/>
                      <w:lang w:val="en-US" w:eastAsia="zh-CN"/>
                    </w:rPr>
                    <w:t>号</w:t>
                  </w:r>
                </w:p>
              </w:tc>
              <w:tc>
                <w:tcPr>
                  <w:tcW w:w="543" w:type="pct"/>
                  <w:vAlign w:val="center"/>
                </w:tcPr>
                <w:p w14:paraId="19D3FE4B">
                  <w:pPr>
                    <w:spacing w:line="240" w:lineRule="auto"/>
                    <w:ind w:firstLine="0" w:firstLineChars="0"/>
                    <w:jc w:val="center"/>
                    <w:rPr>
                      <w:rFonts w:hint="eastAsia" w:eastAsia="宋体"/>
                      <w:color w:val="auto"/>
                      <w:sz w:val="24"/>
                      <w:szCs w:val="24"/>
                      <w:lang w:val="en-US" w:eastAsia="zh-CN"/>
                    </w:rPr>
                  </w:pPr>
                  <w:r>
                    <w:rPr>
                      <w:rFonts w:hint="eastAsia"/>
                      <w:color w:val="auto"/>
                      <w:sz w:val="24"/>
                      <w:szCs w:val="24"/>
                      <w:lang w:val="en-US" w:eastAsia="zh-CN"/>
                    </w:rPr>
                    <w:t>/</w:t>
                  </w:r>
                </w:p>
              </w:tc>
            </w:tr>
          </w:tbl>
          <w:p w14:paraId="4116CD94">
            <w:pPr>
              <w:pStyle w:val="2"/>
              <w:rPr>
                <w:color w:val="auto"/>
              </w:rPr>
            </w:pPr>
          </w:p>
        </w:tc>
      </w:tr>
      <w:tr w14:paraId="13B40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24" w:hRule="atLeast"/>
          <w:jc w:val="center"/>
        </w:trPr>
        <w:tc>
          <w:tcPr>
            <w:tcW w:w="454" w:type="pct"/>
            <w:vAlign w:val="center"/>
          </w:tcPr>
          <w:p w14:paraId="4D6ED78C">
            <w:pPr>
              <w:spacing w:line="240" w:lineRule="auto"/>
              <w:ind w:firstLine="0" w:firstLineChars="0"/>
              <w:jc w:val="center"/>
              <w:rPr>
                <w:color w:val="auto"/>
                <w:kern w:val="0"/>
              </w:rPr>
            </w:pPr>
            <w:r>
              <w:rPr>
                <w:rFonts w:hint="eastAsia"/>
                <w:color w:val="auto"/>
              </w:rPr>
              <w:t>规划环境影响评价情况</w:t>
            </w:r>
          </w:p>
        </w:tc>
        <w:tc>
          <w:tcPr>
            <w:tcW w:w="4545" w:type="pct"/>
            <w:gridSpan w:val="3"/>
            <w:vAlign w:val="center"/>
          </w:tcPr>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28" w:type="dxa"/>
                <w:bottom w:w="28" w:type="dxa"/>
                <w:right w:w="28" w:type="dxa"/>
              </w:tblCellMar>
            </w:tblPr>
            <w:tblGrid>
              <w:gridCol w:w="3383"/>
              <w:gridCol w:w="1430"/>
              <w:gridCol w:w="1769"/>
              <w:gridCol w:w="1477"/>
            </w:tblGrid>
            <w:tr w14:paraId="67F6C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2099" w:type="pct"/>
                  <w:vAlign w:val="center"/>
                </w:tcPr>
                <w:p w14:paraId="7913ECCB">
                  <w:pPr>
                    <w:spacing w:line="240" w:lineRule="auto"/>
                    <w:ind w:firstLine="0" w:firstLineChars="0"/>
                    <w:jc w:val="center"/>
                    <w:rPr>
                      <w:rFonts w:hint="eastAsia"/>
                      <w:b/>
                      <w:bCs/>
                      <w:color w:val="auto"/>
                      <w:sz w:val="24"/>
                      <w:szCs w:val="24"/>
                    </w:rPr>
                  </w:pPr>
                  <w:r>
                    <w:rPr>
                      <w:rFonts w:hint="eastAsia"/>
                      <w:b/>
                      <w:bCs/>
                      <w:color w:val="auto"/>
                      <w:sz w:val="24"/>
                      <w:szCs w:val="24"/>
                    </w:rPr>
                    <w:t>规划文件名称</w:t>
                  </w:r>
                </w:p>
              </w:tc>
              <w:tc>
                <w:tcPr>
                  <w:tcW w:w="887" w:type="pct"/>
                  <w:vAlign w:val="center"/>
                </w:tcPr>
                <w:p w14:paraId="6CC1FE8D">
                  <w:pPr>
                    <w:spacing w:line="240" w:lineRule="auto"/>
                    <w:ind w:firstLine="0" w:firstLineChars="0"/>
                    <w:jc w:val="center"/>
                    <w:rPr>
                      <w:rFonts w:hint="eastAsia"/>
                      <w:b/>
                      <w:bCs/>
                      <w:color w:val="auto"/>
                      <w:sz w:val="24"/>
                      <w:szCs w:val="24"/>
                    </w:rPr>
                  </w:pPr>
                  <w:r>
                    <w:rPr>
                      <w:rFonts w:hint="eastAsia"/>
                      <w:b/>
                      <w:bCs/>
                      <w:color w:val="auto"/>
                      <w:sz w:val="24"/>
                      <w:szCs w:val="24"/>
                    </w:rPr>
                    <w:t>审批机关</w:t>
                  </w:r>
                </w:p>
              </w:tc>
              <w:tc>
                <w:tcPr>
                  <w:tcW w:w="1097" w:type="pct"/>
                  <w:vAlign w:val="center"/>
                </w:tcPr>
                <w:p w14:paraId="60BED003">
                  <w:pPr>
                    <w:spacing w:line="240" w:lineRule="auto"/>
                    <w:ind w:firstLine="0" w:firstLineChars="0"/>
                    <w:jc w:val="center"/>
                    <w:rPr>
                      <w:rFonts w:hint="eastAsia"/>
                      <w:b/>
                      <w:bCs/>
                      <w:color w:val="auto"/>
                      <w:sz w:val="24"/>
                      <w:szCs w:val="24"/>
                    </w:rPr>
                  </w:pPr>
                  <w:r>
                    <w:rPr>
                      <w:rFonts w:hint="eastAsia"/>
                      <w:b/>
                      <w:bCs/>
                      <w:color w:val="auto"/>
                      <w:sz w:val="24"/>
                      <w:szCs w:val="24"/>
                    </w:rPr>
                    <w:t>审批文号</w:t>
                  </w:r>
                </w:p>
              </w:tc>
              <w:tc>
                <w:tcPr>
                  <w:tcW w:w="916" w:type="pct"/>
                  <w:vAlign w:val="center"/>
                </w:tcPr>
                <w:p w14:paraId="08429EB3">
                  <w:pPr>
                    <w:spacing w:line="240" w:lineRule="auto"/>
                    <w:ind w:firstLine="0" w:firstLineChars="0"/>
                    <w:jc w:val="center"/>
                    <w:rPr>
                      <w:rFonts w:hint="eastAsia"/>
                      <w:b/>
                      <w:bCs/>
                      <w:color w:val="auto"/>
                      <w:sz w:val="24"/>
                      <w:szCs w:val="24"/>
                    </w:rPr>
                  </w:pPr>
                  <w:r>
                    <w:rPr>
                      <w:rFonts w:hint="eastAsia"/>
                      <w:b/>
                      <w:bCs/>
                      <w:color w:val="auto"/>
                      <w:sz w:val="24"/>
                      <w:szCs w:val="24"/>
                    </w:rPr>
                    <w:t>审批时间</w:t>
                  </w:r>
                </w:p>
              </w:tc>
            </w:tr>
            <w:tr w14:paraId="65214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2099" w:type="pct"/>
                  <w:vAlign w:val="center"/>
                </w:tcPr>
                <w:p w14:paraId="6B47C379">
                  <w:pPr>
                    <w:spacing w:line="240" w:lineRule="auto"/>
                    <w:ind w:firstLine="0" w:firstLineChars="0"/>
                    <w:jc w:val="center"/>
                    <w:rPr>
                      <w:rFonts w:hint="eastAsia" w:ascii="Times New Roman" w:hAnsi="Times New Roman" w:eastAsia="宋体" w:cs="Times New Roman"/>
                      <w:color w:val="auto"/>
                      <w:kern w:val="0"/>
                      <w:sz w:val="24"/>
                      <w:szCs w:val="24"/>
                    </w:rPr>
                  </w:pPr>
                  <w:r>
                    <w:rPr>
                      <w:rFonts w:hint="eastAsia" w:cs="Times New Roman"/>
                      <w:color w:val="auto"/>
                      <w:kern w:val="0"/>
                      <w:sz w:val="24"/>
                      <w:szCs w:val="24"/>
                      <w:lang w:eastAsia="zh-CN"/>
                    </w:rPr>
                    <w:t>南乐县</w:t>
                  </w:r>
                  <w:r>
                    <w:rPr>
                      <w:rFonts w:hint="eastAsia" w:cs="Times New Roman"/>
                      <w:color w:val="auto"/>
                      <w:kern w:val="0"/>
                      <w:sz w:val="24"/>
                      <w:szCs w:val="24"/>
                      <w:lang w:val="en-US" w:eastAsia="zh-CN"/>
                    </w:rPr>
                    <w:t>产业集聚区</w:t>
                  </w:r>
                  <w:r>
                    <w:rPr>
                      <w:rFonts w:hint="eastAsia" w:ascii="Times New Roman" w:hAnsi="Times New Roman" w:eastAsia="宋体" w:cs="Times New Roman"/>
                      <w:color w:val="auto"/>
                      <w:kern w:val="0"/>
                      <w:sz w:val="24"/>
                      <w:szCs w:val="24"/>
                    </w:rPr>
                    <w:t>发展规划（2009-2020年）环境影响报告书</w:t>
                  </w:r>
                </w:p>
              </w:tc>
              <w:tc>
                <w:tcPr>
                  <w:tcW w:w="887" w:type="pct"/>
                  <w:vAlign w:val="center"/>
                </w:tcPr>
                <w:p w14:paraId="0DC665EF">
                  <w:pPr>
                    <w:spacing w:line="240" w:lineRule="auto"/>
                    <w:ind w:firstLine="0" w:firstLineChars="0"/>
                    <w:jc w:val="center"/>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河南省环境保护厅</w:t>
                  </w:r>
                </w:p>
              </w:tc>
              <w:tc>
                <w:tcPr>
                  <w:tcW w:w="1097" w:type="pct"/>
                  <w:vAlign w:val="center"/>
                </w:tcPr>
                <w:p w14:paraId="361959AE">
                  <w:pPr>
                    <w:spacing w:line="240" w:lineRule="auto"/>
                    <w:ind w:firstLine="0" w:firstLineChars="0"/>
                    <w:jc w:val="center"/>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豫环审〔2009〕441号</w:t>
                  </w:r>
                </w:p>
              </w:tc>
              <w:tc>
                <w:tcPr>
                  <w:tcW w:w="916" w:type="pct"/>
                  <w:vAlign w:val="center"/>
                </w:tcPr>
                <w:p w14:paraId="4A2B265F">
                  <w:pPr>
                    <w:spacing w:line="240" w:lineRule="auto"/>
                    <w:ind w:firstLine="0" w:firstLineChars="0"/>
                    <w:jc w:val="center"/>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2009年12月31日</w:t>
                  </w:r>
                </w:p>
              </w:tc>
            </w:tr>
            <w:tr w14:paraId="18C96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2099" w:type="pct"/>
                  <w:shd w:val="clear" w:color="auto" w:fill="auto"/>
                  <w:vAlign w:val="center"/>
                </w:tcPr>
                <w:p w14:paraId="2CBDBB45">
                  <w:pPr>
                    <w:spacing w:line="240" w:lineRule="auto"/>
                    <w:ind w:firstLine="0" w:firstLineChars="0"/>
                    <w:jc w:val="center"/>
                    <w:rPr>
                      <w:rFonts w:hint="eastAsia" w:ascii="Times New Roman" w:hAnsi="Times New Roman" w:eastAsia="宋体" w:cs="Times New Roman"/>
                      <w:color w:val="auto"/>
                      <w:kern w:val="0"/>
                      <w:sz w:val="24"/>
                      <w:szCs w:val="24"/>
                      <w:lang w:val="en-US" w:eastAsia="zh-CN"/>
                    </w:rPr>
                  </w:pPr>
                  <w:r>
                    <w:rPr>
                      <w:rFonts w:hint="eastAsia" w:cs="Times New Roman"/>
                      <w:color w:val="auto"/>
                      <w:kern w:val="0"/>
                      <w:sz w:val="24"/>
                      <w:szCs w:val="24"/>
                      <w:lang w:eastAsia="zh-CN"/>
                    </w:rPr>
                    <w:t>南乐县</w:t>
                  </w:r>
                  <w:r>
                    <w:rPr>
                      <w:rFonts w:hint="eastAsia" w:cs="Times New Roman"/>
                      <w:color w:val="auto"/>
                      <w:kern w:val="0"/>
                      <w:sz w:val="24"/>
                      <w:szCs w:val="24"/>
                      <w:lang w:val="en-US" w:eastAsia="zh-CN"/>
                    </w:rPr>
                    <w:t>产业集聚区</w:t>
                  </w:r>
                  <w:r>
                    <w:rPr>
                      <w:rFonts w:hint="eastAsia" w:ascii="Times New Roman" w:hAnsi="Times New Roman" w:eastAsia="宋体" w:cs="Times New Roman"/>
                      <w:color w:val="auto"/>
                      <w:kern w:val="0"/>
                      <w:sz w:val="24"/>
                      <w:szCs w:val="24"/>
                    </w:rPr>
                    <w:t>发展规划调整方案（2014-2020）环境影响报告书</w:t>
                  </w:r>
                </w:p>
              </w:tc>
              <w:tc>
                <w:tcPr>
                  <w:tcW w:w="887" w:type="pct"/>
                  <w:shd w:val="clear" w:color="auto" w:fill="auto"/>
                  <w:vAlign w:val="center"/>
                </w:tcPr>
                <w:p w14:paraId="094A0D97">
                  <w:pPr>
                    <w:spacing w:line="240" w:lineRule="auto"/>
                    <w:ind w:firstLine="0" w:firstLineChars="0"/>
                    <w:jc w:val="center"/>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濮阳市环境保护局（现濮阳市生态环境局）</w:t>
                  </w:r>
                </w:p>
              </w:tc>
              <w:tc>
                <w:tcPr>
                  <w:tcW w:w="1097" w:type="pct"/>
                  <w:shd w:val="clear" w:color="auto" w:fill="auto"/>
                  <w:vAlign w:val="center"/>
                </w:tcPr>
                <w:p w14:paraId="4C2812DC">
                  <w:pPr>
                    <w:spacing w:line="240" w:lineRule="auto"/>
                    <w:ind w:firstLine="0" w:firstLineChars="0"/>
                    <w:jc w:val="center"/>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濮环审〔2017〕09号</w:t>
                  </w:r>
                </w:p>
              </w:tc>
              <w:tc>
                <w:tcPr>
                  <w:tcW w:w="916" w:type="pct"/>
                  <w:shd w:val="clear" w:color="auto" w:fill="auto"/>
                  <w:vAlign w:val="center"/>
                </w:tcPr>
                <w:p w14:paraId="03B52696">
                  <w:pPr>
                    <w:spacing w:line="240" w:lineRule="auto"/>
                    <w:ind w:firstLine="0" w:firstLineChars="0"/>
                    <w:jc w:val="center"/>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2017年</w:t>
                  </w:r>
                </w:p>
              </w:tc>
            </w:tr>
            <w:tr w14:paraId="44209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2099" w:type="pct"/>
                  <w:vAlign w:val="center"/>
                </w:tcPr>
                <w:p w14:paraId="087D95F4">
                  <w:pPr>
                    <w:spacing w:line="240" w:lineRule="auto"/>
                    <w:ind w:firstLine="0" w:firstLineChars="0"/>
                    <w:jc w:val="center"/>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南乐县先进制造业开发区总体发展规划（2022-2035年）环境影响评价报告书</w:t>
                  </w:r>
                </w:p>
              </w:tc>
              <w:tc>
                <w:tcPr>
                  <w:tcW w:w="887" w:type="pct"/>
                  <w:vAlign w:val="center"/>
                </w:tcPr>
                <w:p w14:paraId="7757F93D">
                  <w:pPr>
                    <w:spacing w:line="240" w:lineRule="auto"/>
                    <w:ind w:firstLine="0" w:firstLineChars="0"/>
                    <w:jc w:val="center"/>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lang w:val="en-US" w:eastAsia="zh-CN"/>
                    </w:rPr>
                    <w:t>濮阳市生态环境局</w:t>
                  </w:r>
                </w:p>
              </w:tc>
              <w:tc>
                <w:tcPr>
                  <w:tcW w:w="1097" w:type="pct"/>
                  <w:vAlign w:val="center"/>
                </w:tcPr>
                <w:p w14:paraId="2E5E5C1B">
                  <w:pPr>
                    <w:spacing w:line="240" w:lineRule="auto"/>
                    <w:ind w:firstLine="0" w:firstLineChars="0"/>
                    <w:jc w:val="center"/>
                    <w:rPr>
                      <w:rFonts w:hint="eastAsia" w:ascii="Times New Roman" w:hAnsi="Times New Roman" w:eastAsia="宋体" w:cs="Times New Roman"/>
                      <w:color w:val="auto"/>
                      <w:kern w:val="0"/>
                      <w:sz w:val="24"/>
                      <w:szCs w:val="24"/>
                      <w:lang w:val="en-US" w:eastAsia="zh-CN"/>
                    </w:rPr>
                  </w:pPr>
                  <w:r>
                    <w:rPr>
                      <w:rFonts w:hint="eastAsia" w:cs="Times New Roman"/>
                      <w:color w:val="auto"/>
                      <w:kern w:val="0"/>
                      <w:sz w:val="24"/>
                      <w:szCs w:val="24"/>
                      <w:lang w:val="en-US" w:eastAsia="zh-CN"/>
                    </w:rPr>
                    <w:t>/</w:t>
                  </w:r>
                </w:p>
              </w:tc>
              <w:tc>
                <w:tcPr>
                  <w:tcW w:w="916" w:type="pct"/>
                  <w:vAlign w:val="center"/>
                </w:tcPr>
                <w:p w14:paraId="1E31DFFA">
                  <w:pPr>
                    <w:spacing w:line="240" w:lineRule="auto"/>
                    <w:ind w:firstLine="0" w:firstLineChars="0"/>
                    <w:jc w:val="center"/>
                    <w:rPr>
                      <w:rFonts w:hint="eastAsia" w:ascii="Times New Roman" w:hAnsi="Times New Roman" w:eastAsia="宋体" w:cs="Times New Roman"/>
                      <w:color w:val="auto"/>
                      <w:kern w:val="0"/>
                      <w:sz w:val="24"/>
                      <w:szCs w:val="24"/>
                      <w:lang w:val="en-US" w:eastAsia="zh-CN"/>
                    </w:rPr>
                  </w:pPr>
                  <w:r>
                    <w:rPr>
                      <w:rFonts w:hint="eastAsia" w:cs="Times New Roman"/>
                      <w:color w:val="auto"/>
                      <w:kern w:val="0"/>
                      <w:sz w:val="24"/>
                      <w:szCs w:val="24"/>
                      <w:lang w:val="en-US" w:eastAsia="zh-CN"/>
                    </w:rPr>
                    <w:t>/</w:t>
                  </w:r>
                </w:p>
              </w:tc>
            </w:tr>
          </w:tbl>
          <w:p w14:paraId="50F64BF0">
            <w:pPr>
              <w:ind w:firstLine="480"/>
              <w:rPr>
                <w:color w:val="auto"/>
              </w:rPr>
            </w:pPr>
          </w:p>
        </w:tc>
      </w:tr>
      <w:tr w14:paraId="25A75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24" w:hRule="atLeast"/>
          <w:jc w:val="center"/>
        </w:trPr>
        <w:tc>
          <w:tcPr>
            <w:tcW w:w="454" w:type="pct"/>
            <w:vAlign w:val="center"/>
          </w:tcPr>
          <w:p w14:paraId="23FCF01B">
            <w:pPr>
              <w:spacing w:line="240" w:lineRule="auto"/>
              <w:ind w:firstLine="0" w:firstLineChars="0"/>
              <w:jc w:val="center"/>
              <w:rPr>
                <w:color w:val="auto"/>
                <w:kern w:val="0"/>
              </w:rPr>
            </w:pPr>
            <w:r>
              <w:rPr>
                <w:rFonts w:hint="eastAsia"/>
                <w:color w:val="auto"/>
                <w:kern w:val="0"/>
              </w:rPr>
              <w:t>规划及规划环境影响评价相符性分析</w:t>
            </w:r>
          </w:p>
        </w:tc>
        <w:tc>
          <w:tcPr>
            <w:tcW w:w="4545" w:type="pct"/>
            <w:gridSpan w:val="3"/>
            <w:vAlign w:val="center"/>
          </w:tcPr>
          <w:p w14:paraId="26ECE59F">
            <w:pPr>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b/>
                <w:bCs/>
                <w:color w:val="auto"/>
                <w:sz w:val="24"/>
                <w:szCs w:val="24"/>
              </w:rPr>
            </w:pPr>
            <w:bookmarkStart w:id="3" w:name="_Ref288467891"/>
            <w:r>
              <w:rPr>
                <w:rFonts w:hint="eastAsia"/>
                <w:b/>
                <w:bCs/>
                <w:color w:val="auto"/>
                <w:sz w:val="24"/>
                <w:szCs w:val="24"/>
              </w:rPr>
              <w:t>一、</w:t>
            </w:r>
            <w:r>
              <w:rPr>
                <w:rFonts w:hint="eastAsia"/>
                <w:b/>
                <w:bCs/>
                <w:color w:val="auto"/>
                <w:sz w:val="24"/>
                <w:szCs w:val="24"/>
                <w:lang w:val="en-US" w:eastAsia="zh-CN"/>
              </w:rPr>
              <w:t>项目与《南乐县先进制造业开发区总体发展规划（2022-2035年）》相符性分析</w:t>
            </w:r>
          </w:p>
          <w:p w14:paraId="618EAE19">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根据濮阳市国土空间规划成果和《河南省开发区建设工作领导小组关于开展开发区发展规划编制工作的通知》（豫开〔</w:t>
            </w:r>
            <w:r>
              <w:rPr>
                <w:rFonts w:hint="default" w:ascii="Times New Roman" w:hAnsi="Times New Roman" w:eastAsia="宋体" w:cs="Times New Roman"/>
                <w:color w:val="000000"/>
                <w:kern w:val="0"/>
                <w:sz w:val="24"/>
                <w:szCs w:val="24"/>
                <w:lang w:val="en-US" w:eastAsia="zh-CN" w:bidi="ar"/>
              </w:rPr>
              <w:t>2022</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8</w:t>
            </w:r>
            <w:r>
              <w:rPr>
                <w:rFonts w:hint="eastAsia" w:ascii="宋体" w:hAnsi="宋体" w:eastAsia="宋体" w:cs="宋体"/>
                <w:color w:val="000000"/>
                <w:kern w:val="0"/>
                <w:sz w:val="24"/>
                <w:szCs w:val="24"/>
                <w:lang w:val="en-US" w:eastAsia="zh-CN" w:bidi="ar"/>
              </w:rPr>
              <w:t>号），南乐县先进制造业开发区升级为南乐县先进制造业开发区，产业发展布局与规划进行了调整。</w:t>
            </w:r>
          </w:p>
          <w:p w14:paraId="353126D0">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开发区围合范围东至兴乐大道</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东环路，南至南环路，西至光明路</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平安路</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昌意路，北至马颊河南岸。规划面积约为</w:t>
            </w:r>
            <w:r>
              <w:rPr>
                <w:rFonts w:hint="default" w:ascii="Times New Roman" w:hAnsi="Times New Roman" w:eastAsia="宋体" w:cs="Times New Roman"/>
                <w:color w:val="000000"/>
                <w:kern w:val="0"/>
                <w:sz w:val="24"/>
                <w:szCs w:val="24"/>
                <w:lang w:val="en-US" w:eastAsia="zh-CN" w:bidi="ar"/>
              </w:rPr>
              <w:t>13.23</w:t>
            </w:r>
            <w:r>
              <w:rPr>
                <w:rFonts w:hint="eastAsia" w:ascii="宋体" w:hAnsi="宋体" w:eastAsia="宋体" w:cs="宋体"/>
                <w:color w:val="000000"/>
                <w:kern w:val="0"/>
                <w:sz w:val="24"/>
                <w:szCs w:val="24"/>
                <w:lang w:val="en-US" w:eastAsia="zh-CN" w:bidi="ar"/>
              </w:rPr>
              <w:t>平方公里；开发区四至范围：东至兴乐大道</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东环路，南至南环路，西至平安路，北至工兴路。规划面积</w:t>
            </w:r>
            <w:r>
              <w:rPr>
                <w:rFonts w:hint="default" w:ascii="Times New Roman" w:hAnsi="Times New Roman" w:eastAsia="宋体" w:cs="Times New Roman"/>
                <w:color w:val="000000"/>
                <w:kern w:val="0"/>
                <w:sz w:val="24"/>
                <w:szCs w:val="24"/>
                <w:lang w:val="en-US" w:eastAsia="zh-CN" w:bidi="ar"/>
              </w:rPr>
              <w:t>892</w:t>
            </w:r>
            <w:r>
              <w:rPr>
                <w:rFonts w:hint="eastAsia" w:ascii="宋体" w:hAnsi="宋体" w:eastAsia="宋体" w:cs="宋体"/>
                <w:color w:val="000000"/>
                <w:kern w:val="0"/>
                <w:sz w:val="24"/>
                <w:szCs w:val="24"/>
                <w:lang w:val="en-US" w:eastAsia="zh-CN" w:bidi="ar"/>
              </w:rPr>
              <w:t>公顷。规划时限：</w:t>
            </w:r>
            <w:r>
              <w:rPr>
                <w:rFonts w:hint="default" w:ascii="Times New Roman" w:hAnsi="Times New Roman" w:eastAsia="宋体" w:cs="Times New Roman"/>
                <w:color w:val="000000"/>
                <w:kern w:val="0"/>
                <w:sz w:val="24"/>
                <w:szCs w:val="24"/>
                <w:lang w:val="en-US" w:eastAsia="zh-CN" w:bidi="ar"/>
              </w:rPr>
              <w:t>2022</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2035</w:t>
            </w:r>
            <w:r>
              <w:rPr>
                <w:rFonts w:hint="eastAsia" w:ascii="宋体" w:hAnsi="宋体" w:eastAsia="宋体" w:cs="宋体"/>
                <w:color w:val="000000"/>
                <w:kern w:val="0"/>
                <w:sz w:val="24"/>
                <w:szCs w:val="24"/>
                <w:lang w:val="en-US" w:eastAsia="zh-CN" w:bidi="ar"/>
              </w:rPr>
              <w:t>年。其中，近期规划</w:t>
            </w:r>
            <w:r>
              <w:rPr>
                <w:rFonts w:hint="default" w:ascii="Times New Roman" w:hAnsi="Times New Roman" w:eastAsia="宋体" w:cs="Times New Roman"/>
                <w:color w:val="000000"/>
                <w:kern w:val="0"/>
                <w:sz w:val="24"/>
                <w:szCs w:val="24"/>
                <w:lang w:val="en-US" w:eastAsia="zh-CN" w:bidi="ar"/>
              </w:rPr>
              <w:t>2022</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2025</w:t>
            </w:r>
            <w:r>
              <w:rPr>
                <w:rFonts w:hint="eastAsia" w:ascii="宋体" w:hAnsi="宋体" w:eastAsia="宋体" w:cs="宋体"/>
                <w:color w:val="000000"/>
                <w:kern w:val="0"/>
                <w:sz w:val="24"/>
                <w:szCs w:val="24"/>
                <w:lang w:val="en-US" w:eastAsia="zh-CN" w:bidi="ar"/>
              </w:rPr>
              <w:t>年；远期规划</w:t>
            </w:r>
            <w:r>
              <w:rPr>
                <w:rFonts w:hint="default" w:ascii="Times New Roman" w:hAnsi="Times New Roman" w:eastAsia="宋体" w:cs="Times New Roman"/>
                <w:color w:val="000000"/>
                <w:kern w:val="0"/>
                <w:sz w:val="24"/>
                <w:szCs w:val="24"/>
                <w:lang w:val="en-US" w:eastAsia="zh-CN" w:bidi="ar"/>
              </w:rPr>
              <w:t>2026</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2035</w:t>
            </w:r>
            <w:r>
              <w:rPr>
                <w:rFonts w:hint="eastAsia" w:ascii="宋体" w:hAnsi="宋体" w:eastAsia="宋体" w:cs="宋体"/>
                <w:color w:val="000000"/>
                <w:kern w:val="0"/>
                <w:sz w:val="24"/>
                <w:szCs w:val="24"/>
                <w:lang w:val="en-US" w:eastAsia="zh-CN" w:bidi="ar"/>
              </w:rPr>
              <w:t>年。总体发展定位：以生物制造为主导，以食品加工和装备制造为两翼的整体产业构架。</w:t>
            </w:r>
          </w:p>
          <w:p w14:paraId="7D94A6CB">
            <w:pPr>
              <w:keepNext w:val="0"/>
              <w:keepLines w:val="0"/>
              <w:widowControl/>
              <w:suppressLineNumbers w:val="0"/>
              <w:jc w:val="left"/>
              <w:rPr>
                <w:sz w:val="24"/>
                <w:szCs w:val="24"/>
              </w:rPr>
            </w:pP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、供水工程规划</w:t>
            </w:r>
          </w:p>
          <w:p w14:paraId="361D401A">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供水依托县城一水厂（兴华路西段路北，规划供水能力</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万吨</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日）、二水厂（睢庄村以南、马颊河东</w:t>
            </w:r>
            <w:r>
              <w:rPr>
                <w:rFonts w:hint="default" w:ascii="Times New Roman" w:hAnsi="Times New Roman" w:eastAsia="宋体" w:cs="Times New Roman"/>
                <w:color w:val="000000"/>
                <w:kern w:val="0"/>
                <w:sz w:val="24"/>
                <w:szCs w:val="24"/>
                <w:lang w:val="en-US" w:eastAsia="zh-CN" w:bidi="ar"/>
              </w:rPr>
              <w:t>106</w:t>
            </w:r>
            <w:r>
              <w:rPr>
                <w:rFonts w:hint="eastAsia" w:ascii="宋体" w:hAnsi="宋体" w:eastAsia="宋体" w:cs="宋体"/>
                <w:color w:val="000000"/>
                <w:kern w:val="0"/>
                <w:sz w:val="24"/>
                <w:szCs w:val="24"/>
                <w:lang w:val="en-US" w:eastAsia="zh-CN" w:bidi="ar"/>
              </w:rPr>
              <w:t>国道以北，近期建设规模</w:t>
            </w:r>
            <w:r>
              <w:rPr>
                <w:rFonts w:hint="default" w:ascii="Times New Roman" w:hAnsi="Times New Roman" w:eastAsia="宋体" w:cs="Times New Roman"/>
                <w:color w:val="000000"/>
                <w:kern w:val="0"/>
                <w:sz w:val="24"/>
                <w:szCs w:val="24"/>
                <w:lang w:val="en-US" w:eastAsia="zh-CN" w:bidi="ar"/>
              </w:rPr>
              <w:t>2.0</w:t>
            </w:r>
            <w:r>
              <w:rPr>
                <w:rFonts w:hint="eastAsia" w:ascii="宋体" w:hAnsi="宋体" w:eastAsia="宋体" w:cs="宋体"/>
                <w:color w:val="000000"/>
                <w:kern w:val="0"/>
                <w:sz w:val="24"/>
                <w:szCs w:val="24"/>
                <w:lang w:val="en-US" w:eastAsia="zh-CN" w:bidi="ar"/>
              </w:rPr>
              <w:t>万吨，远期</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万吨</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日）、三水厂（南水北调为水源，设计规模为</w:t>
            </w:r>
            <w:r>
              <w:rPr>
                <w:rFonts w:hint="default" w:ascii="Times New Roman" w:hAnsi="Times New Roman" w:eastAsia="宋体"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万吨</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日）联合供水。</w:t>
            </w:r>
          </w:p>
          <w:p w14:paraId="7B9E3E04">
            <w:pPr>
              <w:keepNext w:val="0"/>
              <w:keepLines w:val="0"/>
              <w:widowControl/>
              <w:suppressLineNumbers w:val="0"/>
              <w:jc w:val="left"/>
              <w:rPr>
                <w:sz w:val="24"/>
                <w:szCs w:val="24"/>
              </w:rPr>
            </w:pP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、排水工程规划</w:t>
            </w:r>
          </w:p>
          <w:p w14:paraId="1C856E51">
            <w:pPr>
              <w:keepNext w:val="0"/>
              <w:keepLines w:val="0"/>
              <w:widowControl/>
              <w:suppressLineNumbers w:val="0"/>
              <w:jc w:val="left"/>
              <w:rPr>
                <w:sz w:val="24"/>
                <w:szCs w:val="24"/>
              </w:rPr>
            </w:pP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）规划采用雨污分流制；</w:t>
            </w:r>
          </w:p>
          <w:p w14:paraId="1C0166AC">
            <w:pPr>
              <w:keepNext w:val="0"/>
              <w:keepLines w:val="0"/>
              <w:widowControl/>
              <w:suppressLineNumbers w:val="0"/>
              <w:jc w:val="left"/>
              <w:rPr>
                <w:sz w:val="24"/>
                <w:szCs w:val="24"/>
              </w:rPr>
            </w:pP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）雨水根据地形及地面天然坡度，就近排入水体。其中工业路以南雨水排入永顺沟；工业路以北雨水就近排入永顺沟或城关沟；</w:t>
            </w:r>
          </w:p>
          <w:p w14:paraId="32838E1D">
            <w:pPr>
              <w:keepNext w:val="0"/>
              <w:keepLines w:val="0"/>
              <w:widowControl/>
              <w:suppressLineNumbers w:val="0"/>
              <w:jc w:val="left"/>
              <w:rPr>
                <w:sz w:val="24"/>
                <w:szCs w:val="24"/>
              </w:rPr>
            </w:pP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、南乐县县城污水处理厂处理规模现已扩建至</w:t>
            </w:r>
            <w:r>
              <w:rPr>
                <w:rFonts w:hint="default" w:ascii="Times New Roman" w:hAnsi="Times New Roman" w:eastAsia="宋体" w:cs="Times New Roman"/>
                <w:color w:val="000000"/>
                <w:kern w:val="0"/>
                <w:sz w:val="24"/>
                <w:szCs w:val="24"/>
                <w:lang w:val="en-US" w:eastAsia="zh-CN" w:bidi="ar"/>
              </w:rPr>
              <w:t>6</w:t>
            </w:r>
            <w:r>
              <w:rPr>
                <w:rFonts w:hint="eastAsia" w:ascii="宋体" w:hAnsi="宋体" w:eastAsia="宋体" w:cs="宋体"/>
                <w:color w:val="000000"/>
                <w:kern w:val="0"/>
                <w:sz w:val="24"/>
                <w:szCs w:val="24"/>
                <w:lang w:val="en-US" w:eastAsia="zh-CN" w:bidi="ar"/>
              </w:rPr>
              <w:t>万</w:t>
            </w:r>
            <w:r>
              <w:rPr>
                <w:rFonts w:hint="default" w:ascii="Times New Roman" w:hAnsi="Times New Roman" w:eastAsia="宋体" w:cs="Times New Roman"/>
                <w:color w:val="000000"/>
                <w:kern w:val="0"/>
                <w:sz w:val="24"/>
                <w:szCs w:val="24"/>
                <w:lang w:val="en-US" w:eastAsia="zh-CN" w:bidi="ar"/>
              </w:rPr>
              <w:t>m3/d</w:t>
            </w:r>
            <w:r>
              <w:rPr>
                <w:rFonts w:hint="eastAsia" w:ascii="宋体" w:hAnsi="宋体" w:eastAsia="宋体" w:cs="宋体"/>
                <w:color w:val="000000"/>
                <w:kern w:val="0"/>
                <w:sz w:val="24"/>
                <w:szCs w:val="24"/>
                <w:lang w:val="en-US" w:eastAsia="zh-CN" w:bidi="ar"/>
              </w:rPr>
              <w:t>（位于仓颉路以南），废水经处理后排入永顺沟；</w:t>
            </w:r>
          </w:p>
          <w:p w14:paraId="24DD7CC7">
            <w:pPr>
              <w:keepNext w:val="0"/>
              <w:keepLines w:val="0"/>
              <w:widowControl/>
              <w:suppressLineNumbers w:val="0"/>
              <w:jc w:val="left"/>
              <w:rPr>
                <w:sz w:val="24"/>
                <w:szCs w:val="24"/>
              </w:rPr>
            </w:pP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）规划考虑</w:t>
            </w:r>
            <w:r>
              <w:rPr>
                <w:rFonts w:hint="default" w:ascii="Times New Roman" w:hAnsi="Times New Roman" w:eastAsia="宋体" w:cs="Times New Roman"/>
                <w:color w:val="000000"/>
                <w:kern w:val="0"/>
                <w:sz w:val="24"/>
                <w:szCs w:val="24"/>
                <w:lang w:val="en-US" w:eastAsia="zh-CN" w:bidi="ar"/>
              </w:rPr>
              <w:t>1.1</w:t>
            </w:r>
            <w:r>
              <w:rPr>
                <w:rFonts w:hint="eastAsia" w:ascii="宋体" w:hAnsi="宋体" w:eastAsia="宋体" w:cs="宋体"/>
                <w:color w:val="000000"/>
                <w:kern w:val="0"/>
                <w:sz w:val="24"/>
                <w:szCs w:val="24"/>
                <w:lang w:val="en-US" w:eastAsia="zh-CN" w:bidi="ar"/>
              </w:rPr>
              <w:t>万</w:t>
            </w:r>
            <w:r>
              <w:rPr>
                <w:rFonts w:hint="default" w:ascii="Times New Roman" w:hAnsi="Times New Roman" w:eastAsia="宋体" w:cs="Times New Roman"/>
                <w:color w:val="000000"/>
                <w:kern w:val="0"/>
                <w:sz w:val="24"/>
                <w:szCs w:val="24"/>
                <w:lang w:val="en-US" w:eastAsia="zh-CN" w:bidi="ar"/>
              </w:rPr>
              <w:t>m3/d</w:t>
            </w:r>
            <w:r>
              <w:rPr>
                <w:rFonts w:hint="eastAsia" w:ascii="宋体" w:hAnsi="宋体" w:eastAsia="宋体" w:cs="宋体"/>
                <w:color w:val="000000"/>
                <w:kern w:val="0"/>
                <w:sz w:val="24"/>
                <w:szCs w:val="24"/>
                <w:lang w:val="en-US" w:eastAsia="zh-CN" w:bidi="ar"/>
              </w:rPr>
              <w:t>中水回用。</w:t>
            </w:r>
          </w:p>
          <w:p w14:paraId="24155133">
            <w:pPr>
              <w:keepNext w:val="0"/>
              <w:keepLines w:val="0"/>
              <w:widowControl/>
              <w:suppressLineNumbers w:val="0"/>
              <w:jc w:val="left"/>
              <w:rPr>
                <w:sz w:val="24"/>
                <w:szCs w:val="24"/>
              </w:rPr>
            </w:pP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、燃气工程规划</w:t>
            </w:r>
          </w:p>
          <w:p w14:paraId="5FEA4122">
            <w:pPr>
              <w:keepNext w:val="0"/>
              <w:keepLines w:val="0"/>
              <w:widowControl/>
              <w:suppressLineNumbers w:val="0"/>
              <w:jc w:val="left"/>
              <w:rPr>
                <w:sz w:val="24"/>
                <w:szCs w:val="24"/>
              </w:rPr>
            </w:pPr>
            <w:r>
              <w:rPr>
                <w:rFonts w:hint="eastAsia" w:ascii="宋体" w:hAnsi="宋体" w:eastAsia="宋体" w:cs="宋体"/>
                <w:color w:val="000000"/>
                <w:kern w:val="0"/>
                <w:sz w:val="24"/>
                <w:szCs w:val="24"/>
                <w:lang w:val="en-US" w:eastAsia="zh-CN" w:bidi="ar"/>
              </w:rPr>
              <w:t>预测管道气用量为</w:t>
            </w:r>
            <w:r>
              <w:rPr>
                <w:rFonts w:hint="default" w:ascii="Times New Roman" w:hAnsi="Times New Roman" w:eastAsia="宋体" w:cs="Times New Roman"/>
                <w:color w:val="000000"/>
                <w:kern w:val="0"/>
                <w:sz w:val="24"/>
                <w:szCs w:val="24"/>
                <w:lang w:val="en-US" w:eastAsia="zh-CN" w:bidi="ar"/>
              </w:rPr>
              <w:t>411.14</w:t>
            </w:r>
            <w:r>
              <w:rPr>
                <w:rFonts w:hint="eastAsia" w:ascii="宋体" w:hAnsi="宋体" w:eastAsia="宋体" w:cs="宋体"/>
                <w:color w:val="000000"/>
                <w:kern w:val="0"/>
                <w:sz w:val="24"/>
                <w:szCs w:val="24"/>
                <w:lang w:val="en-US" w:eastAsia="zh-CN" w:bidi="ar"/>
              </w:rPr>
              <w:t>万立方米，以</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西气东输</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天然气为气源，集聚区气由产业大道主管线从天然气门站引来，并在民生路和兴业大道交叉口规划一处天然气储配站。</w:t>
            </w:r>
          </w:p>
          <w:p w14:paraId="2691EF00">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4、电力工程</w:t>
            </w:r>
          </w:p>
          <w:p w14:paraId="40A6184C">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1）规划区现状正在建设一处110KV变电站，为敬贤站，位于发展大道和永顺路交叉口东北角，远期主变容量为3×50MVA。110KV电源线路由城区220KV的南乐站引入；</w:t>
            </w:r>
          </w:p>
          <w:p w14:paraId="2D4ADD9C">
            <w:pPr>
              <w:keepNext w:val="0"/>
              <w:keepLines w:val="0"/>
              <w:widowControl/>
              <w:suppressLineNumbers w:val="0"/>
              <w:jc w:val="left"/>
              <w:rPr>
                <w:rFonts w:hint="default" w:ascii="Times New Roman" w:hAnsi="Times New Roman" w:cs="Times New Roman"/>
                <w:sz w:val="24"/>
                <w:szCs w:val="24"/>
                <w:lang w:val="en-US"/>
              </w:rPr>
            </w:pPr>
            <w:r>
              <w:rPr>
                <w:rFonts w:hint="default" w:ascii="Times New Roman" w:hAnsi="Times New Roman" w:eastAsia="宋体" w:cs="Times New Roman"/>
                <w:b/>
                <w:bCs/>
                <w:color w:val="000000"/>
                <w:kern w:val="0"/>
                <w:sz w:val="24"/>
                <w:szCs w:val="24"/>
                <w:u w:val="single"/>
                <w:lang w:val="en-US" w:eastAsia="zh-CN" w:bidi="ar"/>
              </w:rPr>
              <w:t>本项目位于鸿宇路5号，属于南乐县先进制造业开发区装备制造产业区，</w:t>
            </w:r>
            <w:r>
              <w:rPr>
                <w:rFonts w:hint="eastAsia" w:cs="Times New Roman"/>
                <w:b/>
                <w:bCs/>
                <w:color w:val="000000"/>
                <w:kern w:val="0"/>
                <w:sz w:val="24"/>
                <w:szCs w:val="24"/>
                <w:u w:val="single"/>
                <w:lang w:val="en-US" w:eastAsia="zh-CN" w:bidi="ar"/>
              </w:rPr>
              <w:t>同时南乐县先进制造业开发区管委会已出具关于项目入驻的意见，原则同意项目入驻。</w:t>
            </w:r>
            <w:r>
              <w:rPr>
                <w:rFonts w:hint="default" w:ascii="Times New Roman" w:hAnsi="Times New Roman" w:eastAsia="宋体" w:cs="Times New Roman"/>
                <w:color w:val="000000"/>
                <w:kern w:val="0"/>
                <w:sz w:val="24"/>
                <w:szCs w:val="24"/>
                <w:lang w:val="en-US" w:eastAsia="zh-CN" w:bidi="ar"/>
              </w:rPr>
              <w:t>项目在南乐县先进制造业开发区总体发展规划（2022-2035年）总平面布局图中的位置详见附图2。</w:t>
            </w:r>
            <w:r>
              <w:rPr>
                <w:rFonts w:hint="eastAsia" w:cs="Times New Roman"/>
                <w:color w:val="000000"/>
                <w:kern w:val="0"/>
                <w:sz w:val="24"/>
                <w:szCs w:val="24"/>
                <w:lang w:val="en-US" w:eastAsia="zh-CN" w:bidi="ar"/>
              </w:rPr>
              <w:t>入住证明详见附件5。</w:t>
            </w:r>
          </w:p>
          <w:p w14:paraId="76C775B3">
            <w:pPr>
              <w:keepNext w:val="0"/>
              <w:keepLines w:val="0"/>
              <w:pageBreakBefore w:val="0"/>
              <w:widowControl w:val="0"/>
              <w:kinsoku/>
              <w:wordWrap w:val="0"/>
              <w:overflowPunct/>
              <w:topLinePunct w:val="0"/>
              <w:autoSpaceDE/>
              <w:autoSpaceDN/>
              <w:bidi w:val="0"/>
              <w:adjustRightInd/>
              <w:snapToGrid/>
              <w:ind w:firstLine="0" w:firstLineChars="0"/>
              <w:jc w:val="left"/>
              <w:textAlignment w:val="auto"/>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二、项目与《南乐县先进制造业开发区总体发展规划（</w:t>
            </w:r>
            <w:r>
              <w:rPr>
                <w:rFonts w:hint="default" w:ascii="Times New Roman" w:hAnsi="Times New Roman" w:eastAsia="宋体" w:cs="Times New Roman"/>
                <w:b/>
                <w:bCs/>
                <w:color w:val="auto"/>
                <w:sz w:val="24"/>
                <w:szCs w:val="24"/>
                <w:lang w:val="en-US" w:eastAsia="zh-CN"/>
              </w:rPr>
              <w:t>2022-2035</w:t>
            </w:r>
            <w:r>
              <w:rPr>
                <w:rFonts w:hint="eastAsia" w:ascii="Times New Roman" w:hAnsi="Times New Roman" w:eastAsia="宋体" w:cs="Times New Roman"/>
                <w:b/>
                <w:bCs/>
                <w:color w:val="auto"/>
                <w:sz w:val="24"/>
                <w:szCs w:val="24"/>
                <w:lang w:val="en-US" w:eastAsia="zh-CN"/>
              </w:rPr>
              <w:t>年）环境影响报告书》及其审查意见相符性分析</w:t>
            </w:r>
          </w:p>
          <w:bookmarkEnd w:id="3"/>
          <w:p w14:paraId="621AD6A4">
            <w:pPr>
              <w:ind w:firstLine="480"/>
              <w:rPr>
                <w:color w:val="auto"/>
                <w:sz w:val="24"/>
                <w:szCs w:val="24"/>
              </w:rPr>
            </w:pPr>
            <w:r>
              <w:rPr>
                <w:color w:val="auto"/>
                <w:sz w:val="24"/>
                <w:szCs w:val="24"/>
              </w:rPr>
              <w:t>本项目与《南乐县先进制造业开发区发展规划（2022-2035年）环境影响报告书》中环境准入条件相符性分析见</w:t>
            </w:r>
            <w:r>
              <w:rPr>
                <w:rFonts w:hint="eastAsia"/>
                <w:color w:val="auto"/>
                <w:sz w:val="24"/>
                <w:szCs w:val="24"/>
              </w:rPr>
              <w:t>下表</w:t>
            </w:r>
            <w:r>
              <w:rPr>
                <w:color w:val="auto"/>
                <w:sz w:val="24"/>
                <w:szCs w:val="24"/>
              </w:rPr>
              <w:t>。</w:t>
            </w:r>
          </w:p>
          <w:p w14:paraId="0CEE5A09">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项目与南乐县先进制造业开发区环境准入条件相符性一览表</w:t>
            </w:r>
          </w:p>
          <w:tbl>
            <w:tblPr>
              <w:tblStyle w:val="21"/>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87"/>
              <w:gridCol w:w="466"/>
              <w:gridCol w:w="5153"/>
              <w:gridCol w:w="1544"/>
              <w:gridCol w:w="533"/>
            </w:tblGrid>
            <w:tr w14:paraId="36838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72" w:type="pct"/>
                  <w:gridSpan w:val="2"/>
                  <w:vAlign w:val="center"/>
                </w:tcPr>
                <w:p w14:paraId="5EF50571">
                  <w:pPr>
                    <w:widowControl/>
                    <w:tabs>
                      <w:tab w:val="left" w:pos="864"/>
                    </w:tabs>
                    <w:kinsoku w:val="0"/>
                    <w:wordWrap/>
                    <w:autoSpaceDE w:val="0"/>
                    <w:autoSpaceDN w:val="0"/>
                    <w:adjustRightInd w:val="0"/>
                    <w:snapToGrid w:val="0"/>
                    <w:spacing w:line="240" w:lineRule="auto"/>
                    <w:ind w:firstLine="0" w:firstLineChars="0"/>
                    <w:jc w:val="center"/>
                    <w:textAlignment w:val="baseline"/>
                    <w:rPr>
                      <w:color w:val="auto"/>
                      <w:sz w:val="21"/>
                      <w:szCs w:val="21"/>
                      <w:u w:val="none"/>
                    </w:rPr>
                  </w:pPr>
                  <w:r>
                    <w:rPr>
                      <w:color w:val="auto"/>
                      <w:sz w:val="21"/>
                      <w:szCs w:val="21"/>
                      <w:u w:val="none"/>
                    </w:rPr>
                    <w:t>类型</w:t>
                  </w:r>
                </w:p>
              </w:tc>
              <w:tc>
                <w:tcPr>
                  <w:tcW w:w="3226" w:type="pct"/>
                  <w:vAlign w:val="center"/>
                </w:tcPr>
                <w:p w14:paraId="0BB60483">
                  <w:pPr>
                    <w:widowControl/>
                    <w:tabs>
                      <w:tab w:val="left" w:pos="864"/>
                    </w:tabs>
                    <w:kinsoku w:val="0"/>
                    <w:wordWrap/>
                    <w:autoSpaceDE w:val="0"/>
                    <w:autoSpaceDN w:val="0"/>
                    <w:adjustRightInd w:val="0"/>
                    <w:snapToGrid w:val="0"/>
                    <w:spacing w:line="240" w:lineRule="auto"/>
                    <w:ind w:firstLine="0" w:firstLineChars="0"/>
                    <w:jc w:val="center"/>
                    <w:textAlignment w:val="baseline"/>
                    <w:rPr>
                      <w:color w:val="auto"/>
                      <w:sz w:val="21"/>
                      <w:szCs w:val="21"/>
                      <w:u w:val="none"/>
                    </w:rPr>
                  </w:pPr>
                  <w:r>
                    <w:rPr>
                      <w:color w:val="auto"/>
                      <w:sz w:val="21"/>
                      <w:szCs w:val="21"/>
                      <w:u w:val="none"/>
                    </w:rPr>
                    <w:t>基本要求</w:t>
                  </w:r>
                </w:p>
              </w:tc>
              <w:tc>
                <w:tcPr>
                  <w:tcW w:w="967" w:type="pct"/>
                  <w:vAlign w:val="center"/>
                </w:tcPr>
                <w:p w14:paraId="511B718A">
                  <w:pPr>
                    <w:widowControl/>
                    <w:tabs>
                      <w:tab w:val="left" w:pos="864"/>
                    </w:tabs>
                    <w:kinsoku w:val="0"/>
                    <w:wordWrap/>
                    <w:autoSpaceDE w:val="0"/>
                    <w:autoSpaceDN w:val="0"/>
                    <w:adjustRightInd w:val="0"/>
                    <w:snapToGrid w:val="0"/>
                    <w:spacing w:line="240" w:lineRule="auto"/>
                    <w:ind w:firstLine="0" w:firstLineChars="0"/>
                    <w:jc w:val="center"/>
                    <w:textAlignment w:val="baseline"/>
                    <w:rPr>
                      <w:color w:val="auto"/>
                      <w:sz w:val="21"/>
                      <w:szCs w:val="21"/>
                      <w:u w:val="none"/>
                    </w:rPr>
                  </w:pPr>
                  <w:r>
                    <w:rPr>
                      <w:rFonts w:hint="eastAsia"/>
                      <w:color w:val="auto"/>
                      <w:sz w:val="21"/>
                      <w:szCs w:val="21"/>
                      <w:u w:val="none"/>
                    </w:rPr>
                    <w:t>本项目情况</w:t>
                  </w:r>
                </w:p>
              </w:tc>
              <w:tc>
                <w:tcPr>
                  <w:tcW w:w="333" w:type="pct"/>
                  <w:vAlign w:val="center"/>
                </w:tcPr>
                <w:p w14:paraId="63EEB572">
                  <w:pPr>
                    <w:widowControl/>
                    <w:tabs>
                      <w:tab w:val="left" w:pos="864"/>
                    </w:tabs>
                    <w:kinsoku w:val="0"/>
                    <w:wordWrap/>
                    <w:autoSpaceDE w:val="0"/>
                    <w:autoSpaceDN w:val="0"/>
                    <w:adjustRightInd w:val="0"/>
                    <w:snapToGrid w:val="0"/>
                    <w:spacing w:line="240" w:lineRule="auto"/>
                    <w:ind w:firstLine="0" w:firstLineChars="0"/>
                    <w:jc w:val="center"/>
                    <w:textAlignment w:val="baseline"/>
                    <w:rPr>
                      <w:color w:val="auto"/>
                      <w:sz w:val="21"/>
                      <w:szCs w:val="21"/>
                      <w:u w:val="none"/>
                    </w:rPr>
                  </w:pPr>
                  <w:r>
                    <w:rPr>
                      <w:color w:val="auto"/>
                      <w:sz w:val="21"/>
                      <w:szCs w:val="21"/>
                      <w:u w:val="none"/>
                    </w:rPr>
                    <w:t>相符性</w:t>
                  </w:r>
                </w:p>
              </w:tc>
            </w:tr>
            <w:tr w14:paraId="1BCF1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0" w:type="pct"/>
                  <w:vMerge w:val="restart"/>
                  <w:vAlign w:val="center"/>
                </w:tcPr>
                <w:p w14:paraId="419180F2">
                  <w:pPr>
                    <w:widowControl/>
                    <w:tabs>
                      <w:tab w:val="left" w:pos="864"/>
                    </w:tabs>
                    <w:kinsoku w:val="0"/>
                    <w:wordWrap/>
                    <w:autoSpaceDE w:val="0"/>
                    <w:autoSpaceDN w:val="0"/>
                    <w:adjustRightInd w:val="0"/>
                    <w:snapToGrid w:val="0"/>
                    <w:spacing w:line="240" w:lineRule="auto"/>
                    <w:ind w:firstLine="0" w:firstLineChars="0"/>
                    <w:jc w:val="center"/>
                    <w:textAlignment w:val="baseline"/>
                    <w:rPr>
                      <w:color w:val="auto"/>
                      <w:sz w:val="21"/>
                      <w:szCs w:val="21"/>
                      <w:u w:val="none"/>
                    </w:rPr>
                  </w:pPr>
                  <w:r>
                    <w:rPr>
                      <w:color w:val="auto"/>
                      <w:sz w:val="21"/>
                      <w:szCs w:val="21"/>
                      <w:u w:val="none"/>
                    </w:rPr>
                    <w:t>基本要求</w:t>
                  </w:r>
                </w:p>
              </w:tc>
              <w:tc>
                <w:tcPr>
                  <w:tcW w:w="291" w:type="pct"/>
                  <w:vAlign w:val="center"/>
                </w:tcPr>
                <w:p w14:paraId="7F5E32E4">
                  <w:pPr>
                    <w:widowControl/>
                    <w:tabs>
                      <w:tab w:val="left" w:pos="864"/>
                    </w:tabs>
                    <w:kinsoku w:val="0"/>
                    <w:wordWrap/>
                    <w:autoSpaceDE w:val="0"/>
                    <w:autoSpaceDN w:val="0"/>
                    <w:adjustRightInd w:val="0"/>
                    <w:snapToGrid w:val="0"/>
                    <w:spacing w:line="240" w:lineRule="auto"/>
                    <w:ind w:firstLine="0" w:firstLineChars="0"/>
                    <w:jc w:val="center"/>
                    <w:textAlignment w:val="baseline"/>
                    <w:rPr>
                      <w:color w:val="auto"/>
                      <w:sz w:val="21"/>
                      <w:szCs w:val="21"/>
                      <w:u w:val="none"/>
                    </w:rPr>
                  </w:pPr>
                  <w:r>
                    <w:rPr>
                      <w:color w:val="auto"/>
                      <w:sz w:val="21"/>
                      <w:szCs w:val="21"/>
                      <w:u w:val="none"/>
                    </w:rPr>
                    <w:t>空间布局约束</w:t>
                  </w:r>
                </w:p>
              </w:tc>
              <w:tc>
                <w:tcPr>
                  <w:tcW w:w="3226" w:type="pct"/>
                  <w:vAlign w:val="center"/>
                </w:tcPr>
                <w:p w14:paraId="2E601324">
                  <w:pPr>
                    <w:widowControl/>
                    <w:numPr>
                      <w:ilvl w:val="0"/>
                      <w:numId w:val="4"/>
                    </w:numPr>
                    <w:kinsoku w:val="0"/>
                    <w:wordWrap/>
                    <w:autoSpaceDE w:val="0"/>
                    <w:autoSpaceDN w:val="0"/>
                    <w:adjustRightInd w:val="0"/>
                    <w:snapToGrid w:val="0"/>
                    <w:spacing w:line="240" w:lineRule="auto"/>
                    <w:ind w:firstLine="0" w:firstLineChars="0"/>
                    <w:textAlignment w:val="baseline"/>
                    <w:rPr>
                      <w:color w:val="auto"/>
                      <w:sz w:val="21"/>
                      <w:szCs w:val="21"/>
                      <w:u w:val="none"/>
                    </w:rPr>
                  </w:pPr>
                  <w:r>
                    <w:rPr>
                      <w:color w:val="auto"/>
                      <w:sz w:val="21"/>
                      <w:szCs w:val="21"/>
                      <w:u w:val="none"/>
                    </w:rPr>
                    <w:t>入驻项目应符合园区规划或规划环评的要求。在居民安置区的上风向区域禁止入驻大气污染较为严重的工业企业；东环路两侧的二类工业用地禁止入驻以大气污染为主的工业项目；禁止发展煤化工、冶金、钢铁、铁合金等单纯新建和单纯扩大产能的项目。</w:t>
                  </w:r>
                </w:p>
                <w:p w14:paraId="5FA39016">
                  <w:pPr>
                    <w:widowControl/>
                    <w:tabs>
                      <w:tab w:val="left" w:pos="864"/>
                    </w:tabs>
                    <w:kinsoku w:val="0"/>
                    <w:wordWrap/>
                    <w:autoSpaceDE w:val="0"/>
                    <w:autoSpaceDN w:val="0"/>
                    <w:adjustRightInd w:val="0"/>
                    <w:snapToGrid w:val="0"/>
                    <w:spacing w:line="240" w:lineRule="auto"/>
                    <w:ind w:firstLine="0" w:firstLineChars="0"/>
                    <w:textAlignment w:val="baseline"/>
                    <w:rPr>
                      <w:color w:val="auto"/>
                      <w:sz w:val="21"/>
                      <w:szCs w:val="21"/>
                      <w:u w:val="none"/>
                    </w:rPr>
                  </w:pPr>
                  <w:r>
                    <w:rPr>
                      <w:color w:val="auto"/>
                      <w:sz w:val="21"/>
                      <w:szCs w:val="21"/>
                      <w:u w:val="none"/>
                    </w:rPr>
                    <w:t>2、控制入驻高耗水、高排水建设项目和污水处理后达不到集中污水处理厂收水水质标准的建设项目。</w:t>
                  </w:r>
                </w:p>
              </w:tc>
              <w:tc>
                <w:tcPr>
                  <w:tcW w:w="967" w:type="pct"/>
                  <w:vAlign w:val="center"/>
                </w:tcPr>
                <w:p w14:paraId="614D78F3">
                  <w:pPr>
                    <w:widowControl/>
                    <w:tabs>
                      <w:tab w:val="left" w:pos="864"/>
                    </w:tabs>
                    <w:kinsoku w:val="0"/>
                    <w:wordWrap/>
                    <w:autoSpaceDE w:val="0"/>
                    <w:autoSpaceDN w:val="0"/>
                    <w:adjustRightInd w:val="0"/>
                    <w:snapToGrid w:val="0"/>
                    <w:spacing w:line="240" w:lineRule="auto"/>
                    <w:ind w:firstLine="0" w:firstLineChars="0"/>
                    <w:jc w:val="left"/>
                    <w:textAlignment w:val="baseline"/>
                    <w:rPr>
                      <w:color w:val="auto"/>
                      <w:sz w:val="21"/>
                      <w:szCs w:val="21"/>
                      <w:u w:val="none"/>
                    </w:rPr>
                  </w:pPr>
                  <w:r>
                    <w:rPr>
                      <w:rFonts w:hint="eastAsia"/>
                      <w:color w:val="auto"/>
                      <w:kern w:val="0"/>
                      <w:sz w:val="21"/>
                      <w:szCs w:val="21"/>
                      <w:u w:val="none"/>
                    </w:rPr>
                    <w:t>1.项目位于</w:t>
                  </w:r>
                  <w:r>
                    <w:rPr>
                      <w:rFonts w:hint="eastAsia"/>
                      <w:color w:val="auto"/>
                      <w:kern w:val="0"/>
                      <w:sz w:val="21"/>
                      <w:szCs w:val="21"/>
                      <w:u w:val="none"/>
                      <w:lang w:val="en-US" w:eastAsia="zh-CN"/>
                    </w:rPr>
                    <w:t>鸿宇路5号</w:t>
                  </w:r>
                  <w:r>
                    <w:rPr>
                      <w:rFonts w:hint="eastAsia"/>
                      <w:color w:val="auto"/>
                      <w:kern w:val="0"/>
                      <w:sz w:val="21"/>
                      <w:szCs w:val="21"/>
                      <w:u w:val="none"/>
                    </w:rPr>
                    <w:t>，用地性质为工业用地，符合南乐县土地利用规划要求。2.项目不属于高耗水、高排水项目。</w:t>
                  </w:r>
                </w:p>
              </w:tc>
              <w:tc>
                <w:tcPr>
                  <w:tcW w:w="333" w:type="pct"/>
                  <w:vAlign w:val="center"/>
                </w:tcPr>
                <w:p w14:paraId="15571220">
                  <w:pPr>
                    <w:widowControl/>
                    <w:tabs>
                      <w:tab w:val="left" w:pos="864"/>
                    </w:tabs>
                    <w:kinsoku w:val="0"/>
                    <w:wordWrap/>
                    <w:autoSpaceDE w:val="0"/>
                    <w:autoSpaceDN w:val="0"/>
                    <w:adjustRightInd w:val="0"/>
                    <w:snapToGrid w:val="0"/>
                    <w:spacing w:line="240" w:lineRule="auto"/>
                    <w:ind w:firstLine="0" w:firstLineChars="0"/>
                    <w:jc w:val="center"/>
                    <w:textAlignment w:val="baseline"/>
                    <w:rPr>
                      <w:color w:val="auto"/>
                      <w:kern w:val="0"/>
                      <w:sz w:val="21"/>
                      <w:szCs w:val="21"/>
                      <w:u w:val="none"/>
                    </w:rPr>
                  </w:pPr>
                  <w:r>
                    <w:rPr>
                      <w:rFonts w:hint="eastAsia"/>
                      <w:color w:val="auto"/>
                      <w:kern w:val="0"/>
                      <w:sz w:val="21"/>
                      <w:szCs w:val="21"/>
                      <w:u w:val="none"/>
                    </w:rPr>
                    <w:t>相符</w:t>
                  </w:r>
                </w:p>
              </w:tc>
            </w:tr>
            <w:tr w14:paraId="14F52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0" w:type="pct"/>
                  <w:vMerge w:val="continue"/>
                  <w:vAlign w:val="center"/>
                </w:tcPr>
                <w:p w14:paraId="5EF11A55">
                  <w:pPr>
                    <w:widowControl/>
                    <w:tabs>
                      <w:tab w:val="left" w:pos="864"/>
                    </w:tabs>
                    <w:kinsoku w:val="0"/>
                    <w:wordWrap/>
                    <w:autoSpaceDE w:val="0"/>
                    <w:autoSpaceDN w:val="0"/>
                    <w:adjustRightInd w:val="0"/>
                    <w:snapToGrid w:val="0"/>
                    <w:spacing w:line="240" w:lineRule="auto"/>
                    <w:ind w:firstLine="0" w:firstLineChars="0"/>
                    <w:jc w:val="center"/>
                    <w:textAlignment w:val="baseline"/>
                    <w:rPr>
                      <w:color w:val="auto"/>
                      <w:sz w:val="21"/>
                      <w:szCs w:val="21"/>
                      <w:u w:val="none"/>
                    </w:rPr>
                  </w:pPr>
                </w:p>
              </w:tc>
              <w:tc>
                <w:tcPr>
                  <w:tcW w:w="291" w:type="pct"/>
                  <w:vAlign w:val="center"/>
                </w:tcPr>
                <w:p w14:paraId="2E0C4412">
                  <w:pPr>
                    <w:widowControl/>
                    <w:tabs>
                      <w:tab w:val="left" w:pos="864"/>
                    </w:tabs>
                    <w:kinsoku w:val="0"/>
                    <w:wordWrap/>
                    <w:autoSpaceDE w:val="0"/>
                    <w:autoSpaceDN w:val="0"/>
                    <w:adjustRightInd w:val="0"/>
                    <w:snapToGrid w:val="0"/>
                    <w:spacing w:line="240" w:lineRule="auto"/>
                    <w:ind w:firstLine="0" w:firstLineChars="0"/>
                    <w:jc w:val="center"/>
                    <w:textAlignment w:val="baseline"/>
                    <w:rPr>
                      <w:color w:val="auto"/>
                      <w:sz w:val="21"/>
                      <w:szCs w:val="21"/>
                      <w:u w:val="none"/>
                    </w:rPr>
                  </w:pPr>
                  <w:r>
                    <w:rPr>
                      <w:color w:val="auto"/>
                      <w:sz w:val="21"/>
                      <w:szCs w:val="21"/>
                      <w:u w:val="none"/>
                    </w:rPr>
                    <w:t>规划法规</w:t>
                  </w:r>
                </w:p>
              </w:tc>
              <w:tc>
                <w:tcPr>
                  <w:tcW w:w="3226" w:type="pct"/>
                  <w:vAlign w:val="center"/>
                </w:tcPr>
                <w:p w14:paraId="0CD57BCD">
                  <w:pPr>
                    <w:widowControl/>
                    <w:tabs>
                      <w:tab w:val="left" w:pos="864"/>
                    </w:tabs>
                    <w:kinsoku w:val="0"/>
                    <w:wordWrap/>
                    <w:autoSpaceDE w:val="0"/>
                    <w:autoSpaceDN w:val="0"/>
                    <w:adjustRightInd w:val="0"/>
                    <w:snapToGrid w:val="0"/>
                    <w:spacing w:line="240" w:lineRule="auto"/>
                    <w:ind w:firstLine="0" w:firstLineChars="0"/>
                    <w:textAlignment w:val="baseline"/>
                    <w:rPr>
                      <w:color w:val="auto"/>
                      <w:sz w:val="21"/>
                      <w:szCs w:val="21"/>
                      <w:u w:val="none"/>
                    </w:rPr>
                  </w:pPr>
                  <w:r>
                    <w:rPr>
                      <w:color w:val="auto"/>
                      <w:sz w:val="21"/>
                      <w:szCs w:val="21"/>
                      <w:u w:val="none"/>
                    </w:rPr>
                    <w:t>1.符合《产业结构调整指导目录（2024年本）》要求；</w:t>
                  </w:r>
                </w:p>
                <w:p w14:paraId="2B87F1E3">
                  <w:pPr>
                    <w:widowControl/>
                    <w:tabs>
                      <w:tab w:val="left" w:pos="864"/>
                    </w:tabs>
                    <w:kinsoku w:val="0"/>
                    <w:wordWrap/>
                    <w:autoSpaceDE w:val="0"/>
                    <w:autoSpaceDN w:val="0"/>
                    <w:adjustRightInd w:val="0"/>
                    <w:snapToGrid w:val="0"/>
                    <w:spacing w:line="240" w:lineRule="auto"/>
                    <w:ind w:firstLine="0" w:firstLineChars="0"/>
                    <w:textAlignment w:val="baseline"/>
                    <w:rPr>
                      <w:color w:val="auto"/>
                      <w:sz w:val="21"/>
                      <w:szCs w:val="21"/>
                      <w:u w:val="none"/>
                    </w:rPr>
                  </w:pPr>
                  <w:r>
                    <w:rPr>
                      <w:color w:val="auto"/>
                      <w:sz w:val="21"/>
                      <w:szCs w:val="21"/>
                      <w:u w:val="none"/>
                    </w:rPr>
                    <w:t>2.满足区域生态保护红线、环境质量底线、资源利用上线和环境准入管控要求；符合河南省主体功能区规划的要求；</w:t>
                  </w:r>
                </w:p>
                <w:p w14:paraId="1CC0993B">
                  <w:pPr>
                    <w:widowControl/>
                    <w:tabs>
                      <w:tab w:val="left" w:pos="864"/>
                    </w:tabs>
                    <w:kinsoku w:val="0"/>
                    <w:wordWrap/>
                    <w:autoSpaceDE w:val="0"/>
                    <w:autoSpaceDN w:val="0"/>
                    <w:adjustRightInd w:val="0"/>
                    <w:snapToGrid w:val="0"/>
                    <w:spacing w:line="240" w:lineRule="auto"/>
                    <w:ind w:firstLine="0" w:firstLineChars="0"/>
                    <w:textAlignment w:val="baseline"/>
                    <w:rPr>
                      <w:color w:val="auto"/>
                      <w:sz w:val="21"/>
                      <w:szCs w:val="21"/>
                      <w:u w:val="none"/>
                    </w:rPr>
                  </w:pPr>
                  <w:r>
                    <w:rPr>
                      <w:color w:val="auto"/>
                      <w:sz w:val="21"/>
                      <w:szCs w:val="21"/>
                      <w:u w:val="none"/>
                    </w:rPr>
                    <w:t>3严格按照国家的环保法律和规定做到执行环境影响评价和“三同时”制度；入驻项目必须做到达标排放，并做好事故预防措施，制定必要的风险应急预案。</w:t>
                  </w:r>
                </w:p>
              </w:tc>
              <w:tc>
                <w:tcPr>
                  <w:tcW w:w="967" w:type="pct"/>
                  <w:vAlign w:val="center"/>
                </w:tcPr>
                <w:p w14:paraId="70772B55">
                  <w:pPr>
                    <w:widowControl/>
                    <w:tabs>
                      <w:tab w:val="left" w:pos="864"/>
                    </w:tabs>
                    <w:kinsoku w:val="0"/>
                    <w:wordWrap/>
                    <w:autoSpaceDE w:val="0"/>
                    <w:autoSpaceDN w:val="0"/>
                    <w:adjustRightInd w:val="0"/>
                    <w:snapToGrid w:val="0"/>
                    <w:spacing w:line="240" w:lineRule="auto"/>
                    <w:ind w:firstLine="0" w:firstLineChars="0"/>
                    <w:jc w:val="left"/>
                    <w:textAlignment w:val="baseline"/>
                    <w:rPr>
                      <w:color w:val="auto"/>
                      <w:sz w:val="21"/>
                      <w:szCs w:val="21"/>
                      <w:u w:val="none"/>
                    </w:rPr>
                  </w:pPr>
                  <w:r>
                    <w:rPr>
                      <w:rFonts w:hint="eastAsia"/>
                      <w:color w:val="auto"/>
                      <w:sz w:val="21"/>
                      <w:szCs w:val="21"/>
                      <w:u w:val="none"/>
                    </w:rPr>
                    <w:t>1.对照《产业结构调整指导目录》（2024年），本项目不属于淘汰类、限制类、鼓励类，属于允许类。2.项目符合三线一单要求。3.项目建设严格落实环评和三同时制度要求，各污染物达标排放。</w:t>
                  </w:r>
                </w:p>
              </w:tc>
              <w:tc>
                <w:tcPr>
                  <w:tcW w:w="333" w:type="pct"/>
                  <w:vAlign w:val="center"/>
                </w:tcPr>
                <w:p w14:paraId="0A5CE8DB">
                  <w:pPr>
                    <w:widowControl/>
                    <w:tabs>
                      <w:tab w:val="left" w:pos="864"/>
                    </w:tabs>
                    <w:kinsoku w:val="0"/>
                    <w:wordWrap/>
                    <w:autoSpaceDE w:val="0"/>
                    <w:autoSpaceDN w:val="0"/>
                    <w:adjustRightInd w:val="0"/>
                    <w:snapToGrid w:val="0"/>
                    <w:spacing w:line="240" w:lineRule="auto"/>
                    <w:ind w:firstLine="0" w:firstLineChars="0"/>
                    <w:jc w:val="center"/>
                    <w:textAlignment w:val="baseline"/>
                    <w:rPr>
                      <w:color w:val="auto"/>
                      <w:sz w:val="21"/>
                      <w:szCs w:val="21"/>
                      <w:u w:val="none"/>
                    </w:rPr>
                  </w:pPr>
                  <w:r>
                    <w:rPr>
                      <w:rFonts w:hint="eastAsia"/>
                      <w:color w:val="auto"/>
                      <w:kern w:val="0"/>
                      <w:sz w:val="21"/>
                      <w:szCs w:val="21"/>
                      <w:u w:val="none"/>
                    </w:rPr>
                    <w:t>相符</w:t>
                  </w:r>
                </w:p>
              </w:tc>
            </w:tr>
            <w:tr w14:paraId="20DEF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0" w:type="pct"/>
                  <w:vMerge w:val="continue"/>
                  <w:vAlign w:val="center"/>
                </w:tcPr>
                <w:p w14:paraId="1727A496">
                  <w:pPr>
                    <w:widowControl/>
                    <w:tabs>
                      <w:tab w:val="left" w:pos="864"/>
                    </w:tabs>
                    <w:kinsoku w:val="0"/>
                    <w:wordWrap/>
                    <w:autoSpaceDE w:val="0"/>
                    <w:autoSpaceDN w:val="0"/>
                    <w:adjustRightInd w:val="0"/>
                    <w:snapToGrid w:val="0"/>
                    <w:spacing w:line="240" w:lineRule="auto"/>
                    <w:ind w:firstLine="0" w:firstLineChars="0"/>
                    <w:jc w:val="center"/>
                    <w:textAlignment w:val="baseline"/>
                    <w:rPr>
                      <w:color w:val="auto"/>
                      <w:sz w:val="21"/>
                      <w:szCs w:val="21"/>
                      <w:u w:val="none"/>
                    </w:rPr>
                  </w:pPr>
                </w:p>
              </w:tc>
              <w:tc>
                <w:tcPr>
                  <w:tcW w:w="291" w:type="pct"/>
                  <w:vAlign w:val="center"/>
                </w:tcPr>
                <w:p w14:paraId="3428A738">
                  <w:pPr>
                    <w:widowControl/>
                    <w:tabs>
                      <w:tab w:val="left" w:pos="864"/>
                    </w:tabs>
                    <w:kinsoku w:val="0"/>
                    <w:wordWrap/>
                    <w:autoSpaceDE w:val="0"/>
                    <w:autoSpaceDN w:val="0"/>
                    <w:adjustRightInd w:val="0"/>
                    <w:snapToGrid w:val="0"/>
                    <w:spacing w:line="240" w:lineRule="auto"/>
                    <w:ind w:firstLine="0" w:firstLineChars="0"/>
                    <w:jc w:val="center"/>
                    <w:textAlignment w:val="baseline"/>
                    <w:rPr>
                      <w:color w:val="auto"/>
                      <w:sz w:val="21"/>
                      <w:szCs w:val="21"/>
                      <w:u w:val="none"/>
                    </w:rPr>
                  </w:pPr>
                  <w:r>
                    <w:rPr>
                      <w:color w:val="auto"/>
                      <w:sz w:val="21"/>
                      <w:szCs w:val="21"/>
                      <w:u w:val="none"/>
                    </w:rPr>
                    <w:t>投资强度及容积率</w:t>
                  </w:r>
                </w:p>
              </w:tc>
              <w:tc>
                <w:tcPr>
                  <w:tcW w:w="3226" w:type="pct"/>
                  <w:vAlign w:val="center"/>
                </w:tcPr>
                <w:p w14:paraId="35EB8167">
                  <w:pPr>
                    <w:widowControl/>
                    <w:tabs>
                      <w:tab w:val="left" w:pos="864"/>
                    </w:tabs>
                    <w:kinsoku w:val="0"/>
                    <w:wordWrap/>
                    <w:autoSpaceDE w:val="0"/>
                    <w:autoSpaceDN w:val="0"/>
                    <w:adjustRightInd w:val="0"/>
                    <w:snapToGrid w:val="0"/>
                    <w:spacing w:line="240" w:lineRule="auto"/>
                    <w:ind w:firstLine="0" w:firstLineChars="0"/>
                    <w:textAlignment w:val="baseline"/>
                    <w:rPr>
                      <w:color w:val="auto"/>
                      <w:sz w:val="21"/>
                      <w:szCs w:val="21"/>
                      <w:u w:val="none"/>
                    </w:rPr>
                  </w:pPr>
                  <w:r>
                    <w:rPr>
                      <w:color w:val="auto"/>
                      <w:sz w:val="21"/>
                      <w:szCs w:val="21"/>
                      <w:u w:val="none"/>
                    </w:rPr>
                    <w:t>满足国土资发[2008]24号文《关于发布和实施&lt;工业项目建设用地控制指标&gt;的通知》的要求和《河南省人民政府关于进一步加强节约集约用地的意见》（豫政[2015]66号）文件要求</w:t>
                  </w:r>
                </w:p>
              </w:tc>
              <w:tc>
                <w:tcPr>
                  <w:tcW w:w="967" w:type="pct"/>
                  <w:vAlign w:val="center"/>
                </w:tcPr>
                <w:p w14:paraId="1BF90787">
                  <w:pPr>
                    <w:widowControl/>
                    <w:tabs>
                      <w:tab w:val="left" w:pos="864"/>
                    </w:tabs>
                    <w:kinsoku w:val="0"/>
                    <w:wordWrap/>
                    <w:autoSpaceDE w:val="0"/>
                    <w:autoSpaceDN w:val="0"/>
                    <w:adjustRightInd w:val="0"/>
                    <w:snapToGrid w:val="0"/>
                    <w:spacing w:line="240" w:lineRule="auto"/>
                    <w:ind w:firstLine="0" w:firstLineChars="0"/>
                    <w:jc w:val="left"/>
                    <w:textAlignment w:val="baseline"/>
                    <w:rPr>
                      <w:color w:val="auto"/>
                      <w:sz w:val="21"/>
                      <w:szCs w:val="21"/>
                      <w:u w:val="none"/>
                    </w:rPr>
                  </w:pPr>
                  <w:r>
                    <w:rPr>
                      <w:rFonts w:hint="eastAsia"/>
                      <w:color w:val="auto"/>
                      <w:sz w:val="21"/>
                      <w:szCs w:val="21"/>
                      <w:u w:val="none"/>
                    </w:rPr>
                    <w:t>项目用地为工业用地，符合要求。</w:t>
                  </w:r>
                </w:p>
              </w:tc>
              <w:tc>
                <w:tcPr>
                  <w:tcW w:w="333" w:type="pct"/>
                  <w:vAlign w:val="center"/>
                </w:tcPr>
                <w:p w14:paraId="2FDB5447">
                  <w:pPr>
                    <w:widowControl/>
                    <w:tabs>
                      <w:tab w:val="left" w:pos="864"/>
                    </w:tabs>
                    <w:kinsoku w:val="0"/>
                    <w:wordWrap/>
                    <w:autoSpaceDE w:val="0"/>
                    <w:autoSpaceDN w:val="0"/>
                    <w:adjustRightInd w:val="0"/>
                    <w:snapToGrid w:val="0"/>
                    <w:spacing w:line="240" w:lineRule="auto"/>
                    <w:ind w:firstLine="0" w:firstLineChars="0"/>
                    <w:jc w:val="center"/>
                    <w:textAlignment w:val="baseline"/>
                    <w:rPr>
                      <w:color w:val="auto"/>
                      <w:sz w:val="21"/>
                      <w:szCs w:val="21"/>
                      <w:u w:val="none"/>
                    </w:rPr>
                  </w:pPr>
                  <w:r>
                    <w:rPr>
                      <w:rFonts w:hint="eastAsia"/>
                      <w:color w:val="auto"/>
                      <w:kern w:val="0"/>
                      <w:sz w:val="21"/>
                      <w:szCs w:val="21"/>
                      <w:u w:val="none"/>
                    </w:rPr>
                    <w:t>相符</w:t>
                  </w:r>
                </w:p>
              </w:tc>
            </w:tr>
            <w:tr w14:paraId="59DCE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0" w:type="pct"/>
                  <w:vMerge w:val="continue"/>
                  <w:vAlign w:val="center"/>
                </w:tcPr>
                <w:p w14:paraId="6200296C">
                  <w:pPr>
                    <w:widowControl/>
                    <w:tabs>
                      <w:tab w:val="left" w:pos="864"/>
                    </w:tabs>
                    <w:kinsoku w:val="0"/>
                    <w:wordWrap/>
                    <w:autoSpaceDE w:val="0"/>
                    <w:autoSpaceDN w:val="0"/>
                    <w:adjustRightInd w:val="0"/>
                    <w:snapToGrid w:val="0"/>
                    <w:spacing w:line="240" w:lineRule="auto"/>
                    <w:ind w:firstLine="0" w:firstLineChars="0"/>
                    <w:jc w:val="center"/>
                    <w:textAlignment w:val="baseline"/>
                    <w:rPr>
                      <w:color w:val="auto"/>
                      <w:sz w:val="21"/>
                      <w:szCs w:val="21"/>
                      <w:u w:val="none"/>
                    </w:rPr>
                  </w:pPr>
                </w:p>
              </w:tc>
              <w:tc>
                <w:tcPr>
                  <w:tcW w:w="291" w:type="pct"/>
                  <w:vAlign w:val="center"/>
                </w:tcPr>
                <w:p w14:paraId="7CCCDCE5">
                  <w:pPr>
                    <w:widowControl/>
                    <w:tabs>
                      <w:tab w:val="left" w:pos="864"/>
                    </w:tabs>
                    <w:kinsoku w:val="0"/>
                    <w:wordWrap/>
                    <w:autoSpaceDE w:val="0"/>
                    <w:autoSpaceDN w:val="0"/>
                    <w:adjustRightInd w:val="0"/>
                    <w:snapToGrid w:val="0"/>
                    <w:spacing w:line="240" w:lineRule="auto"/>
                    <w:ind w:firstLine="0" w:firstLineChars="0"/>
                    <w:jc w:val="center"/>
                    <w:textAlignment w:val="baseline"/>
                    <w:rPr>
                      <w:color w:val="auto"/>
                      <w:sz w:val="21"/>
                      <w:szCs w:val="21"/>
                      <w:u w:val="none"/>
                    </w:rPr>
                  </w:pPr>
                  <w:r>
                    <w:rPr>
                      <w:color w:val="auto"/>
                      <w:sz w:val="21"/>
                      <w:szCs w:val="21"/>
                      <w:u w:val="none"/>
                    </w:rPr>
                    <w:t>资源开发利用</w:t>
                  </w:r>
                </w:p>
              </w:tc>
              <w:tc>
                <w:tcPr>
                  <w:tcW w:w="3226" w:type="pct"/>
                  <w:vAlign w:val="center"/>
                </w:tcPr>
                <w:p w14:paraId="41071354">
                  <w:pPr>
                    <w:widowControl/>
                    <w:tabs>
                      <w:tab w:val="left" w:pos="864"/>
                    </w:tabs>
                    <w:kinsoku w:val="0"/>
                    <w:wordWrap/>
                    <w:autoSpaceDE w:val="0"/>
                    <w:autoSpaceDN w:val="0"/>
                    <w:adjustRightInd w:val="0"/>
                    <w:snapToGrid w:val="0"/>
                    <w:spacing w:line="240" w:lineRule="auto"/>
                    <w:ind w:firstLine="0" w:firstLineChars="0"/>
                    <w:textAlignment w:val="baseline"/>
                    <w:rPr>
                      <w:color w:val="auto"/>
                      <w:sz w:val="21"/>
                      <w:szCs w:val="21"/>
                      <w:u w:val="none"/>
                    </w:rPr>
                  </w:pPr>
                  <w:r>
                    <w:rPr>
                      <w:rFonts w:hint="eastAsia"/>
                      <w:color w:val="auto"/>
                      <w:sz w:val="21"/>
                      <w:szCs w:val="21"/>
                      <w:u w:val="none"/>
                    </w:rPr>
                    <w:t>1.</w:t>
                  </w:r>
                  <w:r>
                    <w:rPr>
                      <w:color w:val="auto"/>
                      <w:sz w:val="21"/>
                      <w:szCs w:val="21"/>
                      <w:u w:val="none"/>
                    </w:rPr>
                    <w:t>到2025年，濮阳市年用水总量控制在14.37亿立方米以内，全市万元GDP用水量和万元工业增加值用水量分别降低到69.8立方米和23立方米。强化工业节水，开展火力发电、石化、化工、造纸、食品加工、羽绒制品等高耗水或重污染行业工业废水循环利用或节水技术改造。</w:t>
                  </w:r>
                </w:p>
                <w:p w14:paraId="18112D01">
                  <w:pPr>
                    <w:widowControl/>
                    <w:tabs>
                      <w:tab w:val="left" w:pos="864"/>
                    </w:tabs>
                    <w:kinsoku w:val="0"/>
                    <w:wordWrap/>
                    <w:autoSpaceDE w:val="0"/>
                    <w:autoSpaceDN w:val="0"/>
                    <w:adjustRightInd w:val="0"/>
                    <w:snapToGrid w:val="0"/>
                    <w:spacing w:line="240" w:lineRule="auto"/>
                    <w:ind w:firstLine="0" w:firstLineChars="0"/>
                    <w:textAlignment w:val="baseline"/>
                    <w:rPr>
                      <w:color w:val="auto"/>
                      <w:sz w:val="21"/>
                      <w:szCs w:val="21"/>
                      <w:u w:val="none"/>
                    </w:rPr>
                  </w:pPr>
                  <w:r>
                    <w:rPr>
                      <w:rFonts w:hint="eastAsia"/>
                      <w:color w:val="auto"/>
                      <w:sz w:val="21"/>
                      <w:szCs w:val="21"/>
                      <w:u w:val="none"/>
                    </w:rPr>
                    <w:t>2.</w:t>
                  </w:r>
                  <w:r>
                    <w:rPr>
                      <w:color w:val="auto"/>
                      <w:sz w:val="21"/>
                      <w:szCs w:val="21"/>
                      <w:u w:val="none"/>
                    </w:rPr>
                    <w:t>地下水超采地区，控制采用地下水的高耗水新建、改建，扩建项目。</w:t>
                  </w:r>
                </w:p>
              </w:tc>
              <w:tc>
                <w:tcPr>
                  <w:tcW w:w="967" w:type="pct"/>
                  <w:vAlign w:val="center"/>
                </w:tcPr>
                <w:p w14:paraId="51AEC875">
                  <w:pPr>
                    <w:widowControl/>
                    <w:tabs>
                      <w:tab w:val="left" w:pos="864"/>
                    </w:tabs>
                    <w:kinsoku w:val="0"/>
                    <w:wordWrap/>
                    <w:autoSpaceDE w:val="0"/>
                    <w:autoSpaceDN w:val="0"/>
                    <w:adjustRightInd w:val="0"/>
                    <w:snapToGrid w:val="0"/>
                    <w:spacing w:line="240" w:lineRule="auto"/>
                    <w:ind w:firstLine="0" w:firstLineChars="0"/>
                    <w:jc w:val="left"/>
                    <w:textAlignment w:val="baseline"/>
                    <w:rPr>
                      <w:color w:val="auto"/>
                      <w:sz w:val="21"/>
                      <w:szCs w:val="21"/>
                      <w:u w:val="none"/>
                    </w:rPr>
                  </w:pPr>
                  <w:r>
                    <w:rPr>
                      <w:rFonts w:hint="eastAsia"/>
                      <w:color w:val="auto"/>
                      <w:sz w:val="21"/>
                      <w:szCs w:val="21"/>
                      <w:u w:val="none"/>
                    </w:rPr>
                    <w:t>本项目不属于</w:t>
                  </w:r>
                  <w:r>
                    <w:rPr>
                      <w:color w:val="auto"/>
                      <w:sz w:val="21"/>
                      <w:szCs w:val="21"/>
                      <w:u w:val="none"/>
                    </w:rPr>
                    <w:t>高耗水或重污染行业</w:t>
                  </w:r>
                  <w:r>
                    <w:rPr>
                      <w:rFonts w:hint="eastAsia"/>
                      <w:color w:val="auto"/>
                      <w:sz w:val="21"/>
                      <w:szCs w:val="21"/>
                      <w:u w:val="none"/>
                    </w:rPr>
                    <w:t>。</w:t>
                  </w:r>
                </w:p>
              </w:tc>
              <w:tc>
                <w:tcPr>
                  <w:tcW w:w="333" w:type="pct"/>
                  <w:vAlign w:val="center"/>
                </w:tcPr>
                <w:p w14:paraId="1082C7DC">
                  <w:pPr>
                    <w:widowControl/>
                    <w:tabs>
                      <w:tab w:val="left" w:pos="864"/>
                    </w:tabs>
                    <w:kinsoku w:val="0"/>
                    <w:wordWrap/>
                    <w:autoSpaceDE w:val="0"/>
                    <w:autoSpaceDN w:val="0"/>
                    <w:adjustRightInd w:val="0"/>
                    <w:snapToGrid w:val="0"/>
                    <w:spacing w:line="240" w:lineRule="auto"/>
                    <w:ind w:firstLine="0" w:firstLineChars="0"/>
                    <w:jc w:val="center"/>
                    <w:textAlignment w:val="baseline"/>
                    <w:rPr>
                      <w:color w:val="auto"/>
                      <w:sz w:val="21"/>
                      <w:szCs w:val="21"/>
                      <w:u w:val="none"/>
                    </w:rPr>
                  </w:pPr>
                  <w:r>
                    <w:rPr>
                      <w:rFonts w:hint="eastAsia"/>
                      <w:color w:val="auto"/>
                      <w:kern w:val="0"/>
                      <w:sz w:val="21"/>
                      <w:szCs w:val="21"/>
                      <w:u w:val="none"/>
                    </w:rPr>
                    <w:t>相符</w:t>
                  </w:r>
                </w:p>
              </w:tc>
            </w:tr>
            <w:tr w14:paraId="765DA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0" w:type="pct"/>
                  <w:vMerge w:val="continue"/>
                  <w:vAlign w:val="center"/>
                </w:tcPr>
                <w:p w14:paraId="3971098E">
                  <w:pPr>
                    <w:widowControl/>
                    <w:tabs>
                      <w:tab w:val="left" w:pos="864"/>
                    </w:tabs>
                    <w:kinsoku w:val="0"/>
                    <w:wordWrap/>
                    <w:autoSpaceDE w:val="0"/>
                    <w:autoSpaceDN w:val="0"/>
                    <w:adjustRightInd w:val="0"/>
                    <w:snapToGrid w:val="0"/>
                    <w:spacing w:line="240" w:lineRule="auto"/>
                    <w:ind w:firstLine="0" w:firstLineChars="0"/>
                    <w:jc w:val="center"/>
                    <w:textAlignment w:val="baseline"/>
                    <w:rPr>
                      <w:color w:val="auto"/>
                      <w:sz w:val="21"/>
                      <w:szCs w:val="21"/>
                      <w:u w:val="none"/>
                    </w:rPr>
                  </w:pPr>
                </w:p>
              </w:tc>
              <w:tc>
                <w:tcPr>
                  <w:tcW w:w="291" w:type="pct"/>
                  <w:vAlign w:val="center"/>
                </w:tcPr>
                <w:p w14:paraId="166568DE">
                  <w:pPr>
                    <w:widowControl/>
                    <w:tabs>
                      <w:tab w:val="left" w:pos="864"/>
                    </w:tabs>
                    <w:kinsoku w:val="0"/>
                    <w:wordWrap/>
                    <w:autoSpaceDE w:val="0"/>
                    <w:autoSpaceDN w:val="0"/>
                    <w:adjustRightInd w:val="0"/>
                    <w:snapToGrid w:val="0"/>
                    <w:spacing w:line="240" w:lineRule="auto"/>
                    <w:ind w:firstLine="0" w:firstLineChars="0"/>
                    <w:jc w:val="center"/>
                    <w:textAlignment w:val="baseline"/>
                    <w:rPr>
                      <w:color w:val="auto"/>
                      <w:sz w:val="21"/>
                      <w:szCs w:val="21"/>
                      <w:u w:val="none"/>
                    </w:rPr>
                  </w:pPr>
                  <w:r>
                    <w:rPr>
                      <w:color w:val="auto"/>
                      <w:sz w:val="21"/>
                      <w:szCs w:val="21"/>
                      <w:u w:val="none"/>
                    </w:rPr>
                    <w:t>污染物排放管控要求</w:t>
                  </w:r>
                </w:p>
              </w:tc>
              <w:tc>
                <w:tcPr>
                  <w:tcW w:w="3226" w:type="pct"/>
                  <w:vAlign w:val="center"/>
                </w:tcPr>
                <w:p w14:paraId="3A280751">
                  <w:pPr>
                    <w:keepNext w:val="0"/>
                    <w:keepLines w:val="0"/>
                    <w:pageBreakBefore w:val="0"/>
                    <w:widowControl/>
                    <w:tabs>
                      <w:tab w:val="left" w:pos="864"/>
                    </w:tabs>
                    <w:kinsoku w:val="0"/>
                    <w:wordWrap/>
                    <w:overflowPunct/>
                    <w:topLinePunct w:val="0"/>
                    <w:autoSpaceDE w:val="0"/>
                    <w:autoSpaceDN w:val="0"/>
                    <w:bidi w:val="0"/>
                    <w:adjustRightInd w:val="0"/>
                    <w:snapToGrid w:val="0"/>
                    <w:spacing w:line="240" w:lineRule="auto"/>
                    <w:ind w:firstLine="0" w:firstLineChars="0"/>
                    <w:jc w:val="left"/>
                    <w:textAlignment w:val="baseline"/>
                    <w:rPr>
                      <w:color w:val="auto"/>
                      <w:sz w:val="21"/>
                      <w:szCs w:val="21"/>
                      <w:u w:val="none"/>
                    </w:rPr>
                  </w:pPr>
                  <w:r>
                    <w:rPr>
                      <w:rFonts w:hint="eastAsia"/>
                      <w:color w:val="auto"/>
                      <w:sz w:val="21"/>
                      <w:szCs w:val="21"/>
                      <w:u w:val="none"/>
                    </w:rPr>
                    <w:t>1.</w:t>
                  </w:r>
                  <w:r>
                    <w:rPr>
                      <w:color w:val="auto"/>
                      <w:sz w:val="21"/>
                      <w:szCs w:val="21"/>
                      <w:u w:val="none"/>
                    </w:rPr>
                    <w:t>新、改、扩建项目主要污染物排放要求满足当地总量减排要求。</w:t>
                  </w:r>
                </w:p>
                <w:p w14:paraId="33346B44">
                  <w:pPr>
                    <w:keepNext w:val="0"/>
                    <w:keepLines w:val="0"/>
                    <w:pageBreakBefore w:val="0"/>
                    <w:widowControl/>
                    <w:tabs>
                      <w:tab w:val="left" w:pos="864"/>
                    </w:tabs>
                    <w:kinsoku w:val="0"/>
                    <w:wordWrap/>
                    <w:overflowPunct/>
                    <w:topLinePunct w:val="0"/>
                    <w:autoSpaceDE w:val="0"/>
                    <w:autoSpaceDN w:val="0"/>
                    <w:bidi w:val="0"/>
                    <w:adjustRightInd w:val="0"/>
                    <w:snapToGrid w:val="0"/>
                    <w:spacing w:line="240" w:lineRule="auto"/>
                    <w:ind w:firstLine="0" w:firstLineChars="0"/>
                    <w:jc w:val="left"/>
                    <w:textAlignment w:val="baseline"/>
                    <w:rPr>
                      <w:color w:val="auto"/>
                      <w:sz w:val="21"/>
                      <w:szCs w:val="21"/>
                      <w:u w:val="none"/>
                    </w:rPr>
                  </w:pPr>
                  <w:r>
                    <w:rPr>
                      <w:rFonts w:hint="eastAsia"/>
                      <w:color w:val="auto"/>
                      <w:sz w:val="21"/>
                      <w:szCs w:val="21"/>
                      <w:u w:val="none"/>
                    </w:rPr>
                    <w:t>2.</w:t>
                  </w:r>
                  <w:r>
                    <w:rPr>
                      <w:color w:val="auto"/>
                      <w:sz w:val="21"/>
                      <w:szCs w:val="21"/>
                      <w:u w:val="none"/>
                    </w:rPr>
                    <w:t>涉及挥发性有机物排放的建设项目，实行区域内VOCs排放等量或倍量削减替代，否则禁止入驻;</w:t>
                  </w:r>
                </w:p>
                <w:p w14:paraId="1653B59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left"/>
                    <w:textAlignment w:val="baseline"/>
                    <w:rPr>
                      <w:color w:val="auto"/>
                      <w:sz w:val="21"/>
                      <w:szCs w:val="21"/>
                      <w:u w:val="none"/>
                    </w:rPr>
                  </w:pPr>
                  <w:r>
                    <w:rPr>
                      <w:color w:val="auto"/>
                      <w:sz w:val="21"/>
                      <w:szCs w:val="21"/>
                      <w:u w:val="none"/>
                    </w:rPr>
                    <w:t>3.深入推进低挥发性有机物含量原辅材料源头替代，全面推广使用低挥发性有机物含量的涂料、油墨、胶粘剂、清洗剂等新兴原辅材料。</w:t>
                  </w:r>
                </w:p>
                <w:p w14:paraId="2BDCA681">
                  <w:pPr>
                    <w:keepNext w:val="0"/>
                    <w:keepLines w:val="0"/>
                    <w:pageBreakBefore w:val="0"/>
                    <w:widowControl/>
                    <w:tabs>
                      <w:tab w:val="left" w:pos="864"/>
                    </w:tabs>
                    <w:kinsoku w:val="0"/>
                    <w:wordWrap/>
                    <w:overflowPunct/>
                    <w:topLinePunct w:val="0"/>
                    <w:autoSpaceDE w:val="0"/>
                    <w:autoSpaceDN w:val="0"/>
                    <w:bidi w:val="0"/>
                    <w:adjustRightInd w:val="0"/>
                    <w:snapToGrid w:val="0"/>
                    <w:spacing w:line="240" w:lineRule="auto"/>
                    <w:ind w:firstLine="0" w:firstLineChars="0"/>
                    <w:jc w:val="left"/>
                    <w:textAlignment w:val="baseline"/>
                    <w:rPr>
                      <w:color w:val="auto"/>
                      <w:sz w:val="21"/>
                      <w:szCs w:val="21"/>
                      <w:u w:val="none"/>
                    </w:rPr>
                  </w:pPr>
                  <w:r>
                    <w:rPr>
                      <w:color w:val="auto"/>
                      <w:sz w:val="21"/>
                      <w:szCs w:val="21"/>
                      <w:u w:val="none"/>
                    </w:rPr>
                    <w:t>4.优化产业结构，严格控制入区项目的引入条件；入区企业要严格执行“三同时”制度，优化工艺流程，推行清洁生产，对污染物排放进行全过程控制。</w:t>
                  </w:r>
                </w:p>
                <w:p w14:paraId="66F99490">
                  <w:pPr>
                    <w:keepNext w:val="0"/>
                    <w:keepLines w:val="0"/>
                    <w:pageBreakBefore w:val="0"/>
                    <w:widowControl/>
                    <w:tabs>
                      <w:tab w:val="left" w:pos="864"/>
                    </w:tabs>
                    <w:kinsoku w:val="0"/>
                    <w:wordWrap/>
                    <w:overflowPunct/>
                    <w:topLinePunct w:val="0"/>
                    <w:autoSpaceDE w:val="0"/>
                    <w:autoSpaceDN w:val="0"/>
                    <w:bidi w:val="0"/>
                    <w:adjustRightInd w:val="0"/>
                    <w:snapToGrid w:val="0"/>
                    <w:spacing w:line="240" w:lineRule="auto"/>
                    <w:ind w:firstLine="0" w:firstLineChars="0"/>
                    <w:jc w:val="left"/>
                    <w:textAlignment w:val="baseline"/>
                    <w:rPr>
                      <w:color w:val="auto"/>
                      <w:sz w:val="21"/>
                      <w:szCs w:val="21"/>
                      <w:u w:val="none"/>
                    </w:rPr>
                  </w:pPr>
                  <w:r>
                    <w:rPr>
                      <w:color w:val="auto"/>
                      <w:sz w:val="21"/>
                      <w:szCs w:val="21"/>
                      <w:u w:val="none"/>
                    </w:rPr>
                    <w:t>5.新建、扩建项目污染物排放限值、污染治理措施、无组织排放控制水平、运输方式等达到A级绩效水平，改建项目污染物排放限值、污染治理措施、无组织排放控制水平、运输方式等等达到B级以上绩效水平。</w:t>
                  </w:r>
                </w:p>
                <w:p w14:paraId="2CB6EBC7">
                  <w:pPr>
                    <w:keepNext w:val="0"/>
                    <w:keepLines w:val="0"/>
                    <w:pageBreakBefore w:val="0"/>
                    <w:widowControl/>
                    <w:tabs>
                      <w:tab w:val="left" w:pos="864"/>
                    </w:tabs>
                    <w:kinsoku w:val="0"/>
                    <w:wordWrap/>
                    <w:overflowPunct/>
                    <w:topLinePunct w:val="0"/>
                    <w:autoSpaceDE w:val="0"/>
                    <w:autoSpaceDN w:val="0"/>
                    <w:bidi w:val="0"/>
                    <w:adjustRightInd w:val="0"/>
                    <w:snapToGrid w:val="0"/>
                    <w:spacing w:line="240" w:lineRule="auto"/>
                    <w:ind w:firstLine="0" w:firstLineChars="0"/>
                    <w:jc w:val="left"/>
                    <w:textAlignment w:val="baseline"/>
                    <w:rPr>
                      <w:color w:val="auto"/>
                      <w:sz w:val="21"/>
                      <w:szCs w:val="21"/>
                      <w:u w:val="none"/>
                    </w:rPr>
                  </w:pPr>
                  <w:r>
                    <w:rPr>
                      <w:color w:val="auto"/>
                      <w:sz w:val="21"/>
                      <w:szCs w:val="21"/>
                      <w:u w:val="none"/>
                    </w:rPr>
                    <w:t>6.严格限制高耗水、高污染的企业入驻园区；沥青、油料、化学物品等要采取防止雨水冲刷和防淋溶措施；采用先进的生产工艺和污染物处理工艺，加大废水回用率，最大限度地减少水污染物的排放。禁止含重金属废水进入城市生活污水处理厂。</w:t>
                  </w:r>
                </w:p>
                <w:p w14:paraId="0201E22F">
                  <w:pPr>
                    <w:keepNext w:val="0"/>
                    <w:keepLines w:val="0"/>
                    <w:pageBreakBefore w:val="0"/>
                    <w:widowControl/>
                    <w:tabs>
                      <w:tab w:val="left" w:pos="864"/>
                    </w:tabs>
                    <w:kinsoku w:val="0"/>
                    <w:wordWrap/>
                    <w:overflowPunct/>
                    <w:topLinePunct w:val="0"/>
                    <w:autoSpaceDE w:val="0"/>
                    <w:autoSpaceDN w:val="0"/>
                    <w:bidi w:val="0"/>
                    <w:adjustRightInd w:val="0"/>
                    <w:snapToGrid w:val="0"/>
                    <w:spacing w:line="240" w:lineRule="auto"/>
                    <w:ind w:firstLine="0" w:firstLineChars="0"/>
                    <w:jc w:val="left"/>
                    <w:textAlignment w:val="baseline"/>
                    <w:rPr>
                      <w:color w:val="auto"/>
                      <w:sz w:val="21"/>
                      <w:szCs w:val="21"/>
                      <w:u w:val="none"/>
                    </w:rPr>
                  </w:pPr>
                  <w:r>
                    <w:rPr>
                      <w:color w:val="auto"/>
                      <w:sz w:val="21"/>
                      <w:szCs w:val="21"/>
                      <w:u w:val="none"/>
                    </w:rPr>
                    <w:t>7.在农副食品加工等重点水污染物排放行业，深入推进清洁生产审核，推动清洁生产改造，减少单位产品耗水量和单位产品排污量，促进企业废水厂内回用。</w:t>
                  </w:r>
                </w:p>
              </w:tc>
              <w:tc>
                <w:tcPr>
                  <w:tcW w:w="967" w:type="pct"/>
                  <w:vAlign w:val="center"/>
                </w:tcPr>
                <w:p w14:paraId="14A1437B">
                  <w:pPr>
                    <w:pStyle w:val="47"/>
                    <w:keepNext w:val="0"/>
                    <w:keepLines w:val="0"/>
                    <w:pageBreakBefore w:val="0"/>
                    <w:widowControl/>
                    <w:kinsoku/>
                    <w:wordWrap w:val="0"/>
                    <w:overflowPunct/>
                    <w:topLinePunct w:val="0"/>
                    <w:autoSpaceDE/>
                    <w:autoSpaceDN/>
                    <w:bidi w:val="0"/>
                    <w:adjustRightInd/>
                    <w:snapToGrid/>
                    <w:spacing w:line="240" w:lineRule="auto"/>
                    <w:ind w:firstLine="0" w:firstLineChars="0"/>
                    <w:jc w:val="left"/>
                    <w:textAlignment w:val="auto"/>
                    <w:rPr>
                      <w:rFonts w:hint="eastAsia" w:ascii="Times New Roman" w:hAnsi="Times New Roman" w:cs="Times New Roman"/>
                      <w:color w:val="auto"/>
                      <w:kern w:val="0"/>
                      <w:sz w:val="21"/>
                      <w:szCs w:val="21"/>
                      <w:highlight w:val="none"/>
                      <w:lang w:eastAsia="zh-CN"/>
                    </w:rPr>
                  </w:pPr>
                  <w:r>
                    <w:rPr>
                      <w:rFonts w:hint="eastAsia"/>
                      <w:color w:val="auto"/>
                      <w:sz w:val="21"/>
                      <w:szCs w:val="21"/>
                      <w:u w:val="none"/>
                    </w:rPr>
                    <w:t>1.</w:t>
                  </w:r>
                  <w:r>
                    <w:rPr>
                      <w:rFonts w:hint="eastAsia"/>
                      <w:color w:val="auto"/>
                      <w:kern w:val="0"/>
                      <w:sz w:val="21"/>
                      <w:szCs w:val="21"/>
                      <w:highlight w:val="none"/>
                    </w:rPr>
                    <w:t>本项目</w:t>
                  </w:r>
                  <w:r>
                    <w:rPr>
                      <w:rFonts w:hint="eastAsia"/>
                      <w:color w:val="auto"/>
                      <w:kern w:val="0"/>
                      <w:sz w:val="21"/>
                      <w:szCs w:val="21"/>
                      <w:highlight w:val="none"/>
                      <w:lang w:val="en-US" w:eastAsia="zh-CN"/>
                    </w:rPr>
                    <w:t>废气</w:t>
                  </w:r>
                  <w:r>
                    <w:rPr>
                      <w:rFonts w:hint="eastAsia"/>
                      <w:color w:val="auto"/>
                      <w:kern w:val="0"/>
                      <w:sz w:val="21"/>
                      <w:szCs w:val="21"/>
                      <w:highlight w:val="none"/>
                    </w:rPr>
                    <w:t>总量控制指标</w:t>
                  </w:r>
                  <w:r>
                    <w:rPr>
                      <w:rFonts w:hint="eastAsia"/>
                      <w:color w:val="auto"/>
                      <w:kern w:val="0"/>
                      <w:sz w:val="21"/>
                      <w:szCs w:val="21"/>
                      <w:highlight w:val="none"/>
                      <w:lang w:val="en-US" w:eastAsia="zh-CN"/>
                    </w:rPr>
                    <w:t>为</w:t>
                  </w:r>
                  <w:r>
                    <w:rPr>
                      <w:rFonts w:hint="eastAsia"/>
                      <w:color w:val="auto"/>
                      <w:kern w:val="0"/>
                      <w:sz w:val="21"/>
                      <w:szCs w:val="21"/>
                      <w:highlight w:val="none"/>
                    </w:rPr>
                    <w:t>：</w:t>
                  </w:r>
                  <w:r>
                    <w:rPr>
                      <w:rFonts w:hint="eastAsia" w:ascii="Times New Roman" w:hAnsi="Times New Roman" w:cs="Times New Roman"/>
                      <w:color w:val="auto"/>
                      <w:kern w:val="0"/>
                      <w:sz w:val="21"/>
                      <w:szCs w:val="21"/>
                      <w:highlight w:val="none"/>
                      <w:lang w:val="en-US" w:eastAsia="zh-CN"/>
                    </w:rPr>
                    <w:t>颗粒物0.5761</w:t>
                  </w:r>
                  <w:r>
                    <w:rPr>
                      <w:rFonts w:hint="default" w:ascii="Times New Roman" w:hAnsi="Times New Roman" w:cs="Times New Roman"/>
                      <w:color w:val="auto"/>
                      <w:kern w:val="0"/>
                      <w:sz w:val="21"/>
                      <w:szCs w:val="21"/>
                      <w:highlight w:val="none"/>
                    </w:rPr>
                    <w:t>t/a，</w:t>
                  </w:r>
                  <w:r>
                    <w:rPr>
                      <w:rFonts w:hint="eastAsia" w:ascii="Times New Roman" w:hAnsi="Times New Roman" w:cs="Times New Roman"/>
                      <w:color w:val="auto"/>
                      <w:kern w:val="0"/>
                      <w:sz w:val="21"/>
                      <w:szCs w:val="21"/>
                      <w:highlight w:val="none"/>
                      <w:lang w:val="en-US" w:eastAsia="zh-CN"/>
                    </w:rPr>
                    <w:t>VOCs0.0038t/a</w:t>
                  </w:r>
                  <w:r>
                    <w:rPr>
                      <w:rFonts w:hint="eastAsia" w:ascii="Times New Roman" w:hAnsi="Times New Roman" w:cs="Times New Roman"/>
                      <w:color w:val="auto"/>
                      <w:kern w:val="0"/>
                      <w:sz w:val="21"/>
                      <w:szCs w:val="21"/>
                      <w:highlight w:val="none"/>
                      <w:lang w:eastAsia="zh-CN"/>
                    </w:rPr>
                    <w:t>。</w:t>
                  </w:r>
                </w:p>
                <w:p w14:paraId="4BF11771">
                  <w:pPr>
                    <w:keepNext w:val="0"/>
                    <w:keepLines w:val="0"/>
                    <w:pageBreakBefore w:val="0"/>
                    <w:overflowPunct/>
                    <w:topLinePunct w:val="0"/>
                    <w:bidi w:val="0"/>
                    <w:spacing w:line="240" w:lineRule="auto"/>
                    <w:ind w:firstLine="0" w:firstLineChars="0"/>
                    <w:jc w:val="left"/>
                    <w:rPr>
                      <w:rFonts w:hint="eastAsia" w:ascii="Times New Roman" w:hAnsi="Times New Roman" w:eastAsia="宋体" w:cs="Times New Roman"/>
                      <w:color w:val="auto"/>
                      <w:sz w:val="21"/>
                      <w:szCs w:val="21"/>
                      <w:highlight w:val="none"/>
                      <w:lang w:eastAsia="zh-CN"/>
                    </w:rPr>
                  </w:pPr>
                  <w:r>
                    <w:rPr>
                      <w:rFonts w:hint="eastAsia"/>
                      <w:color w:val="auto"/>
                      <w:kern w:val="0"/>
                      <w:sz w:val="21"/>
                      <w:szCs w:val="21"/>
                      <w:highlight w:val="none"/>
                    </w:rPr>
                    <w:t>本项目</w:t>
                  </w:r>
                  <w:r>
                    <w:rPr>
                      <w:rFonts w:hint="eastAsia"/>
                      <w:color w:val="auto"/>
                      <w:kern w:val="0"/>
                      <w:sz w:val="21"/>
                      <w:szCs w:val="21"/>
                      <w:highlight w:val="none"/>
                      <w:lang w:val="en-US" w:eastAsia="zh-CN"/>
                    </w:rPr>
                    <w:t>废水</w:t>
                  </w:r>
                  <w:r>
                    <w:rPr>
                      <w:rFonts w:hint="eastAsia"/>
                      <w:color w:val="auto"/>
                      <w:kern w:val="0"/>
                      <w:sz w:val="21"/>
                      <w:szCs w:val="21"/>
                      <w:highlight w:val="none"/>
                    </w:rPr>
                    <w:t>总量控制指标</w:t>
                  </w:r>
                  <w:r>
                    <w:rPr>
                      <w:rFonts w:hint="eastAsia"/>
                      <w:color w:val="auto"/>
                      <w:kern w:val="0"/>
                      <w:sz w:val="21"/>
                      <w:szCs w:val="21"/>
                      <w:highlight w:val="none"/>
                      <w:lang w:val="en-US" w:eastAsia="zh-CN"/>
                    </w:rPr>
                    <w:t>为</w:t>
                  </w:r>
                  <w:r>
                    <w:rPr>
                      <w:rFonts w:hint="eastAsia"/>
                      <w:color w:val="auto"/>
                      <w:kern w:val="0"/>
                      <w:sz w:val="21"/>
                      <w:szCs w:val="21"/>
                      <w:highlight w:val="none"/>
                    </w:rPr>
                    <w:t>：</w:t>
                  </w:r>
                  <w:r>
                    <w:rPr>
                      <w:rFonts w:hint="eastAsia"/>
                      <w:color w:val="auto"/>
                      <w:kern w:val="0"/>
                      <w:sz w:val="21"/>
                      <w:szCs w:val="21"/>
                      <w:highlight w:val="none"/>
                      <w:lang w:val="en-US" w:eastAsia="zh-CN"/>
                    </w:rPr>
                    <w:t>厂排口</w:t>
                  </w:r>
                  <w:r>
                    <w:rPr>
                      <w:rFonts w:hint="default" w:ascii="Times New Roman" w:hAnsi="Times New Roman" w:eastAsia="宋体" w:cs="Times New Roman"/>
                      <w:color w:val="auto"/>
                      <w:sz w:val="21"/>
                      <w:szCs w:val="21"/>
                      <w:highlight w:val="none"/>
                    </w:rPr>
                    <w:t>COD：</w:t>
                  </w:r>
                  <w:r>
                    <w:rPr>
                      <w:rFonts w:hint="eastAsia" w:ascii="Times New Roman" w:hAnsi="Times New Roman" w:eastAsia="宋体" w:cs="Times New Roman"/>
                      <w:color w:val="auto"/>
                      <w:sz w:val="21"/>
                      <w:szCs w:val="21"/>
                      <w:lang w:val="en-US" w:eastAsia="zh-CN"/>
                    </w:rPr>
                    <w:t>5.2</w:t>
                  </w:r>
                  <w:r>
                    <w:rPr>
                      <w:rFonts w:hint="eastAsia" w:cs="Times New Roman"/>
                      <w:color w:val="auto"/>
                      <w:sz w:val="21"/>
                      <w:szCs w:val="21"/>
                      <w:lang w:val="en-US" w:eastAsia="zh-CN"/>
                    </w:rPr>
                    <w:t>507</w:t>
                  </w:r>
                  <w:r>
                    <w:rPr>
                      <w:rFonts w:hint="default" w:ascii="Times New Roman" w:hAnsi="Times New Roman" w:eastAsia="宋体" w:cs="Times New Roman"/>
                      <w:color w:val="auto"/>
                      <w:sz w:val="21"/>
                      <w:szCs w:val="21"/>
                      <w:highlight w:val="none"/>
                    </w:rPr>
                    <w:t>t/a，NH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r>
                    <w:rPr>
                      <w:rFonts w:hint="eastAsia" w:ascii="Times New Roman" w:hAnsi="Times New Roman" w:eastAsia="宋体" w:cs="Times New Roman"/>
                      <w:color w:val="auto"/>
                      <w:sz w:val="21"/>
                      <w:szCs w:val="21"/>
                      <w:lang w:val="en-US" w:eastAsia="zh-CN"/>
                    </w:rPr>
                    <w:t>0.43</w:t>
                  </w:r>
                  <w:r>
                    <w:rPr>
                      <w:rFonts w:hint="eastAsia" w:cs="Times New Roman"/>
                      <w:color w:val="auto"/>
                      <w:sz w:val="21"/>
                      <w:szCs w:val="21"/>
                      <w:lang w:val="en-US" w:eastAsia="zh-CN"/>
                    </w:rPr>
                    <w:t>11</w:t>
                  </w:r>
                  <w:r>
                    <w:rPr>
                      <w:rFonts w:hint="default" w:ascii="Times New Roman" w:hAnsi="Times New Roman" w:eastAsia="宋体" w:cs="Times New Roman"/>
                      <w:color w:val="auto"/>
                      <w:sz w:val="21"/>
                      <w:szCs w:val="21"/>
                      <w:highlight w:val="none"/>
                    </w:rPr>
                    <w:t>t/a</w:t>
                  </w:r>
                  <w:r>
                    <w:rPr>
                      <w:rFonts w:hint="eastAsia" w:ascii="Times New Roman" w:hAnsi="Times New Roman" w:eastAsia="宋体" w:cs="Times New Roman"/>
                      <w:color w:val="auto"/>
                      <w:sz w:val="21"/>
                      <w:szCs w:val="21"/>
                      <w:highlight w:val="none"/>
                      <w:lang w:eastAsia="zh-CN"/>
                    </w:rPr>
                    <w:t>；</w:t>
                  </w:r>
                </w:p>
                <w:p w14:paraId="28F2C20C">
                  <w:pPr>
                    <w:keepNext w:val="0"/>
                    <w:keepLines w:val="0"/>
                    <w:pageBreakBefore w:val="0"/>
                    <w:widowControl/>
                    <w:tabs>
                      <w:tab w:val="left" w:pos="864"/>
                    </w:tabs>
                    <w:kinsoku w:val="0"/>
                    <w:wordWrap/>
                    <w:overflowPunct/>
                    <w:topLinePunct w:val="0"/>
                    <w:autoSpaceDE w:val="0"/>
                    <w:autoSpaceDN w:val="0"/>
                    <w:bidi w:val="0"/>
                    <w:adjustRightInd w:val="0"/>
                    <w:snapToGrid w:val="0"/>
                    <w:spacing w:line="240" w:lineRule="auto"/>
                    <w:ind w:firstLine="0" w:firstLineChars="0"/>
                    <w:jc w:val="left"/>
                    <w:textAlignment w:val="baseline"/>
                    <w:rPr>
                      <w:color w:val="auto"/>
                      <w:sz w:val="21"/>
                      <w:szCs w:val="21"/>
                      <w:u w:val="none"/>
                    </w:rPr>
                  </w:pPr>
                  <w:r>
                    <w:rPr>
                      <w:rFonts w:hint="eastAsia" w:ascii="Times New Roman" w:hAnsi="Times New Roman" w:eastAsia="宋体" w:cs="Times New Roman"/>
                      <w:color w:val="auto"/>
                      <w:sz w:val="21"/>
                      <w:szCs w:val="21"/>
                      <w:highlight w:val="none"/>
                      <w:lang w:val="en-US" w:eastAsia="zh-CN"/>
                    </w:rPr>
                    <w:t>南乐县污水处理厂处理后</w:t>
                  </w:r>
                  <w:r>
                    <w:rPr>
                      <w:rFonts w:hint="eastAsia" w:eastAsia="宋体"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COD：</w:t>
                  </w:r>
                  <w:r>
                    <w:rPr>
                      <w:rFonts w:hint="eastAsia" w:ascii="Times New Roman" w:hAnsi="Times New Roman" w:eastAsia="宋体" w:cs="Times New Roman"/>
                      <w:color w:val="auto"/>
                      <w:sz w:val="21"/>
                      <w:szCs w:val="21"/>
                      <w:lang w:val="en-US" w:eastAsia="zh-CN"/>
                    </w:rPr>
                    <w:t>2.24</w:t>
                  </w:r>
                  <w:r>
                    <w:rPr>
                      <w:rFonts w:hint="eastAsia" w:cs="Times New Roman"/>
                      <w:color w:val="auto"/>
                      <w:sz w:val="21"/>
                      <w:szCs w:val="21"/>
                      <w:lang w:val="en-US" w:eastAsia="zh-CN"/>
                    </w:rPr>
                    <w:t>74</w:t>
                  </w:r>
                  <w:r>
                    <w:rPr>
                      <w:rFonts w:hint="eastAsia" w:ascii="Times New Roman" w:hAnsi="Times New Roman" w:eastAsia="宋体" w:cs="Times New Roman"/>
                      <w:color w:val="auto"/>
                      <w:sz w:val="21"/>
                      <w:szCs w:val="21"/>
                      <w:lang w:val="en-US" w:eastAsia="zh-CN"/>
                    </w:rPr>
                    <w:t>t</w:t>
                  </w:r>
                  <w:r>
                    <w:rPr>
                      <w:rFonts w:hint="default" w:ascii="Times New Roman" w:hAnsi="Times New Roman" w:cs="Times New Roman"/>
                      <w:color w:val="auto"/>
                      <w:kern w:val="0"/>
                      <w:sz w:val="21"/>
                      <w:szCs w:val="21"/>
                      <w:highlight w:val="none"/>
                    </w:rPr>
                    <w:t>/a，NH</w:t>
                  </w:r>
                  <w:r>
                    <w:rPr>
                      <w:rFonts w:hint="default" w:ascii="Times New Roman" w:hAnsi="Times New Roman" w:cs="Times New Roman"/>
                      <w:color w:val="auto"/>
                      <w:kern w:val="0"/>
                      <w:sz w:val="21"/>
                      <w:szCs w:val="21"/>
                      <w:highlight w:val="none"/>
                      <w:vertAlign w:val="subscript"/>
                    </w:rPr>
                    <w:t>3</w:t>
                  </w:r>
                  <w:r>
                    <w:rPr>
                      <w:rFonts w:hint="default" w:ascii="Times New Roman" w:hAnsi="Times New Roman" w:cs="Times New Roman"/>
                      <w:color w:val="auto"/>
                      <w:kern w:val="0"/>
                      <w:sz w:val="21"/>
                      <w:szCs w:val="21"/>
                      <w:highlight w:val="none"/>
                    </w:rPr>
                    <w:t>-N：</w:t>
                  </w:r>
                  <w:r>
                    <w:rPr>
                      <w:rFonts w:hint="eastAsia" w:ascii="Times New Roman" w:hAnsi="Times New Roman" w:eastAsia="宋体" w:cs="Times New Roman"/>
                      <w:color w:val="auto"/>
                      <w:sz w:val="21"/>
                      <w:szCs w:val="21"/>
                      <w:lang w:val="en-US" w:eastAsia="zh-CN"/>
                    </w:rPr>
                    <w:t>0.112</w:t>
                  </w:r>
                  <w:r>
                    <w:rPr>
                      <w:rFonts w:hint="eastAsia" w:cs="Times New Roman"/>
                      <w:color w:val="auto"/>
                      <w:sz w:val="21"/>
                      <w:szCs w:val="21"/>
                      <w:lang w:val="en-US" w:eastAsia="zh-CN"/>
                    </w:rPr>
                    <w:t>4</w:t>
                  </w:r>
                  <w:r>
                    <w:rPr>
                      <w:rFonts w:hint="default" w:ascii="Times New Roman" w:hAnsi="Times New Roman" w:cs="Times New Roman"/>
                      <w:color w:val="auto"/>
                      <w:kern w:val="0"/>
                      <w:sz w:val="21"/>
                      <w:szCs w:val="21"/>
                      <w:highlight w:val="none"/>
                    </w:rPr>
                    <w:t>t/a</w:t>
                  </w:r>
                  <w:r>
                    <w:rPr>
                      <w:rFonts w:hint="eastAsia" w:ascii="Times New Roman" w:hAnsi="Times New Roman" w:cs="Times New Roman"/>
                      <w:color w:val="auto"/>
                      <w:kern w:val="0"/>
                      <w:sz w:val="21"/>
                      <w:szCs w:val="21"/>
                      <w:highlight w:val="none"/>
                      <w:lang w:eastAsia="zh-CN"/>
                    </w:rPr>
                    <w:t>。</w:t>
                  </w:r>
                </w:p>
                <w:p w14:paraId="0C483773">
                  <w:pPr>
                    <w:keepNext w:val="0"/>
                    <w:keepLines w:val="0"/>
                    <w:pageBreakBefore w:val="0"/>
                    <w:widowControl/>
                    <w:tabs>
                      <w:tab w:val="left" w:pos="864"/>
                    </w:tabs>
                    <w:kinsoku w:val="0"/>
                    <w:wordWrap/>
                    <w:overflowPunct/>
                    <w:topLinePunct w:val="0"/>
                    <w:autoSpaceDE w:val="0"/>
                    <w:autoSpaceDN w:val="0"/>
                    <w:bidi w:val="0"/>
                    <w:adjustRightInd w:val="0"/>
                    <w:snapToGrid w:val="0"/>
                    <w:spacing w:line="240" w:lineRule="auto"/>
                    <w:ind w:firstLine="0" w:firstLineChars="0"/>
                    <w:jc w:val="left"/>
                    <w:textAlignment w:val="baseline"/>
                    <w:rPr>
                      <w:color w:val="auto"/>
                      <w:sz w:val="21"/>
                      <w:szCs w:val="21"/>
                      <w:u w:val="none"/>
                    </w:rPr>
                  </w:pPr>
                  <w:r>
                    <w:rPr>
                      <w:rFonts w:hint="eastAsia"/>
                      <w:color w:val="auto"/>
                      <w:sz w:val="21"/>
                      <w:szCs w:val="21"/>
                      <w:u w:val="none"/>
                    </w:rPr>
                    <w:t>3.项目不涉及涂料、油墨、胶粘剂等。</w:t>
                  </w:r>
                </w:p>
                <w:p w14:paraId="66107930">
                  <w:pPr>
                    <w:keepNext w:val="0"/>
                    <w:keepLines w:val="0"/>
                    <w:pageBreakBefore w:val="0"/>
                    <w:widowControl/>
                    <w:tabs>
                      <w:tab w:val="left" w:pos="864"/>
                    </w:tabs>
                    <w:kinsoku w:val="0"/>
                    <w:wordWrap/>
                    <w:overflowPunct/>
                    <w:topLinePunct w:val="0"/>
                    <w:autoSpaceDE w:val="0"/>
                    <w:autoSpaceDN w:val="0"/>
                    <w:bidi w:val="0"/>
                    <w:adjustRightInd w:val="0"/>
                    <w:snapToGrid w:val="0"/>
                    <w:spacing w:line="240" w:lineRule="auto"/>
                    <w:ind w:firstLine="0" w:firstLineChars="0"/>
                    <w:jc w:val="left"/>
                    <w:textAlignment w:val="baseline"/>
                    <w:rPr>
                      <w:color w:val="auto"/>
                      <w:sz w:val="21"/>
                      <w:szCs w:val="21"/>
                      <w:u w:val="none"/>
                    </w:rPr>
                  </w:pPr>
                  <w:r>
                    <w:rPr>
                      <w:rFonts w:hint="eastAsia"/>
                      <w:color w:val="auto"/>
                      <w:sz w:val="21"/>
                      <w:szCs w:val="21"/>
                      <w:u w:val="none"/>
                    </w:rPr>
                    <w:t>4.项目建设严格落实环评和三同时制度要求，各污染物达标排放。</w:t>
                  </w:r>
                </w:p>
                <w:p w14:paraId="59DAC8A1">
                  <w:pPr>
                    <w:keepNext w:val="0"/>
                    <w:keepLines w:val="0"/>
                    <w:pageBreakBefore w:val="0"/>
                    <w:widowControl/>
                    <w:tabs>
                      <w:tab w:val="left" w:pos="864"/>
                    </w:tabs>
                    <w:kinsoku w:val="0"/>
                    <w:wordWrap/>
                    <w:overflowPunct/>
                    <w:topLinePunct w:val="0"/>
                    <w:autoSpaceDE w:val="0"/>
                    <w:autoSpaceDN w:val="0"/>
                    <w:bidi w:val="0"/>
                    <w:adjustRightInd w:val="0"/>
                    <w:snapToGrid w:val="0"/>
                    <w:spacing w:line="240" w:lineRule="auto"/>
                    <w:ind w:firstLine="0" w:firstLineChars="0"/>
                    <w:jc w:val="left"/>
                    <w:textAlignment w:val="baseline"/>
                    <w:rPr>
                      <w:rFonts w:hint="default"/>
                      <w:color w:val="auto"/>
                      <w:sz w:val="21"/>
                      <w:szCs w:val="21"/>
                      <w:u w:val="none"/>
                      <w:lang w:val="en-US"/>
                    </w:rPr>
                  </w:pPr>
                  <w:r>
                    <w:rPr>
                      <w:rFonts w:hint="eastAsia"/>
                      <w:color w:val="auto"/>
                      <w:sz w:val="21"/>
                      <w:szCs w:val="21"/>
                      <w:u w:val="none"/>
                    </w:rPr>
                    <w:t>5.项目执行</w:t>
                  </w:r>
                  <w:r>
                    <w:rPr>
                      <w:rFonts w:hint="eastAsia"/>
                      <w:color w:val="auto"/>
                      <w:sz w:val="21"/>
                      <w:szCs w:val="21"/>
                      <w:u w:val="none"/>
                      <w:lang w:eastAsia="zh-CN"/>
                    </w:rPr>
                    <w:t>《河南省重污染天气通用行业应急减排措施制定技术指南（2024 年修订稿）》</w:t>
                  </w:r>
                  <w:r>
                    <w:rPr>
                      <w:rFonts w:hint="eastAsia"/>
                      <w:color w:val="auto"/>
                      <w:sz w:val="21"/>
                      <w:szCs w:val="21"/>
                      <w:u w:val="none"/>
                      <w:lang w:val="en-US" w:eastAsia="zh-CN"/>
                    </w:rPr>
                    <w:t>绩效引领性企业。</w:t>
                  </w:r>
                </w:p>
                <w:p w14:paraId="237191DC">
                  <w:pPr>
                    <w:keepNext w:val="0"/>
                    <w:keepLines w:val="0"/>
                    <w:pageBreakBefore w:val="0"/>
                    <w:widowControl/>
                    <w:tabs>
                      <w:tab w:val="left" w:pos="864"/>
                    </w:tabs>
                    <w:kinsoku w:val="0"/>
                    <w:wordWrap/>
                    <w:overflowPunct/>
                    <w:topLinePunct w:val="0"/>
                    <w:autoSpaceDE w:val="0"/>
                    <w:autoSpaceDN w:val="0"/>
                    <w:bidi w:val="0"/>
                    <w:adjustRightInd w:val="0"/>
                    <w:snapToGrid w:val="0"/>
                    <w:spacing w:line="240" w:lineRule="auto"/>
                    <w:ind w:firstLine="0" w:firstLineChars="0"/>
                    <w:jc w:val="left"/>
                    <w:textAlignment w:val="baseline"/>
                    <w:rPr>
                      <w:color w:val="auto"/>
                      <w:sz w:val="21"/>
                      <w:szCs w:val="21"/>
                      <w:u w:val="none"/>
                    </w:rPr>
                  </w:pPr>
                  <w:r>
                    <w:rPr>
                      <w:rFonts w:hint="eastAsia"/>
                      <w:color w:val="auto"/>
                      <w:sz w:val="21"/>
                      <w:szCs w:val="21"/>
                      <w:u w:val="none"/>
                    </w:rPr>
                    <w:t>6.项目不属于</w:t>
                  </w:r>
                  <w:r>
                    <w:rPr>
                      <w:color w:val="auto"/>
                      <w:sz w:val="21"/>
                      <w:szCs w:val="21"/>
                      <w:u w:val="none"/>
                    </w:rPr>
                    <w:t>高耗水、高污染</w:t>
                  </w:r>
                  <w:r>
                    <w:rPr>
                      <w:rFonts w:hint="eastAsia"/>
                      <w:color w:val="auto"/>
                      <w:sz w:val="21"/>
                      <w:szCs w:val="21"/>
                      <w:u w:val="none"/>
                    </w:rPr>
                    <w:t>行业。</w:t>
                  </w:r>
                </w:p>
                <w:p w14:paraId="33524063">
                  <w:pPr>
                    <w:keepNext w:val="0"/>
                    <w:keepLines w:val="0"/>
                    <w:pageBreakBefore w:val="0"/>
                    <w:widowControl/>
                    <w:tabs>
                      <w:tab w:val="left" w:pos="864"/>
                    </w:tabs>
                    <w:kinsoku w:val="0"/>
                    <w:wordWrap/>
                    <w:overflowPunct/>
                    <w:topLinePunct w:val="0"/>
                    <w:autoSpaceDE w:val="0"/>
                    <w:autoSpaceDN w:val="0"/>
                    <w:bidi w:val="0"/>
                    <w:adjustRightInd w:val="0"/>
                    <w:snapToGrid w:val="0"/>
                    <w:spacing w:line="240" w:lineRule="auto"/>
                    <w:ind w:firstLine="0" w:firstLineChars="0"/>
                    <w:jc w:val="left"/>
                    <w:textAlignment w:val="baseline"/>
                    <w:rPr>
                      <w:color w:val="auto"/>
                      <w:sz w:val="21"/>
                      <w:szCs w:val="21"/>
                      <w:u w:val="none"/>
                    </w:rPr>
                  </w:pPr>
                  <w:r>
                    <w:rPr>
                      <w:rFonts w:hint="eastAsia"/>
                      <w:color w:val="auto"/>
                      <w:sz w:val="21"/>
                      <w:szCs w:val="21"/>
                      <w:u w:val="none"/>
                    </w:rPr>
                    <w:t>7.项目建成后按要求开展清洁生产审核。</w:t>
                  </w:r>
                </w:p>
              </w:tc>
              <w:tc>
                <w:tcPr>
                  <w:tcW w:w="333" w:type="pct"/>
                  <w:vAlign w:val="center"/>
                </w:tcPr>
                <w:p w14:paraId="17BA2F18">
                  <w:pPr>
                    <w:widowControl/>
                    <w:tabs>
                      <w:tab w:val="left" w:pos="864"/>
                    </w:tabs>
                    <w:kinsoku w:val="0"/>
                    <w:wordWrap/>
                    <w:autoSpaceDE w:val="0"/>
                    <w:autoSpaceDN w:val="0"/>
                    <w:adjustRightInd w:val="0"/>
                    <w:snapToGrid w:val="0"/>
                    <w:spacing w:line="240" w:lineRule="auto"/>
                    <w:ind w:firstLine="0" w:firstLineChars="0"/>
                    <w:jc w:val="center"/>
                    <w:textAlignment w:val="baseline"/>
                    <w:rPr>
                      <w:color w:val="auto"/>
                      <w:sz w:val="21"/>
                      <w:szCs w:val="21"/>
                      <w:u w:val="none"/>
                    </w:rPr>
                  </w:pPr>
                  <w:r>
                    <w:rPr>
                      <w:rFonts w:hint="eastAsia"/>
                      <w:color w:val="auto"/>
                      <w:kern w:val="0"/>
                      <w:sz w:val="21"/>
                      <w:szCs w:val="21"/>
                      <w:u w:val="none"/>
                    </w:rPr>
                    <w:t>相符</w:t>
                  </w:r>
                </w:p>
              </w:tc>
            </w:tr>
            <w:tr w14:paraId="463CC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0" w:type="pct"/>
                  <w:vMerge w:val="continue"/>
                  <w:vAlign w:val="center"/>
                </w:tcPr>
                <w:p w14:paraId="0EC3C698">
                  <w:pPr>
                    <w:widowControl/>
                    <w:tabs>
                      <w:tab w:val="left" w:pos="864"/>
                    </w:tabs>
                    <w:kinsoku w:val="0"/>
                    <w:wordWrap/>
                    <w:autoSpaceDE w:val="0"/>
                    <w:autoSpaceDN w:val="0"/>
                    <w:adjustRightInd w:val="0"/>
                    <w:snapToGrid w:val="0"/>
                    <w:spacing w:line="240" w:lineRule="auto"/>
                    <w:ind w:firstLine="0" w:firstLineChars="0"/>
                    <w:jc w:val="center"/>
                    <w:textAlignment w:val="baseline"/>
                    <w:rPr>
                      <w:color w:val="auto"/>
                      <w:sz w:val="21"/>
                      <w:szCs w:val="21"/>
                      <w:u w:val="none"/>
                    </w:rPr>
                  </w:pPr>
                </w:p>
              </w:tc>
              <w:tc>
                <w:tcPr>
                  <w:tcW w:w="291" w:type="pct"/>
                  <w:vAlign w:val="center"/>
                </w:tcPr>
                <w:p w14:paraId="272A6D66">
                  <w:pPr>
                    <w:widowControl/>
                    <w:tabs>
                      <w:tab w:val="left" w:pos="864"/>
                    </w:tabs>
                    <w:kinsoku w:val="0"/>
                    <w:wordWrap/>
                    <w:autoSpaceDE w:val="0"/>
                    <w:autoSpaceDN w:val="0"/>
                    <w:adjustRightInd w:val="0"/>
                    <w:snapToGrid w:val="0"/>
                    <w:spacing w:line="240" w:lineRule="auto"/>
                    <w:ind w:firstLine="0" w:firstLineChars="0"/>
                    <w:jc w:val="center"/>
                    <w:textAlignment w:val="baseline"/>
                    <w:rPr>
                      <w:color w:val="auto"/>
                      <w:sz w:val="21"/>
                      <w:szCs w:val="21"/>
                      <w:u w:val="none"/>
                    </w:rPr>
                  </w:pPr>
                  <w:r>
                    <w:rPr>
                      <w:color w:val="auto"/>
                      <w:sz w:val="21"/>
                      <w:szCs w:val="21"/>
                      <w:u w:val="none"/>
                    </w:rPr>
                    <w:t>环境风险防控要求</w:t>
                  </w:r>
                </w:p>
              </w:tc>
              <w:tc>
                <w:tcPr>
                  <w:tcW w:w="3226" w:type="pct"/>
                  <w:vAlign w:val="center"/>
                </w:tcPr>
                <w:p w14:paraId="31501767">
                  <w:pPr>
                    <w:widowControl/>
                    <w:kinsoku w:val="0"/>
                    <w:wordWrap/>
                    <w:autoSpaceDE w:val="0"/>
                    <w:autoSpaceDN w:val="0"/>
                    <w:adjustRightInd w:val="0"/>
                    <w:snapToGrid w:val="0"/>
                    <w:spacing w:line="240" w:lineRule="auto"/>
                    <w:ind w:firstLine="0" w:firstLineChars="0"/>
                    <w:textAlignment w:val="baseline"/>
                    <w:rPr>
                      <w:color w:val="auto"/>
                      <w:sz w:val="21"/>
                      <w:szCs w:val="21"/>
                      <w:u w:val="none"/>
                    </w:rPr>
                  </w:pPr>
                  <w:r>
                    <w:rPr>
                      <w:rFonts w:hint="eastAsia"/>
                      <w:color w:val="auto"/>
                      <w:sz w:val="21"/>
                      <w:szCs w:val="21"/>
                      <w:u w:val="none"/>
                    </w:rPr>
                    <w:t>1.</w:t>
                  </w:r>
                  <w:r>
                    <w:rPr>
                      <w:color w:val="auto"/>
                      <w:sz w:val="21"/>
                      <w:szCs w:val="21"/>
                      <w:u w:val="none"/>
                    </w:rPr>
                    <w:t>针对区域存在的各类风险源，制订完善的安全管理制度和建立有效的安全防范体系，制订风险事故应急措施或预案。</w:t>
                  </w:r>
                </w:p>
                <w:p w14:paraId="44513645">
                  <w:pPr>
                    <w:widowControl/>
                    <w:kinsoku w:val="0"/>
                    <w:wordWrap/>
                    <w:autoSpaceDE w:val="0"/>
                    <w:autoSpaceDN w:val="0"/>
                    <w:adjustRightInd w:val="0"/>
                    <w:snapToGrid w:val="0"/>
                    <w:spacing w:line="240" w:lineRule="auto"/>
                    <w:ind w:firstLine="0" w:firstLineChars="0"/>
                    <w:textAlignment w:val="baseline"/>
                    <w:rPr>
                      <w:color w:val="auto"/>
                      <w:sz w:val="21"/>
                      <w:szCs w:val="21"/>
                      <w:u w:val="none"/>
                    </w:rPr>
                  </w:pPr>
                  <w:r>
                    <w:rPr>
                      <w:rFonts w:hint="eastAsia"/>
                      <w:color w:val="auto"/>
                      <w:sz w:val="21"/>
                      <w:szCs w:val="21"/>
                      <w:u w:val="none"/>
                    </w:rPr>
                    <w:t>2.</w:t>
                  </w:r>
                  <w:r>
                    <w:rPr>
                      <w:color w:val="auto"/>
                      <w:sz w:val="21"/>
                      <w:szCs w:val="21"/>
                      <w:u w:val="none"/>
                    </w:rPr>
                    <w:t>充分利用企业用地调查成果和注销、撤销排污许可的信息，考虑行业、生产年限等因素，确定优先监管地块，并按要求采取污染管控措施。</w:t>
                  </w:r>
                </w:p>
                <w:p w14:paraId="75C97034">
                  <w:pPr>
                    <w:widowControl/>
                    <w:kinsoku w:val="0"/>
                    <w:wordWrap/>
                    <w:autoSpaceDE w:val="0"/>
                    <w:autoSpaceDN w:val="0"/>
                    <w:adjustRightInd w:val="0"/>
                    <w:snapToGrid w:val="0"/>
                    <w:spacing w:line="240" w:lineRule="auto"/>
                    <w:ind w:firstLine="0" w:firstLineChars="0"/>
                    <w:textAlignment w:val="baseline"/>
                    <w:rPr>
                      <w:color w:val="auto"/>
                      <w:sz w:val="21"/>
                      <w:szCs w:val="21"/>
                      <w:u w:val="none"/>
                    </w:rPr>
                  </w:pPr>
                  <w:r>
                    <w:rPr>
                      <w:rFonts w:hint="eastAsia"/>
                      <w:color w:val="auto"/>
                      <w:sz w:val="21"/>
                      <w:szCs w:val="21"/>
                      <w:u w:val="none"/>
                    </w:rPr>
                    <w:t>3.</w:t>
                  </w:r>
                  <w:r>
                    <w:rPr>
                      <w:color w:val="auto"/>
                      <w:sz w:val="21"/>
                      <w:szCs w:val="21"/>
                      <w:u w:val="none"/>
                    </w:rPr>
                    <w:t>对无法实现低VOCs原辅材料替代的工序，在保证安全情况下，应在密闭设备、密闭空间作业或安装二次密闭设施。</w:t>
                  </w:r>
                </w:p>
                <w:p w14:paraId="04F28700">
                  <w:pPr>
                    <w:widowControl/>
                    <w:kinsoku w:val="0"/>
                    <w:wordWrap/>
                    <w:autoSpaceDE w:val="0"/>
                    <w:autoSpaceDN w:val="0"/>
                    <w:adjustRightInd w:val="0"/>
                    <w:snapToGrid w:val="0"/>
                    <w:spacing w:line="240" w:lineRule="auto"/>
                    <w:ind w:firstLine="0" w:firstLineChars="0"/>
                    <w:textAlignment w:val="baseline"/>
                    <w:rPr>
                      <w:color w:val="auto"/>
                      <w:sz w:val="21"/>
                      <w:szCs w:val="21"/>
                      <w:u w:val="none"/>
                    </w:rPr>
                  </w:pPr>
                  <w:r>
                    <w:rPr>
                      <w:rFonts w:hint="eastAsia"/>
                      <w:color w:val="auto"/>
                      <w:sz w:val="21"/>
                      <w:szCs w:val="21"/>
                      <w:u w:val="none"/>
                    </w:rPr>
                    <w:t>4.</w:t>
                  </w:r>
                  <w:r>
                    <w:rPr>
                      <w:color w:val="auto"/>
                      <w:sz w:val="21"/>
                      <w:szCs w:val="21"/>
                      <w:u w:val="none"/>
                    </w:rPr>
                    <w:t>强化空气质量预测预报能力建设，提升预测预报精准程度。实施“一厂一策”清单化管理，做到减排措施全覆盖</w:t>
                  </w:r>
                  <w:r>
                    <w:rPr>
                      <w:rFonts w:hint="eastAsia"/>
                      <w:color w:val="auto"/>
                      <w:sz w:val="21"/>
                      <w:szCs w:val="21"/>
                      <w:u w:val="none"/>
                    </w:rPr>
                    <w:t>。</w:t>
                  </w:r>
                </w:p>
              </w:tc>
              <w:tc>
                <w:tcPr>
                  <w:tcW w:w="967" w:type="pct"/>
                  <w:vAlign w:val="center"/>
                </w:tcPr>
                <w:p w14:paraId="1AFB104D">
                  <w:pPr>
                    <w:widowControl/>
                    <w:kinsoku w:val="0"/>
                    <w:wordWrap/>
                    <w:autoSpaceDE w:val="0"/>
                    <w:autoSpaceDN w:val="0"/>
                    <w:adjustRightInd w:val="0"/>
                    <w:snapToGrid w:val="0"/>
                    <w:spacing w:line="240" w:lineRule="auto"/>
                    <w:ind w:firstLine="0" w:firstLineChars="0"/>
                    <w:jc w:val="left"/>
                    <w:textAlignment w:val="baseline"/>
                    <w:rPr>
                      <w:color w:val="auto"/>
                      <w:sz w:val="21"/>
                      <w:szCs w:val="21"/>
                      <w:u w:val="none"/>
                    </w:rPr>
                  </w:pPr>
                  <w:r>
                    <w:rPr>
                      <w:rFonts w:hint="eastAsia"/>
                      <w:color w:val="auto"/>
                      <w:sz w:val="21"/>
                      <w:szCs w:val="21"/>
                      <w:u w:val="none"/>
                    </w:rPr>
                    <w:t>1.项目建成后完善突发环境事件应急预案。</w:t>
                  </w:r>
                </w:p>
                <w:p w14:paraId="3A167A8F">
                  <w:pPr>
                    <w:widowControl/>
                    <w:kinsoku w:val="0"/>
                    <w:wordWrap/>
                    <w:autoSpaceDE w:val="0"/>
                    <w:autoSpaceDN w:val="0"/>
                    <w:adjustRightInd w:val="0"/>
                    <w:snapToGrid w:val="0"/>
                    <w:spacing w:line="240" w:lineRule="auto"/>
                    <w:ind w:firstLine="0" w:firstLineChars="0"/>
                    <w:jc w:val="left"/>
                    <w:textAlignment w:val="baseline"/>
                    <w:rPr>
                      <w:color w:val="auto"/>
                      <w:sz w:val="21"/>
                      <w:szCs w:val="21"/>
                      <w:u w:val="none"/>
                    </w:rPr>
                  </w:pPr>
                  <w:r>
                    <w:rPr>
                      <w:rFonts w:hint="eastAsia"/>
                      <w:color w:val="auto"/>
                      <w:sz w:val="21"/>
                      <w:szCs w:val="21"/>
                      <w:u w:val="none"/>
                    </w:rPr>
                    <w:t>2.不涉及。</w:t>
                  </w:r>
                </w:p>
                <w:p w14:paraId="4922E6A3">
                  <w:pPr>
                    <w:widowControl/>
                    <w:kinsoku w:val="0"/>
                    <w:wordWrap/>
                    <w:autoSpaceDE w:val="0"/>
                    <w:autoSpaceDN w:val="0"/>
                    <w:adjustRightInd w:val="0"/>
                    <w:snapToGrid w:val="0"/>
                    <w:spacing w:line="240" w:lineRule="auto"/>
                    <w:ind w:firstLine="0" w:firstLineChars="0"/>
                    <w:jc w:val="left"/>
                    <w:textAlignment w:val="baseline"/>
                    <w:rPr>
                      <w:rFonts w:hint="default" w:eastAsia="宋体"/>
                      <w:color w:val="auto"/>
                      <w:sz w:val="21"/>
                      <w:szCs w:val="21"/>
                      <w:u w:val="none"/>
                      <w:lang w:val="en-US" w:eastAsia="zh-CN"/>
                    </w:rPr>
                  </w:pPr>
                  <w:r>
                    <w:rPr>
                      <w:rFonts w:hint="eastAsia"/>
                      <w:color w:val="auto"/>
                      <w:sz w:val="21"/>
                      <w:szCs w:val="21"/>
                      <w:u w:val="none"/>
                    </w:rPr>
                    <w:t>3.</w:t>
                  </w:r>
                  <w:r>
                    <w:rPr>
                      <w:rFonts w:hint="eastAsia"/>
                      <w:color w:val="auto"/>
                      <w:sz w:val="21"/>
                      <w:szCs w:val="21"/>
                      <w:u w:val="none"/>
                      <w:lang w:val="en-US" w:eastAsia="zh-CN"/>
                    </w:rPr>
                    <w:t>项目质检工序涉及有机试剂</w:t>
                  </w:r>
                  <w:r>
                    <w:rPr>
                      <w:rFonts w:hint="eastAsia"/>
                      <w:color w:val="auto"/>
                      <w:sz w:val="21"/>
                      <w:szCs w:val="21"/>
                      <w:u w:val="none"/>
                      <w:lang w:eastAsia="zh-CN"/>
                    </w:rPr>
                    <w:t>，</w:t>
                  </w:r>
                  <w:r>
                    <w:rPr>
                      <w:rFonts w:hint="eastAsia"/>
                      <w:color w:val="auto"/>
                      <w:sz w:val="21"/>
                      <w:szCs w:val="21"/>
                      <w:u w:val="none"/>
                      <w:lang w:val="en-US" w:eastAsia="zh-CN"/>
                    </w:rPr>
                    <w:t>实验时在通风处内进行，产生的</w:t>
                  </w:r>
                  <w:r>
                    <w:rPr>
                      <w:color w:val="auto"/>
                      <w:sz w:val="21"/>
                      <w:szCs w:val="21"/>
                      <w:u w:val="none"/>
                    </w:rPr>
                    <w:t>VOCs</w:t>
                  </w:r>
                  <w:r>
                    <w:rPr>
                      <w:rFonts w:hint="eastAsia"/>
                      <w:color w:val="auto"/>
                      <w:sz w:val="21"/>
                      <w:szCs w:val="21"/>
                      <w:u w:val="none"/>
                      <w:lang w:val="en-US" w:eastAsia="zh-CN"/>
                    </w:rPr>
                    <w:t>引至二级活性炭吸附装置处置。</w:t>
                  </w:r>
                </w:p>
                <w:p w14:paraId="3CFBE95E">
                  <w:pPr>
                    <w:widowControl/>
                    <w:kinsoku w:val="0"/>
                    <w:wordWrap/>
                    <w:autoSpaceDE w:val="0"/>
                    <w:autoSpaceDN w:val="0"/>
                    <w:adjustRightInd w:val="0"/>
                    <w:snapToGrid w:val="0"/>
                    <w:spacing w:line="240" w:lineRule="auto"/>
                    <w:ind w:firstLine="0" w:firstLineChars="0"/>
                    <w:jc w:val="left"/>
                    <w:textAlignment w:val="baseline"/>
                    <w:rPr>
                      <w:color w:val="auto"/>
                      <w:sz w:val="21"/>
                      <w:szCs w:val="21"/>
                      <w:u w:val="none"/>
                    </w:rPr>
                  </w:pPr>
                  <w:r>
                    <w:rPr>
                      <w:rFonts w:hint="eastAsia"/>
                      <w:color w:val="auto"/>
                      <w:sz w:val="21"/>
                      <w:szCs w:val="21"/>
                      <w:u w:val="none"/>
                    </w:rPr>
                    <w:t>4.项目建成后完善</w:t>
                  </w:r>
                  <w:r>
                    <w:rPr>
                      <w:color w:val="auto"/>
                      <w:sz w:val="21"/>
                      <w:szCs w:val="21"/>
                      <w:u w:val="none"/>
                    </w:rPr>
                    <w:t>“一厂一策”清单</w:t>
                  </w:r>
                  <w:r>
                    <w:rPr>
                      <w:rFonts w:hint="eastAsia"/>
                      <w:color w:val="auto"/>
                      <w:sz w:val="21"/>
                      <w:szCs w:val="21"/>
                      <w:u w:val="none"/>
                    </w:rPr>
                    <w:t>。</w:t>
                  </w:r>
                </w:p>
              </w:tc>
              <w:tc>
                <w:tcPr>
                  <w:tcW w:w="333" w:type="pct"/>
                  <w:vAlign w:val="center"/>
                </w:tcPr>
                <w:p w14:paraId="3DBC7039">
                  <w:pPr>
                    <w:widowControl/>
                    <w:kinsoku w:val="0"/>
                    <w:wordWrap/>
                    <w:autoSpaceDE w:val="0"/>
                    <w:autoSpaceDN w:val="0"/>
                    <w:adjustRightInd w:val="0"/>
                    <w:snapToGrid w:val="0"/>
                    <w:spacing w:line="240" w:lineRule="auto"/>
                    <w:ind w:firstLine="0" w:firstLineChars="0"/>
                    <w:jc w:val="center"/>
                    <w:textAlignment w:val="baseline"/>
                    <w:rPr>
                      <w:color w:val="auto"/>
                      <w:sz w:val="21"/>
                      <w:szCs w:val="21"/>
                      <w:u w:val="none"/>
                    </w:rPr>
                  </w:pPr>
                  <w:r>
                    <w:rPr>
                      <w:rFonts w:hint="eastAsia"/>
                      <w:color w:val="auto"/>
                      <w:kern w:val="0"/>
                      <w:sz w:val="21"/>
                      <w:szCs w:val="21"/>
                      <w:u w:val="none"/>
                    </w:rPr>
                    <w:t>相符</w:t>
                  </w:r>
                </w:p>
              </w:tc>
            </w:tr>
            <w:tr w14:paraId="438EA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0" w:type="pct"/>
                  <w:vMerge w:val="restart"/>
                  <w:vAlign w:val="center"/>
                </w:tcPr>
                <w:p w14:paraId="2286E535">
                  <w:pPr>
                    <w:widowControl/>
                    <w:tabs>
                      <w:tab w:val="left" w:pos="864"/>
                    </w:tabs>
                    <w:kinsoku w:val="0"/>
                    <w:wordWrap/>
                    <w:autoSpaceDE w:val="0"/>
                    <w:autoSpaceDN w:val="0"/>
                    <w:adjustRightInd w:val="0"/>
                    <w:snapToGrid w:val="0"/>
                    <w:spacing w:line="240" w:lineRule="auto"/>
                    <w:ind w:firstLine="0" w:firstLineChars="0"/>
                    <w:jc w:val="center"/>
                    <w:textAlignment w:val="baseline"/>
                    <w:rPr>
                      <w:color w:val="auto"/>
                      <w:sz w:val="21"/>
                      <w:szCs w:val="21"/>
                      <w:u w:val="none"/>
                    </w:rPr>
                  </w:pPr>
                  <w:r>
                    <w:rPr>
                      <w:color w:val="auto"/>
                      <w:sz w:val="21"/>
                      <w:szCs w:val="21"/>
                      <w:u w:val="none"/>
                    </w:rPr>
                    <w:t>产业准入要求</w:t>
                  </w:r>
                </w:p>
              </w:tc>
              <w:tc>
                <w:tcPr>
                  <w:tcW w:w="291" w:type="pct"/>
                  <w:vMerge w:val="restart"/>
                  <w:vAlign w:val="center"/>
                </w:tcPr>
                <w:p w14:paraId="30717AF8">
                  <w:pPr>
                    <w:widowControl/>
                    <w:tabs>
                      <w:tab w:val="left" w:pos="864"/>
                    </w:tabs>
                    <w:kinsoku w:val="0"/>
                    <w:wordWrap/>
                    <w:autoSpaceDE w:val="0"/>
                    <w:autoSpaceDN w:val="0"/>
                    <w:adjustRightInd w:val="0"/>
                    <w:snapToGrid w:val="0"/>
                    <w:spacing w:line="240" w:lineRule="auto"/>
                    <w:ind w:firstLine="0" w:firstLineChars="0"/>
                    <w:jc w:val="center"/>
                    <w:textAlignment w:val="baseline"/>
                    <w:rPr>
                      <w:color w:val="auto"/>
                      <w:sz w:val="21"/>
                      <w:szCs w:val="21"/>
                      <w:u w:val="none"/>
                    </w:rPr>
                  </w:pPr>
                  <w:r>
                    <w:rPr>
                      <w:color w:val="auto"/>
                      <w:sz w:val="21"/>
                      <w:szCs w:val="21"/>
                      <w:u w:val="none"/>
                    </w:rPr>
                    <w:t>鼓励类</w:t>
                  </w:r>
                </w:p>
              </w:tc>
              <w:tc>
                <w:tcPr>
                  <w:tcW w:w="3226" w:type="pct"/>
                  <w:vAlign w:val="center"/>
                </w:tcPr>
                <w:p w14:paraId="3EE28EE2">
                  <w:pPr>
                    <w:widowControl/>
                    <w:kinsoku w:val="0"/>
                    <w:wordWrap/>
                    <w:autoSpaceDE w:val="0"/>
                    <w:autoSpaceDN w:val="0"/>
                    <w:adjustRightInd w:val="0"/>
                    <w:snapToGrid w:val="0"/>
                    <w:spacing w:line="240" w:lineRule="auto"/>
                    <w:ind w:firstLine="0" w:firstLineChars="0"/>
                    <w:textAlignment w:val="baseline"/>
                    <w:rPr>
                      <w:color w:val="auto"/>
                      <w:sz w:val="21"/>
                      <w:szCs w:val="21"/>
                      <w:u w:val="none"/>
                    </w:rPr>
                  </w:pPr>
                  <w:r>
                    <w:rPr>
                      <w:color w:val="auto"/>
                      <w:sz w:val="21"/>
                      <w:szCs w:val="21"/>
                      <w:u w:val="none"/>
                    </w:rPr>
                    <w:t>一般要求：</w:t>
                  </w:r>
                </w:p>
                <w:p w14:paraId="0280E909">
                  <w:pPr>
                    <w:widowControl/>
                    <w:kinsoku w:val="0"/>
                    <w:wordWrap/>
                    <w:autoSpaceDE w:val="0"/>
                    <w:autoSpaceDN w:val="0"/>
                    <w:adjustRightInd w:val="0"/>
                    <w:snapToGrid w:val="0"/>
                    <w:spacing w:line="240" w:lineRule="auto"/>
                    <w:ind w:firstLine="0" w:firstLineChars="0"/>
                    <w:textAlignment w:val="baseline"/>
                    <w:rPr>
                      <w:color w:val="auto"/>
                      <w:sz w:val="21"/>
                      <w:szCs w:val="21"/>
                      <w:u w:val="none"/>
                    </w:rPr>
                  </w:pPr>
                  <w:r>
                    <w:rPr>
                      <w:rFonts w:hint="eastAsia"/>
                      <w:color w:val="auto"/>
                      <w:sz w:val="21"/>
                      <w:szCs w:val="21"/>
                      <w:u w:val="none"/>
                    </w:rPr>
                    <w:t>1.</w:t>
                  </w:r>
                  <w:r>
                    <w:rPr>
                      <w:color w:val="auto"/>
                      <w:sz w:val="21"/>
                      <w:szCs w:val="21"/>
                      <w:u w:val="none"/>
                    </w:rPr>
                    <w:t>有利于产业链条共建、产品上下游互供，国家产业政策鼓励的食品加工、可降解材料、装备制造项目；</w:t>
                  </w:r>
                </w:p>
                <w:p w14:paraId="0BAF7FF5">
                  <w:pPr>
                    <w:widowControl/>
                    <w:kinsoku w:val="0"/>
                    <w:wordWrap/>
                    <w:autoSpaceDE w:val="0"/>
                    <w:autoSpaceDN w:val="0"/>
                    <w:adjustRightInd w:val="0"/>
                    <w:snapToGrid w:val="0"/>
                    <w:spacing w:line="240" w:lineRule="auto"/>
                    <w:ind w:firstLine="0" w:firstLineChars="0"/>
                    <w:jc w:val="left"/>
                    <w:textAlignment w:val="baseline"/>
                    <w:rPr>
                      <w:color w:val="auto"/>
                      <w:sz w:val="21"/>
                      <w:szCs w:val="21"/>
                      <w:u w:val="none"/>
                    </w:rPr>
                  </w:pPr>
                  <w:r>
                    <w:rPr>
                      <w:color w:val="auto"/>
                      <w:kern w:val="0"/>
                      <w:sz w:val="21"/>
                      <w:szCs w:val="21"/>
                      <w:u w:val="none"/>
                      <w:lang w:bidi="ar"/>
                    </w:rPr>
                    <w:t>2.《产业发展与转移指导目录（2018年本）》中，中部地区优先承载发展的产业（食品加工、装备制造、可降解材料类）；</w:t>
                  </w:r>
                </w:p>
                <w:p w14:paraId="651D7A43">
                  <w:pPr>
                    <w:widowControl/>
                    <w:kinsoku w:val="0"/>
                    <w:wordWrap/>
                    <w:autoSpaceDE w:val="0"/>
                    <w:autoSpaceDN w:val="0"/>
                    <w:adjustRightInd w:val="0"/>
                    <w:snapToGrid w:val="0"/>
                    <w:spacing w:line="240" w:lineRule="auto"/>
                    <w:ind w:firstLine="0" w:firstLineChars="0"/>
                    <w:jc w:val="left"/>
                    <w:textAlignment w:val="baseline"/>
                    <w:rPr>
                      <w:color w:val="auto"/>
                      <w:sz w:val="21"/>
                      <w:szCs w:val="21"/>
                      <w:u w:val="none"/>
                    </w:rPr>
                  </w:pPr>
                  <w:r>
                    <w:rPr>
                      <w:color w:val="auto"/>
                      <w:kern w:val="0"/>
                      <w:sz w:val="21"/>
                      <w:szCs w:val="21"/>
                      <w:u w:val="none"/>
                      <w:lang w:bidi="ar"/>
                    </w:rPr>
                    <w:t>3.高新技术、固废综合利用、市政基础设施、有利于节能减排的技术改造项目</w:t>
                  </w:r>
                </w:p>
              </w:tc>
              <w:tc>
                <w:tcPr>
                  <w:tcW w:w="967" w:type="pct"/>
                  <w:vAlign w:val="center"/>
                </w:tcPr>
                <w:p w14:paraId="03D38F71">
                  <w:pPr>
                    <w:widowControl/>
                    <w:kinsoku w:val="0"/>
                    <w:wordWrap/>
                    <w:autoSpaceDE w:val="0"/>
                    <w:autoSpaceDN w:val="0"/>
                    <w:adjustRightInd w:val="0"/>
                    <w:snapToGrid w:val="0"/>
                    <w:spacing w:line="240" w:lineRule="auto"/>
                    <w:ind w:firstLine="0" w:firstLineChars="0"/>
                    <w:jc w:val="left"/>
                    <w:textAlignment w:val="baseline"/>
                    <w:rPr>
                      <w:color w:val="auto"/>
                      <w:kern w:val="0"/>
                      <w:sz w:val="21"/>
                      <w:szCs w:val="21"/>
                      <w:u w:val="none"/>
                      <w:lang w:bidi="ar"/>
                    </w:rPr>
                  </w:pPr>
                  <w:r>
                    <w:rPr>
                      <w:rFonts w:hint="eastAsia"/>
                      <w:color w:val="auto"/>
                      <w:kern w:val="0"/>
                      <w:sz w:val="21"/>
                      <w:szCs w:val="21"/>
                      <w:u w:val="none"/>
                      <w:lang w:bidi="ar"/>
                    </w:rPr>
                    <w:t>项目原料</w:t>
                  </w:r>
                  <w:r>
                    <w:rPr>
                      <w:rFonts w:hint="eastAsia"/>
                      <w:color w:val="auto"/>
                      <w:kern w:val="0"/>
                      <w:sz w:val="21"/>
                      <w:szCs w:val="21"/>
                      <w:u w:val="none"/>
                      <w:lang w:val="en-US" w:eastAsia="zh-CN" w:bidi="ar"/>
                    </w:rPr>
                    <w:t>全部外购</w:t>
                  </w:r>
                  <w:r>
                    <w:rPr>
                      <w:rFonts w:hint="eastAsia"/>
                      <w:color w:val="auto"/>
                      <w:kern w:val="0"/>
                      <w:sz w:val="21"/>
                      <w:szCs w:val="21"/>
                      <w:u w:val="none"/>
                      <w:lang w:bidi="ar"/>
                    </w:rPr>
                    <w:t>。</w:t>
                  </w:r>
                </w:p>
              </w:tc>
              <w:tc>
                <w:tcPr>
                  <w:tcW w:w="333" w:type="pct"/>
                  <w:vAlign w:val="center"/>
                </w:tcPr>
                <w:p w14:paraId="14FBBD7B">
                  <w:pPr>
                    <w:widowControl/>
                    <w:kinsoku w:val="0"/>
                    <w:wordWrap/>
                    <w:autoSpaceDE w:val="0"/>
                    <w:autoSpaceDN w:val="0"/>
                    <w:adjustRightInd w:val="0"/>
                    <w:snapToGrid w:val="0"/>
                    <w:spacing w:line="240" w:lineRule="auto"/>
                    <w:ind w:firstLine="0" w:firstLineChars="0"/>
                    <w:jc w:val="center"/>
                    <w:textAlignment w:val="baseline"/>
                    <w:rPr>
                      <w:color w:val="auto"/>
                      <w:kern w:val="0"/>
                      <w:sz w:val="21"/>
                      <w:szCs w:val="21"/>
                      <w:u w:val="none"/>
                      <w:lang w:bidi="ar"/>
                    </w:rPr>
                  </w:pPr>
                  <w:r>
                    <w:rPr>
                      <w:rFonts w:hint="eastAsia"/>
                      <w:color w:val="auto"/>
                      <w:kern w:val="0"/>
                      <w:sz w:val="21"/>
                      <w:szCs w:val="21"/>
                      <w:u w:val="none"/>
                    </w:rPr>
                    <w:t>相符</w:t>
                  </w:r>
                </w:p>
              </w:tc>
            </w:tr>
            <w:tr w14:paraId="7FCB0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0" w:type="pct"/>
                  <w:vMerge w:val="continue"/>
                  <w:vAlign w:val="center"/>
                </w:tcPr>
                <w:p w14:paraId="2B7EA756">
                  <w:pPr>
                    <w:widowControl/>
                    <w:kinsoku w:val="0"/>
                    <w:wordWrap/>
                    <w:autoSpaceDE w:val="0"/>
                    <w:autoSpaceDN w:val="0"/>
                    <w:adjustRightInd w:val="0"/>
                    <w:snapToGrid w:val="0"/>
                    <w:spacing w:line="240" w:lineRule="auto"/>
                    <w:ind w:firstLine="0" w:firstLineChars="0"/>
                    <w:jc w:val="left"/>
                    <w:textAlignment w:val="baseline"/>
                    <w:rPr>
                      <w:color w:val="auto"/>
                      <w:sz w:val="21"/>
                      <w:szCs w:val="21"/>
                      <w:u w:val="none"/>
                    </w:rPr>
                  </w:pPr>
                </w:p>
              </w:tc>
              <w:tc>
                <w:tcPr>
                  <w:tcW w:w="291" w:type="pct"/>
                  <w:vMerge w:val="continue"/>
                  <w:vAlign w:val="center"/>
                </w:tcPr>
                <w:p w14:paraId="29A98209">
                  <w:pPr>
                    <w:widowControl/>
                    <w:kinsoku w:val="0"/>
                    <w:wordWrap/>
                    <w:autoSpaceDE w:val="0"/>
                    <w:autoSpaceDN w:val="0"/>
                    <w:adjustRightInd w:val="0"/>
                    <w:snapToGrid w:val="0"/>
                    <w:spacing w:line="240" w:lineRule="auto"/>
                    <w:ind w:firstLine="0" w:firstLineChars="0"/>
                    <w:jc w:val="left"/>
                    <w:textAlignment w:val="baseline"/>
                    <w:rPr>
                      <w:color w:val="auto"/>
                      <w:sz w:val="21"/>
                      <w:szCs w:val="21"/>
                      <w:u w:val="none"/>
                    </w:rPr>
                  </w:pPr>
                </w:p>
              </w:tc>
              <w:tc>
                <w:tcPr>
                  <w:tcW w:w="3226" w:type="pct"/>
                  <w:vAlign w:val="center"/>
                </w:tcPr>
                <w:p w14:paraId="11CB2969">
                  <w:pPr>
                    <w:widowControl/>
                    <w:kinsoku w:val="0"/>
                    <w:wordWrap/>
                    <w:autoSpaceDE w:val="0"/>
                    <w:autoSpaceDN w:val="0"/>
                    <w:adjustRightInd w:val="0"/>
                    <w:snapToGrid w:val="0"/>
                    <w:spacing w:line="240" w:lineRule="auto"/>
                    <w:ind w:firstLine="0" w:firstLineChars="0"/>
                    <w:jc w:val="left"/>
                    <w:textAlignment w:val="baseline"/>
                    <w:rPr>
                      <w:color w:val="auto"/>
                      <w:kern w:val="0"/>
                      <w:sz w:val="21"/>
                      <w:szCs w:val="21"/>
                      <w:u w:val="none"/>
                      <w:lang w:bidi="ar"/>
                    </w:rPr>
                  </w:pPr>
                  <w:r>
                    <w:rPr>
                      <w:color w:val="auto"/>
                      <w:kern w:val="0"/>
                      <w:sz w:val="21"/>
                      <w:szCs w:val="21"/>
                      <w:u w:val="none"/>
                      <w:lang w:bidi="ar"/>
                    </w:rPr>
                    <w:t>主要发展：</w:t>
                  </w:r>
                </w:p>
                <w:p w14:paraId="239FECC6">
                  <w:pPr>
                    <w:widowControl/>
                    <w:kinsoku w:val="0"/>
                    <w:wordWrap/>
                    <w:autoSpaceDE w:val="0"/>
                    <w:autoSpaceDN w:val="0"/>
                    <w:adjustRightInd w:val="0"/>
                    <w:snapToGrid w:val="0"/>
                    <w:spacing w:line="240" w:lineRule="auto"/>
                    <w:ind w:firstLine="0" w:firstLineChars="0"/>
                    <w:jc w:val="left"/>
                    <w:textAlignment w:val="baseline"/>
                    <w:rPr>
                      <w:color w:val="auto"/>
                      <w:kern w:val="0"/>
                      <w:sz w:val="21"/>
                      <w:szCs w:val="21"/>
                      <w:u w:val="none"/>
                      <w:lang w:bidi="ar"/>
                    </w:rPr>
                  </w:pPr>
                  <w:r>
                    <w:rPr>
                      <w:color w:val="auto"/>
                      <w:kern w:val="0"/>
                      <w:sz w:val="21"/>
                      <w:szCs w:val="21"/>
                      <w:u w:val="none"/>
                      <w:lang w:bidi="ar"/>
                    </w:rPr>
                    <w:t>1、装备制造业项目</w:t>
                  </w:r>
                </w:p>
                <w:p w14:paraId="7E34CEFA">
                  <w:pPr>
                    <w:widowControl/>
                    <w:kinsoku w:val="0"/>
                    <w:wordWrap/>
                    <w:autoSpaceDE w:val="0"/>
                    <w:autoSpaceDN w:val="0"/>
                    <w:adjustRightInd w:val="0"/>
                    <w:snapToGrid w:val="0"/>
                    <w:spacing w:line="240" w:lineRule="auto"/>
                    <w:ind w:firstLine="0" w:firstLineChars="0"/>
                    <w:jc w:val="left"/>
                    <w:textAlignment w:val="baseline"/>
                    <w:rPr>
                      <w:color w:val="auto"/>
                      <w:kern w:val="0"/>
                      <w:sz w:val="21"/>
                      <w:szCs w:val="21"/>
                      <w:u w:val="none"/>
                      <w:lang w:bidi="ar"/>
                    </w:rPr>
                  </w:pPr>
                  <w:r>
                    <w:rPr>
                      <w:color w:val="auto"/>
                      <w:kern w:val="0"/>
                      <w:sz w:val="21"/>
                      <w:szCs w:val="21"/>
                      <w:u w:val="none"/>
                      <w:lang w:bidi="ar"/>
                    </w:rPr>
                    <w:t>1）依托现有龙头企业，构建垂直一体化的产业发展体系，形成以集团为核心的区域推动型力场效应，形成脉络明晰的产业纵深；</w:t>
                  </w:r>
                </w:p>
                <w:p w14:paraId="74658C25">
                  <w:pPr>
                    <w:widowControl/>
                    <w:kinsoku w:val="0"/>
                    <w:wordWrap/>
                    <w:autoSpaceDE w:val="0"/>
                    <w:autoSpaceDN w:val="0"/>
                    <w:adjustRightInd w:val="0"/>
                    <w:snapToGrid w:val="0"/>
                    <w:spacing w:line="240" w:lineRule="auto"/>
                    <w:ind w:firstLine="0" w:firstLineChars="0"/>
                    <w:jc w:val="left"/>
                    <w:textAlignment w:val="baseline"/>
                    <w:rPr>
                      <w:color w:val="auto"/>
                      <w:kern w:val="0"/>
                      <w:sz w:val="21"/>
                      <w:szCs w:val="21"/>
                      <w:u w:val="none"/>
                      <w:lang w:bidi="ar"/>
                    </w:rPr>
                  </w:pPr>
                  <w:r>
                    <w:rPr>
                      <w:color w:val="auto"/>
                      <w:kern w:val="0"/>
                      <w:sz w:val="21"/>
                      <w:szCs w:val="21"/>
                      <w:u w:val="none"/>
                      <w:lang w:bidi="ar"/>
                    </w:rPr>
                    <w:t>2）《产业结构调整指导目录（2024年本）》等国家产业政策中符合规划方案中装备制造产业发展方向的鼓励类项目；</w:t>
                  </w:r>
                </w:p>
                <w:p w14:paraId="73D72677">
                  <w:pPr>
                    <w:widowControl/>
                    <w:kinsoku w:val="0"/>
                    <w:wordWrap/>
                    <w:autoSpaceDE w:val="0"/>
                    <w:autoSpaceDN w:val="0"/>
                    <w:adjustRightInd w:val="0"/>
                    <w:snapToGrid w:val="0"/>
                    <w:spacing w:line="240" w:lineRule="auto"/>
                    <w:ind w:firstLine="0" w:firstLineChars="0"/>
                    <w:jc w:val="left"/>
                    <w:textAlignment w:val="baseline"/>
                    <w:rPr>
                      <w:color w:val="auto"/>
                      <w:kern w:val="0"/>
                      <w:sz w:val="21"/>
                      <w:szCs w:val="21"/>
                      <w:u w:val="none"/>
                      <w:lang w:bidi="ar"/>
                    </w:rPr>
                  </w:pPr>
                  <w:r>
                    <w:rPr>
                      <w:color w:val="auto"/>
                      <w:kern w:val="0"/>
                      <w:sz w:val="21"/>
                      <w:szCs w:val="21"/>
                      <w:u w:val="none"/>
                      <w:lang w:bidi="ar"/>
                    </w:rPr>
                    <w:t>2、食品加工业项目</w:t>
                  </w:r>
                </w:p>
                <w:p w14:paraId="2740600C">
                  <w:pPr>
                    <w:widowControl/>
                    <w:kinsoku w:val="0"/>
                    <w:wordWrap/>
                    <w:autoSpaceDE w:val="0"/>
                    <w:autoSpaceDN w:val="0"/>
                    <w:adjustRightInd w:val="0"/>
                    <w:snapToGrid w:val="0"/>
                    <w:spacing w:line="240" w:lineRule="auto"/>
                    <w:ind w:firstLine="0" w:firstLineChars="0"/>
                    <w:jc w:val="left"/>
                    <w:textAlignment w:val="baseline"/>
                    <w:rPr>
                      <w:color w:val="auto"/>
                      <w:kern w:val="0"/>
                      <w:sz w:val="21"/>
                      <w:szCs w:val="21"/>
                      <w:u w:val="none"/>
                      <w:lang w:bidi="ar"/>
                    </w:rPr>
                  </w:pPr>
                  <w:r>
                    <w:rPr>
                      <w:color w:val="auto"/>
                      <w:kern w:val="0"/>
                      <w:sz w:val="21"/>
                      <w:szCs w:val="21"/>
                      <w:u w:val="none"/>
                      <w:lang w:bidi="ar"/>
                    </w:rPr>
                    <w:t>1）依托现有龙头企业，</w:t>
                  </w:r>
                  <w:r>
                    <w:rPr>
                      <w:color w:val="auto"/>
                      <w:sz w:val="21"/>
                      <w:szCs w:val="21"/>
                      <w:u w:val="none"/>
                    </w:rPr>
                    <w:t>围绕品质的精细化、品类的多元化以及品牌的特色化，着力提升食品加工链条承接发展水平。不断完善肉制品、冷饮食品、粮食精深加工3条全产业链，做优做强产业链建设</w:t>
                  </w:r>
                  <w:r>
                    <w:rPr>
                      <w:color w:val="auto"/>
                      <w:kern w:val="0"/>
                      <w:sz w:val="21"/>
                      <w:szCs w:val="21"/>
                      <w:u w:val="none"/>
                      <w:lang w:bidi="ar"/>
                    </w:rPr>
                    <w:t>；</w:t>
                  </w:r>
                </w:p>
                <w:p w14:paraId="58B47F73">
                  <w:pPr>
                    <w:widowControl/>
                    <w:kinsoku w:val="0"/>
                    <w:wordWrap/>
                    <w:autoSpaceDE w:val="0"/>
                    <w:autoSpaceDN w:val="0"/>
                    <w:adjustRightInd w:val="0"/>
                    <w:snapToGrid w:val="0"/>
                    <w:spacing w:line="240" w:lineRule="auto"/>
                    <w:ind w:firstLine="0" w:firstLineChars="0"/>
                    <w:jc w:val="left"/>
                    <w:textAlignment w:val="baseline"/>
                    <w:rPr>
                      <w:color w:val="auto"/>
                      <w:kern w:val="0"/>
                      <w:sz w:val="21"/>
                      <w:szCs w:val="21"/>
                      <w:u w:val="none"/>
                      <w:lang w:bidi="ar"/>
                    </w:rPr>
                  </w:pPr>
                  <w:r>
                    <w:rPr>
                      <w:color w:val="auto"/>
                      <w:kern w:val="0"/>
                      <w:sz w:val="21"/>
                      <w:szCs w:val="21"/>
                      <w:u w:val="none"/>
                      <w:lang w:bidi="ar"/>
                    </w:rPr>
                    <w:t>2）《产业结构调整指导目录（2024年本）》等国家产业政策中符合规划方案中食品加工业发展方向的鼓励类项目；</w:t>
                  </w:r>
                </w:p>
                <w:p w14:paraId="6C1BA18A">
                  <w:pPr>
                    <w:widowControl/>
                    <w:kinsoku w:val="0"/>
                    <w:wordWrap/>
                    <w:autoSpaceDE w:val="0"/>
                    <w:autoSpaceDN w:val="0"/>
                    <w:adjustRightInd w:val="0"/>
                    <w:snapToGrid w:val="0"/>
                    <w:spacing w:line="240" w:lineRule="auto"/>
                    <w:ind w:firstLine="0" w:firstLineChars="0"/>
                    <w:jc w:val="left"/>
                    <w:textAlignment w:val="baseline"/>
                    <w:rPr>
                      <w:color w:val="auto"/>
                      <w:kern w:val="0"/>
                      <w:sz w:val="21"/>
                      <w:szCs w:val="21"/>
                      <w:u w:val="none"/>
                      <w:lang w:bidi="ar"/>
                    </w:rPr>
                  </w:pPr>
                  <w:r>
                    <w:rPr>
                      <w:color w:val="auto"/>
                      <w:kern w:val="0"/>
                      <w:sz w:val="21"/>
                      <w:szCs w:val="21"/>
                      <w:u w:val="none"/>
                      <w:lang w:bidi="ar"/>
                    </w:rPr>
                    <w:t>3、可降解材料产业</w:t>
                  </w:r>
                </w:p>
                <w:p w14:paraId="3885BFCE">
                  <w:pPr>
                    <w:widowControl/>
                    <w:kinsoku w:val="0"/>
                    <w:wordWrap/>
                    <w:autoSpaceDE w:val="0"/>
                    <w:autoSpaceDN w:val="0"/>
                    <w:adjustRightInd w:val="0"/>
                    <w:snapToGrid w:val="0"/>
                    <w:spacing w:line="240" w:lineRule="auto"/>
                    <w:ind w:firstLine="0" w:firstLineChars="0"/>
                    <w:textAlignment w:val="baseline"/>
                    <w:rPr>
                      <w:color w:val="auto"/>
                      <w:kern w:val="0"/>
                      <w:sz w:val="21"/>
                      <w:szCs w:val="21"/>
                      <w:u w:val="none"/>
                      <w:lang w:bidi="ar"/>
                    </w:rPr>
                  </w:pPr>
                  <w:r>
                    <w:rPr>
                      <w:color w:val="auto"/>
                      <w:kern w:val="0"/>
                      <w:sz w:val="21"/>
                      <w:szCs w:val="21"/>
                      <w:u w:val="none"/>
                      <w:lang w:bidi="ar"/>
                    </w:rPr>
                    <w:t>1）依托现有龙头企业，全面贯通南乐先进制造业开发区秸秆（玉米）—乳酸—聚乳酸—聚乳酸深加工产业链条的关键瓶颈要素，积极布局PBS/PLA共聚混炼材料，PBAT/PLA共聚混炼材料，PPC/PLA共聚混炼材料；</w:t>
                  </w:r>
                </w:p>
                <w:p w14:paraId="1CBE4A9A">
                  <w:pPr>
                    <w:widowControl/>
                    <w:kinsoku w:val="0"/>
                    <w:wordWrap/>
                    <w:autoSpaceDE w:val="0"/>
                    <w:autoSpaceDN w:val="0"/>
                    <w:adjustRightInd w:val="0"/>
                    <w:snapToGrid w:val="0"/>
                    <w:spacing w:line="240" w:lineRule="auto"/>
                    <w:ind w:firstLine="0" w:firstLineChars="0"/>
                    <w:jc w:val="left"/>
                    <w:textAlignment w:val="baseline"/>
                    <w:rPr>
                      <w:color w:val="auto"/>
                      <w:kern w:val="0"/>
                      <w:sz w:val="21"/>
                      <w:szCs w:val="21"/>
                      <w:u w:val="none"/>
                      <w:lang w:bidi="ar"/>
                    </w:rPr>
                  </w:pPr>
                  <w:r>
                    <w:rPr>
                      <w:color w:val="auto"/>
                      <w:kern w:val="0"/>
                      <w:sz w:val="21"/>
                      <w:szCs w:val="21"/>
                      <w:u w:val="none"/>
                      <w:lang w:bidi="ar"/>
                    </w:rPr>
                    <w:t>2）《产业结构调整指导目录（2024年本）》等国家产业政策中符合规划方案中可降解材料产业发展方向的鼓励类项目；</w:t>
                  </w:r>
                </w:p>
              </w:tc>
              <w:tc>
                <w:tcPr>
                  <w:tcW w:w="967" w:type="pct"/>
                  <w:vAlign w:val="center"/>
                </w:tcPr>
                <w:p w14:paraId="33FAD654">
                  <w:pPr>
                    <w:widowControl/>
                    <w:kinsoku w:val="0"/>
                    <w:wordWrap/>
                    <w:autoSpaceDE w:val="0"/>
                    <w:autoSpaceDN w:val="0"/>
                    <w:adjustRightInd w:val="0"/>
                    <w:snapToGrid w:val="0"/>
                    <w:spacing w:line="240" w:lineRule="auto"/>
                    <w:ind w:firstLine="0" w:firstLineChars="0"/>
                    <w:jc w:val="left"/>
                    <w:textAlignment w:val="baseline"/>
                    <w:rPr>
                      <w:color w:val="auto"/>
                      <w:kern w:val="0"/>
                      <w:sz w:val="21"/>
                      <w:szCs w:val="21"/>
                      <w:u w:val="none"/>
                      <w:lang w:bidi="ar"/>
                    </w:rPr>
                  </w:pPr>
                  <w:r>
                    <w:rPr>
                      <w:rFonts w:hint="eastAsia"/>
                      <w:color w:val="auto"/>
                      <w:sz w:val="21"/>
                      <w:szCs w:val="21"/>
                      <w:u w:val="none"/>
                    </w:rPr>
                    <w:t>对照《产业结构调整指导目录》（2024年），本项目不属于淘汰类、限制类、鼓励类，属于允许类。</w:t>
                  </w:r>
                </w:p>
              </w:tc>
              <w:tc>
                <w:tcPr>
                  <w:tcW w:w="333" w:type="pct"/>
                  <w:vAlign w:val="center"/>
                </w:tcPr>
                <w:p w14:paraId="7A5399F2">
                  <w:pPr>
                    <w:widowControl/>
                    <w:kinsoku w:val="0"/>
                    <w:wordWrap/>
                    <w:autoSpaceDE w:val="0"/>
                    <w:autoSpaceDN w:val="0"/>
                    <w:adjustRightInd w:val="0"/>
                    <w:snapToGrid w:val="0"/>
                    <w:spacing w:line="240" w:lineRule="auto"/>
                    <w:ind w:firstLine="0" w:firstLineChars="0"/>
                    <w:jc w:val="center"/>
                    <w:textAlignment w:val="baseline"/>
                    <w:rPr>
                      <w:color w:val="auto"/>
                      <w:kern w:val="0"/>
                      <w:sz w:val="21"/>
                      <w:szCs w:val="21"/>
                      <w:u w:val="none"/>
                      <w:lang w:bidi="ar"/>
                    </w:rPr>
                  </w:pPr>
                  <w:r>
                    <w:rPr>
                      <w:rFonts w:hint="eastAsia"/>
                      <w:color w:val="auto"/>
                      <w:kern w:val="0"/>
                      <w:sz w:val="21"/>
                      <w:szCs w:val="21"/>
                      <w:u w:val="none"/>
                    </w:rPr>
                    <w:t>相符</w:t>
                  </w:r>
                </w:p>
              </w:tc>
            </w:tr>
            <w:tr w14:paraId="3EC1F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0" w:type="pct"/>
                  <w:vMerge w:val="continue"/>
                  <w:vAlign w:val="center"/>
                </w:tcPr>
                <w:p w14:paraId="162D4DB3">
                  <w:pPr>
                    <w:widowControl/>
                    <w:tabs>
                      <w:tab w:val="left" w:pos="864"/>
                    </w:tabs>
                    <w:kinsoku w:val="0"/>
                    <w:wordWrap/>
                    <w:autoSpaceDE w:val="0"/>
                    <w:autoSpaceDN w:val="0"/>
                    <w:adjustRightInd w:val="0"/>
                    <w:snapToGrid w:val="0"/>
                    <w:spacing w:line="240" w:lineRule="auto"/>
                    <w:ind w:firstLine="0" w:firstLineChars="0"/>
                    <w:jc w:val="center"/>
                    <w:textAlignment w:val="baseline"/>
                    <w:rPr>
                      <w:color w:val="auto"/>
                      <w:sz w:val="21"/>
                      <w:szCs w:val="21"/>
                      <w:u w:val="none"/>
                    </w:rPr>
                  </w:pPr>
                </w:p>
              </w:tc>
              <w:tc>
                <w:tcPr>
                  <w:tcW w:w="291" w:type="pct"/>
                  <w:vAlign w:val="center"/>
                </w:tcPr>
                <w:p w14:paraId="489F7FA3">
                  <w:pPr>
                    <w:widowControl/>
                    <w:tabs>
                      <w:tab w:val="left" w:pos="864"/>
                    </w:tabs>
                    <w:kinsoku w:val="0"/>
                    <w:wordWrap/>
                    <w:autoSpaceDE w:val="0"/>
                    <w:autoSpaceDN w:val="0"/>
                    <w:adjustRightInd w:val="0"/>
                    <w:snapToGrid w:val="0"/>
                    <w:spacing w:line="240" w:lineRule="auto"/>
                    <w:ind w:firstLine="0" w:firstLineChars="0"/>
                    <w:jc w:val="center"/>
                    <w:textAlignment w:val="baseline"/>
                    <w:rPr>
                      <w:color w:val="auto"/>
                      <w:sz w:val="21"/>
                      <w:szCs w:val="21"/>
                      <w:u w:val="none"/>
                    </w:rPr>
                  </w:pPr>
                  <w:r>
                    <w:rPr>
                      <w:color w:val="auto"/>
                      <w:sz w:val="21"/>
                      <w:szCs w:val="21"/>
                      <w:u w:val="none"/>
                    </w:rPr>
                    <w:t>限制类</w:t>
                  </w:r>
                </w:p>
              </w:tc>
              <w:tc>
                <w:tcPr>
                  <w:tcW w:w="3226" w:type="pct"/>
                  <w:vAlign w:val="center"/>
                </w:tcPr>
                <w:p w14:paraId="656EA6E0">
                  <w:pPr>
                    <w:widowControl/>
                    <w:tabs>
                      <w:tab w:val="left" w:pos="864"/>
                    </w:tabs>
                    <w:kinsoku w:val="0"/>
                    <w:wordWrap/>
                    <w:autoSpaceDE w:val="0"/>
                    <w:autoSpaceDN w:val="0"/>
                    <w:adjustRightInd w:val="0"/>
                    <w:snapToGrid w:val="0"/>
                    <w:spacing w:line="240" w:lineRule="auto"/>
                    <w:ind w:firstLine="0" w:firstLineChars="0"/>
                    <w:textAlignment w:val="baseline"/>
                    <w:rPr>
                      <w:color w:val="auto"/>
                      <w:sz w:val="21"/>
                      <w:szCs w:val="21"/>
                      <w:u w:val="none"/>
                    </w:rPr>
                  </w:pPr>
                  <w:r>
                    <w:rPr>
                      <w:rFonts w:hint="eastAsia"/>
                      <w:color w:val="auto"/>
                      <w:sz w:val="21"/>
                      <w:szCs w:val="21"/>
                      <w:u w:val="none"/>
                    </w:rPr>
                    <w:t>1.</w:t>
                  </w:r>
                  <w:r>
                    <w:rPr>
                      <w:color w:val="auto"/>
                      <w:sz w:val="21"/>
                      <w:szCs w:val="21"/>
                      <w:u w:val="none"/>
                    </w:rPr>
                    <w:t>禁止不符合国家相关产业政策要求，属于《产业结构调整指导目录（2024年本）》中限制类的项目入驻。</w:t>
                  </w:r>
                </w:p>
              </w:tc>
              <w:tc>
                <w:tcPr>
                  <w:tcW w:w="967" w:type="pct"/>
                  <w:vAlign w:val="center"/>
                </w:tcPr>
                <w:p w14:paraId="55140A01">
                  <w:pPr>
                    <w:widowControl/>
                    <w:tabs>
                      <w:tab w:val="left" w:pos="864"/>
                    </w:tabs>
                    <w:kinsoku w:val="0"/>
                    <w:wordWrap/>
                    <w:autoSpaceDE w:val="0"/>
                    <w:autoSpaceDN w:val="0"/>
                    <w:adjustRightInd w:val="0"/>
                    <w:snapToGrid w:val="0"/>
                    <w:spacing w:line="240" w:lineRule="auto"/>
                    <w:ind w:firstLine="0" w:firstLineChars="0"/>
                    <w:jc w:val="center"/>
                    <w:textAlignment w:val="baseline"/>
                    <w:rPr>
                      <w:color w:val="auto"/>
                      <w:sz w:val="21"/>
                      <w:szCs w:val="21"/>
                      <w:u w:val="none"/>
                    </w:rPr>
                  </w:pPr>
                  <w:r>
                    <w:rPr>
                      <w:rFonts w:hint="eastAsia"/>
                      <w:color w:val="auto"/>
                      <w:sz w:val="21"/>
                      <w:szCs w:val="21"/>
                      <w:u w:val="none"/>
                    </w:rPr>
                    <w:t>不属于</w:t>
                  </w:r>
                </w:p>
              </w:tc>
              <w:tc>
                <w:tcPr>
                  <w:tcW w:w="333" w:type="pct"/>
                  <w:vAlign w:val="center"/>
                </w:tcPr>
                <w:p w14:paraId="180E38CD">
                  <w:pPr>
                    <w:widowControl/>
                    <w:tabs>
                      <w:tab w:val="left" w:pos="864"/>
                    </w:tabs>
                    <w:kinsoku w:val="0"/>
                    <w:wordWrap/>
                    <w:autoSpaceDE w:val="0"/>
                    <w:autoSpaceDN w:val="0"/>
                    <w:adjustRightInd w:val="0"/>
                    <w:snapToGrid w:val="0"/>
                    <w:spacing w:line="240" w:lineRule="auto"/>
                    <w:ind w:firstLine="0" w:firstLineChars="0"/>
                    <w:jc w:val="center"/>
                    <w:textAlignment w:val="baseline"/>
                    <w:rPr>
                      <w:color w:val="auto"/>
                      <w:sz w:val="21"/>
                      <w:szCs w:val="21"/>
                      <w:u w:val="none"/>
                    </w:rPr>
                  </w:pPr>
                  <w:r>
                    <w:rPr>
                      <w:rFonts w:hint="eastAsia"/>
                      <w:color w:val="auto"/>
                      <w:kern w:val="0"/>
                      <w:sz w:val="21"/>
                      <w:szCs w:val="21"/>
                      <w:u w:val="none"/>
                    </w:rPr>
                    <w:t>相符</w:t>
                  </w:r>
                </w:p>
              </w:tc>
            </w:tr>
            <w:tr w14:paraId="20DD8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0" w:type="pct"/>
                  <w:vMerge w:val="continue"/>
                  <w:vAlign w:val="center"/>
                </w:tcPr>
                <w:p w14:paraId="11FFC061">
                  <w:pPr>
                    <w:widowControl/>
                    <w:tabs>
                      <w:tab w:val="left" w:pos="864"/>
                    </w:tabs>
                    <w:kinsoku w:val="0"/>
                    <w:wordWrap/>
                    <w:autoSpaceDE w:val="0"/>
                    <w:autoSpaceDN w:val="0"/>
                    <w:adjustRightInd w:val="0"/>
                    <w:snapToGrid w:val="0"/>
                    <w:spacing w:line="240" w:lineRule="auto"/>
                    <w:ind w:firstLine="0" w:firstLineChars="0"/>
                    <w:jc w:val="center"/>
                    <w:textAlignment w:val="baseline"/>
                    <w:rPr>
                      <w:color w:val="auto"/>
                      <w:sz w:val="21"/>
                      <w:szCs w:val="21"/>
                      <w:u w:val="none"/>
                    </w:rPr>
                  </w:pPr>
                </w:p>
              </w:tc>
              <w:tc>
                <w:tcPr>
                  <w:tcW w:w="291" w:type="pct"/>
                  <w:vAlign w:val="center"/>
                </w:tcPr>
                <w:p w14:paraId="1F21F122">
                  <w:pPr>
                    <w:widowControl/>
                    <w:tabs>
                      <w:tab w:val="left" w:pos="864"/>
                    </w:tabs>
                    <w:kinsoku w:val="0"/>
                    <w:wordWrap/>
                    <w:autoSpaceDE w:val="0"/>
                    <w:autoSpaceDN w:val="0"/>
                    <w:adjustRightInd w:val="0"/>
                    <w:snapToGrid w:val="0"/>
                    <w:spacing w:line="240" w:lineRule="auto"/>
                    <w:ind w:firstLine="0" w:firstLineChars="0"/>
                    <w:jc w:val="center"/>
                    <w:textAlignment w:val="baseline"/>
                    <w:rPr>
                      <w:color w:val="auto"/>
                      <w:sz w:val="21"/>
                      <w:szCs w:val="21"/>
                      <w:u w:val="none"/>
                    </w:rPr>
                  </w:pPr>
                  <w:r>
                    <w:rPr>
                      <w:color w:val="auto"/>
                      <w:sz w:val="21"/>
                      <w:szCs w:val="21"/>
                      <w:u w:val="none"/>
                    </w:rPr>
                    <w:t>禁止类</w:t>
                  </w:r>
                </w:p>
              </w:tc>
              <w:tc>
                <w:tcPr>
                  <w:tcW w:w="3226" w:type="pct"/>
                  <w:vAlign w:val="center"/>
                </w:tcPr>
                <w:p w14:paraId="1DF5ECF0">
                  <w:pPr>
                    <w:widowControl/>
                    <w:tabs>
                      <w:tab w:val="left" w:pos="864"/>
                    </w:tabs>
                    <w:kinsoku w:val="0"/>
                    <w:wordWrap/>
                    <w:autoSpaceDE w:val="0"/>
                    <w:autoSpaceDN w:val="0"/>
                    <w:adjustRightInd w:val="0"/>
                    <w:snapToGrid w:val="0"/>
                    <w:spacing w:line="240" w:lineRule="auto"/>
                    <w:ind w:firstLine="0" w:firstLineChars="0"/>
                    <w:textAlignment w:val="baseline"/>
                    <w:rPr>
                      <w:color w:val="auto"/>
                      <w:sz w:val="21"/>
                      <w:szCs w:val="21"/>
                      <w:u w:val="none"/>
                    </w:rPr>
                  </w:pPr>
                  <w:r>
                    <w:rPr>
                      <w:rFonts w:hint="eastAsia"/>
                      <w:color w:val="auto"/>
                      <w:sz w:val="21"/>
                      <w:szCs w:val="21"/>
                      <w:u w:val="none"/>
                    </w:rPr>
                    <w:t>1.</w:t>
                  </w:r>
                  <w:r>
                    <w:rPr>
                      <w:color w:val="auto"/>
                      <w:sz w:val="21"/>
                      <w:szCs w:val="21"/>
                      <w:u w:val="none"/>
                    </w:rPr>
                    <w:t>禁止不符合国家相关产业政策要求，属于《产业结构调整指导目录（2024年本）》中淘汰类的项目入驻。</w:t>
                  </w:r>
                </w:p>
                <w:p w14:paraId="7F8B20EF">
                  <w:pPr>
                    <w:widowControl/>
                    <w:tabs>
                      <w:tab w:val="left" w:pos="864"/>
                    </w:tabs>
                    <w:kinsoku w:val="0"/>
                    <w:wordWrap/>
                    <w:autoSpaceDE w:val="0"/>
                    <w:autoSpaceDN w:val="0"/>
                    <w:adjustRightInd w:val="0"/>
                    <w:snapToGrid w:val="0"/>
                    <w:spacing w:line="240" w:lineRule="auto"/>
                    <w:ind w:firstLine="0" w:firstLineChars="0"/>
                    <w:textAlignment w:val="baseline"/>
                    <w:rPr>
                      <w:color w:val="auto"/>
                      <w:sz w:val="21"/>
                      <w:szCs w:val="21"/>
                      <w:u w:val="none"/>
                    </w:rPr>
                  </w:pPr>
                  <w:r>
                    <w:rPr>
                      <w:rFonts w:hint="eastAsia"/>
                      <w:color w:val="auto"/>
                      <w:sz w:val="21"/>
                      <w:szCs w:val="21"/>
                      <w:u w:val="none"/>
                    </w:rPr>
                    <w:t>2.</w:t>
                  </w:r>
                  <w:r>
                    <w:rPr>
                      <w:color w:val="auto"/>
                      <w:sz w:val="21"/>
                      <w:szCs w:val="21"/>
                      <w:u w:val="none"/>
                    </w:rPr>
                    <w:t>禁止引入《市场准入负面清单（2020年版）》禁止准入类事项。</w:t>
                  </w:r>
                </w:p>
                <w:p w14:paraId="11E8A3C4">
                  <w:pPr>
                    <w:widowControl/>
                    <w:tabs>
                      <w:tab w:val="left" w:pos="864"/>
                    </w:tabs>
                    <w:kinsoku w:val="0"/>
                    <w:wordWrap/>
                    <w:autoSpaceDE w:val="0"/>
                    <w:autoSpaceDN w:val="0"/>
                    <w:adjustRightInd w:val="0"/>
                    <w:snapToGrid w:val="0"/>
                    <w:spacing w:line="240" w:lineRule="auto"/>
                    <w:ind w:firstLine="0" w:firstLineChars="0"/>
                    <w:textAlignment w:val="baseline"/>
                    <w:rPr>
                      <w:color w:val="auto"/>
                      <w:sz w:val="21"/>
                      <w:szCs w:val="21"/>
                      <w:u w:val="none"/>
                    </w:rPr>
                  </w:pPr>
                  <w:r>
                    <w:rPr>
                      <w:color w:val="auto"/>
                      <w:sz w:val="21"/>
                      <w:szCs w:val="21"/>
                      <w:u w:val="none"/>
                    </w:rPr>
                    <w:t>3.禁止采用露天和敞开式喷涂工艺的企业，或VOCs废气治理技术单一，难以稳定达标排放的项目入驻；</w:t>
                  </w:r>
                </w:p>
                <w:p w14:paraId="6506D091">
                  <w:pPr>
                    <w:widowControl/>
                    <w:tabs>
                      <w:tab w:val="left" w:pos="864"/>
                    </w:tabs>
                    <w:kinsoku w:val="0"/>
                    <w:wordWrap/>
                    <w:autoSpaceDE w:val="0"/>
                    <w:autoSpaceDN w:val="0"/>
                    <w:adjustRightInd w:val="0"/>
                    <w:snapToGrid w:val="0"/>
                    <w:spacing w:line="240" w:lineRule="auto"/>
                    <w:ind w:firstLine="0" w:firstLineChars="0"/>
                    <w:textAlignment w:val="baseline"/>
                    <w:rPr>
                      <w:color w:val="auto"/>
                      <w:sz w:val="21"/>
                      <w:szCs w:val="21"/>
                      <w:u w:val="none"/>
                    </w:rPr>
                  </w:pPr>
                  <w:r>
                    <w:rPr>
                      <w:color w:val="auto"/>
                      <w:sz w:val="21"/>
                      <w:szCs w:val="21"/>
                      <w:u w:val="none"/>
                    </w:rPr>
                    <w:t>4.使用高VOCs含量的溶剂型涂料、油墨、胶粘剂的项目</w:t>
                  </w:r>
                </w:p>
                <w:p w14:paraId="734CB426">
                  <w:pPr>
                    <w:widowControl/>
                    <w:tabs>
                      <w:tab w:val="left" w:pos="864"/>
                    </w:tabs>
                    <w:kinsoku w:val="0"/>
                    <w:wordWrap/>
                    <w:autoSpaceDE w:val="0"/>
                    <w:autoSpaceDN w:val="0"/>
                    <w:adjustRightInd w:val="0"/>
                    <w:snapToGrid w:val="0"/>
                    <w:spacing w:line="240" w:lineRule="auto"/>
                    <w:ind w:firstLine="0" w:firstLineChars="0"/>
                    <w:textAlignment w:val="baseline"/>
                    <w:rPr>
                      <w:color w:val="auto"/>
                      <w:sz w:val="21"/>
                      <w:szCs w:val="21"/>
                      <w:u w:val="none"/>
                    </w:rPr>
                  </w:pPr>
                  <w:r>
                    <w:rPr>
                      <w:color w:val="auto"/>
                      <w:sz w:val="21"/>
                      <w:szCs w:val="21"/>
                      <w:u w:val="none"/>
                    </w:rPr>
                    <w:t>5.钢铁、冶金、焦化、电镀、煤化工、印染、造纸等不属于开发区主导产业的高耗能、重污染项目；</w:t>
                  </w:r>
                </w:p>
                <w:p w14:paraId="23CD3DFA">
                  <w:pPr>
                    <w:widowControl/>
                    <w:tabs>
                      <w:tab w:val="left" w:pos="864"/>
                    </w:tabs>
                    <w:kinsoku w:val="0"/>
                    <w:wordWrap/>
                    <w:autoSpaceDE w:val="0"/>
                    <w:autoSpaceDN w:val="0"/>
                    <w:adjustRightInd w:val="0"/>
                    <w:snapToGrid w:val="0"/>
                    <w:spacing w:line="240" w:lineRule="auto"/>
                    <w:ind w:firstLine="0" w:firstLineChars="0"/>
                    <w:textAlignment w:val="baseline"/>
                    <w:rPr>
                      <w:color w:val="auto"/>
                      <w:sz w:val="21"/>
                      <w:szCs w:val="21"/>
                      <w:u w:val="none"/>
                    </w:rPr>
                  </w:pPr>
                  <w:r>
                    <w:rPr>
                      <w:color w:val="auto"/>
                      <w:sz w:val="21"/>
                      <w:szCs w:val="21"/>
                      <w:u w:val="none"/>
                    </w:rPr>
                    <w:t>6.禁止新建燃料类煤气发生炉和35蒸吨/时及以下燃煤锅炉。</w:t>
                  </w:r>
                </w:p>
              </w:tc>
              <w:tc>
                <w:tcPr>
                  <w:tcW w:w="967" w:type="pct"/>
                  <w:vAlign w:val="center"/>
                </w:tcPr>
                <w:p w14:paraId="398B14BB">
                  <w:pPr>
                    <w:widowControl/>
                    <w:tabs>
                      <w:tab w:val="left" w:pos="864"/>
                    </w:tabs>
                    <w:kinsoku w:val="0"/>
                    <w:wordWrap/>
                    <w:autoSpaceDE w:val="0"/>
                    <w:autoSpaceDN w:val="0"/>
                    <w:adjustRightInd w:val="0"/>
                    <w:snapToGrid w:val="0"/>
                    <w:spacing w:line="240" w:lineRule="auto"/>
                    <w:ind w:firstLine="0" w:firstLineChars="0"/>
                    <w:jc w:val="center"/>
                    <w:textAlignment w:val="baseline"/>
                    <w:rPr>
                      <w:color w:val="auto"/>
                      <w:sz w:val="21"/>
                      <w:szCs w:val="21"/>
                      <w:u w:val="none"/>
                    </w:rPr>
                  </w:pPr>
                  <w:r>
                    <w:rPr>
                      <w:color w:val="auto"/>
                      <w:sz w:val="21"/>
                      <w:szCs w:val="21"/>
                      <w:u w:val="none"/>
                    </w:rPr>
                    <w:t>不属于</w:t>
                  </w:r>
                </w:p>
              </w:tc>
              <w:tc>
                <w:tcPr>
                  <w:tcW w:w="333" w:type="pct"/>
                  <w:vAlign w:val="center"/>
                </w:tcPr>
                <w:p w14:paraId="0817BBC3">
                  <w:pPr>
                    <w:widowControl/>
                    <w:tabs>
                      <w:tab w:val="left" w:pos="864"/>
                    </w:tabs>
                    <w:kinsoku w:val="0"/>
                    <w:wordWrap/>
                    <w:autoSpaceDE w:val="0"/>
                    <w:autoSpaceDN w:val="0"/>
                    <w:adjustRightInd w:val="0"/>
                    <w:snapToGrid w:val="0"/>
                    <w:spacing w:line="240" w:lineRule="auto"/>
                    <w:ind w:firstLine="0" w:firstLineChars="0"/>
                    <w:jc w:val="center"/>
                    <w:textAlignment w:val="baseline"/>
                    <w:rPr>
                      <w:color w:val="auto"/>
                      <w:sz w:val="21"/>
                      <w:szCs w:val="21"/>
                      <w:u w:val="none"/>
                    </w:rPr>
                  </w:pPr>
                  <w:r>
                    <w:rPr>
                      <w:rFonts w:hint="eastAsia"/>
                      <w:color w:val="auto"/>
                      <w:kern w:val="0"/>
                      <w:sz w:val="21"/>
                      <w:szCs w:val="21"/>
                      <w:u w:val="none"/>
                    </w:rPr>
                    <w:t>相符</w:t>
                  </w:r>
                </w:p>
              </w:tc>
            </w:tr>
            <w:tr w14:paraId="133E1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0" w:type="pct"/>
                  <w:vMerge w:val="continue"/>
                  <w:vAlign w:val="center"/>
                </w:tcPr>
                <w:p w14:paraId="77752116">
                  <w:pPr>
                    <w:widowControl/>
                    <w:tabs>
                      <w:tab w:val="left" w:pos="864"/>
                    </w:tabs>
                    <w:kinsoku w:val="0"/>
                    <w:wordWrap/>
                    <w:autoSpaceDE w:val="0"/>
                    <w:autoSpaceDN w:val="0"/>
                    <w:adjustRightInd w:val="0"/>
                    <w:snapToGrid w:val="0"/>
                    <w:spacing w:line="240" w:lineRule="auto"/>
                    <w:ind w:firstLine="0" w:firstLineChars="0"/>
                    <w:jc w:val="center"/>
                    <w:textAlignment w:val="baseline"/>
                    <w:rPr>
                      <w:color w:val="auto"/>
                      <w:sz w:val="21"/>
                      <w:szCs w:val="21"/>
                      <w:u w:val="none"/>
                    </w:rPr>
                  </w:pPr>
                </w:p>
              </w:tc>
              <w:tc>
                <w:tcPr>
                  <w:tcW w:w="291" w:type="pct"/>
                  <w:vAlign w:val="center"/>
                </w:tcPr>
                <w:p w14:paraId="4590D976">
                  <w:pPr>
                    <w:widowControl/>
                    <w:tabs>
                      <w:tab w:val="left" w:pos="864"/>
                    </w:tabs>
                    <w:kinsoku w:val="0"/>
                    <w:wordWrap/>
                    <w:autoSpaceDE w:val="0"/>
                    <w:autoSpaceDN w:val="0"/>
                    <w:adjustRightInd w:val="0"/>
                    <w:snapToGrid w:val="0"/>
                    <w:spacing w:line="240" w:lineRule="auto"/>
                    <w:ind w:firstLine="0" w:firstLineChars="0"/>
                    <w:jc w:val="center"/>
                    <w:textAlignment w:val="baseline"/>
                    <w:rPr>
                      <w:color w:val="auto"/>
                      <w:sz w:val="21"/>
                      <w:szCs w:val="21"/>
                      <w:u w:val="none"/>
                    </w:rPr>
                  </w:pPr>
                  <w:r>
                    <w:rPr>
                      <w:color w:val="auto"/>
                      <w:sz w:val="21"/>
                      <w:szCs w:val="21"/>
                      <w:u w:val="none"/>
                    </w:rPr>
                    <w:t>允许类</w:t>
                  </w:r>
                </w:p>
              </w:tc>
              <w:tc>
                <w:tcPr>
                  <w:tcW w:w="3226" w:type="pct"/>
                  <w:vAlign w:val="center"/>
                </w:tcPr>
                <w:p w14:paraId="01875426">
                  <w:pPr>
                    <w:widowControl/>
                    <w:tabs>
                      <w:tab w:val="left" w:pos="864"/>
                    </w:tabs>
                    <w:kinsoku w:val="0"/>
                    <w:wordWrap/>
                    <w:autoSpaceDE w:val="0"/>
                    <w:autoSpaceDN w:val="0"/>
                    <w:adjustRightInd w:val="0"/>
                    <w:snapToGrid w:val="0"/>
                    <w:spacing w:line="240" w:lineRule="auto"/>
                    <w:ind w:firstLine="0" w:firstLineChars="0"/>
                    <w:textAlignment w:val="baseline"/>
                    <w:rPr>
                      <w:color w:val="auto"/>
                      <w:sz w:val="21"/>
                      <w:szCs w:val="21"/>
                      <w:u w:val="none"/>
                    </w:rPr>
                  </w:pPr>
                  <w:r>
                    <w:rPr>
                      <w:rFonts w:hint="eastAsia"/>
                      <w:color w:val="auto"/>
                      <w:sz w:val="21"/>
                      <w:szCs w:val="21"/>
                      <w:u w:val="none"/>
                    </w:rPr>
                    <w:t>1.</w:t>
                  </w:r>
                  <w:r>
                    <w:rPr>
                      <w:color w:val="auto"/>
                      <w:sz w:val="21"/>
                      <w:szCs w:val="21"/>
                      <w:u w:val="none"/>
                    </w:rPr>
                    <w:t>不属于禁止、限制、鼓励类的均为允许类；</w:t>
                  </w:r>
                </w:p>
                <w:p w14:paraId="10B0B4D0">
                  <w:pPr>
                    <w:widowControl/>
                    <w:tabs>
                      <w:tab w:val="left" w:pos="864"/>
                    </w:tabs>
                    <w:kinsoku w:val="0"/>
                    <w:wordWrap/>
                    <w:autoSpaceDE w:val="0"/>
                    <w:autoSpaceDN w:val="0"/>
                    <w:adjustRightInd w:val="0"/>
                    <w:snapToGrid w:val="0"/>
                    <w:spacing w:line="240" w:lineRule="auto"/>
                    <w:ind w:firstLine="0" w:firstLineChars="0"/>
                    <w:textAlignment w:val="baseline"/>
                    <w:rPr>
                      <w:color w:val="auto"/>
                      <w:sz w:val="21"/>
                      <w:szCs w:val="21"/>
                      <w:u w:val="none"/>
                    </w:rPr>
                  </w:pPr>
                  <w:r>
                    <w:rPr>
                      <w:rFonts w:hint="eastAsia"/>
                      <w:color w:val="auto"/>
                      <w:sz w:val="21"/>
                      <w:szCs w:val="21"/>
                      <w:u w:val="none"/>
                    </w:rPr>
                    <w:t>2.</w:t>
                  </w:r>
                  <w:r>
                    <w:rPr>
                      <w:color w:val="auto"/>
                      <w:sz w:val="21"/>
                      <w:szCs w:val="21"/>
                      <w:u w:val="none"/>
                    </w:rPr>
                    <w:t>允许类的准入原则：满足本表列出的基本要求</w:t>
                  </w:r>
                </w:p>
              </w:tc>
              <w:tc>
                <w:tcPr>
                  <w:tcW w:w="967" w:type="pct"/>
                  <w:vAlign w:val="center"/>
                </w:tcPr>
                <w:p w14:paraId="23BB822A">
                  <w:pPr>
                    <w:widowControl/>
                    <w:tabs>
                      <w:tab w:val="left" w:pos="864"/>
                    </w:tabs>
                    <w:kinsoku w:val="0"/>
                    <w:wordWrap/>
                    <w:autoSpaceDE w:val="0"/>
                    <w:autoSpaceDN w:val="0"/>
                    <w:adjustRightInd w:val="0"/>
                    <w:snapToGrid w:val="0"/>
                    <w:spacing w:line="240" w:lineRule="auto"/>
                    <w:ind w:firstLine="0" w:firstLineChars="0"/>
                    <w:jc w:val="center"/>
                    <w:textAlignment w:val="baseline"/>
                    <w:rPr>
                      <w:color w:val="auto"/>
                      <w:sz w:val="21"/>
                      <w:szCs w:val="21"/>
                      <w:u w:val="none"/>
                    </w:rPr>
                  </w:pPr>
                  <w:r>
                    <w:rPr>
                      <w:rFonts w:hint="eastAsia"/>
                      <w:color w:val="auto"/>
                      <w:kern w:val="0"/>
                      <w:sz w:val="21"/>
                      <w:szCs w:val="21"/>
                      <w:u w:val="none"/>
                    </w:rPr>
                    <w:t>/</w:t>
                  </w:r>
                </w:p>
              </w:tc>
              <w:tc>
                <w:tcPr>
                  <w:tcW w:w="333" w:type="pct"/>
                  <w:vAlign w:val="center"/>
                </w:tcPr>
                <w:p w14:paraId="0C5ED5AB">
                  <w:pPr>
                    <w:widowControl/>
                    <w:tabs>
                      <w:tab w:val="left" w:pos="864"/>
                    </w:tabs>
                    <w:kinsoku w:val="0"/>
                    <w:wordWrap/>
                    <w:autoSpaceDE w:val="0"/>
                    <w:autoSpaceDN w:val="0"/>
                    <w:adjustRightInd w:val="0"/>
                    <w:snapToGrid w:val="0"/>
                    <w:spacing w:line="240" w:lineRule="auto"/>
                    <w:ind w:firstLine="0" w:firstLineChars="0"/>
                    <w:jc w:val="center"/>
                    <w:textAlignment w:val="baseline"/>
                    <w:rPr>
                      <w:color w:val="auto"/>
                      <w:kern w:val="0"/>
                      <w:sz w:val="21"/>
                      <w:szCs w:val="21"/>
                      <w:u w:val="none"/>
                    </w:rPr>
                  </w:pPr>
                  <w:r>
                    <w:rPr>
                      <w:rFonts w:hint="eastAsia"/>
                      <w:color w:val="auto"/>
                      <w:kern w:val="0"/>
                      <w:sz w:val="21"/>
                      <w:szCs w:val="21"/>
                      <w:u w:val="none"/>
                    </w:rPr>
                    <w:t>相符</w:t>
                  </w:r>
                </w:p>
              </w:tc>
            </w:tr>
          </w:tbl>
          <w:p w14:paraId="79CDA1A0">
            <w:pPr>
              <w:pageBreakBefore w:val="0"/>
              <w:widowControl w:val="0"/>
              <w:kinsoku/>
              <w:wordWrap/>
              <w:overflowPunct/>
              <w:topLinePunct w:val="0"/>
              <w:autoSpaceDE/>
              <w:autoSpaceDN/>
              <w:bidi w:val="0"/>
              <w:adjustRightInd/>
              <w:snapToGrid/>
              <w:spacing w:line="520" w:lineRule="exact"/>
              <w:ind w:firstLine="480" w:firstLineChars="200"/>
              <w:textAlignment w:val="auto"/>
              <w:rPr>
                <w:color w:val="auto"/>
              </w:rPr>
            </w:pPr>
            <w:r>
              <w:rPr>
                <w:rFonts w:hint="default" w:ascii="Times New Roman" w:hAnsi="Times New Roman" w:eastAsia="宋体" w:cs="Times New Roman"/>
                <w:color w:val="auto"/>
                <w:sz w:val="24"/>
                <w:szCs w:val="24"/>
                <w:highlight w:val="none"/>
                <w:lang w:val="en-US" w:eastAsia="zh-CN"/>
              </w:rPr>
              <w:t>本项目为中药饮片及中成药加工项目，不属于《产业结构调整指导目录（20</w:t>
            </w:r>
            <w:r>
              <w:rPr>
                <w:rFonts w:hint="eastAsia"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lang w:val="en-US" w:eastAsia="zh-CN"/>
              </w:rPr>
              <w:t>年本）》中限制类和淘汰类项目，属于允许类项目。项目位于</w:t>
            </w:r>
            <w:r>
              <w:rPr>
                <w:rFonts w:hint="eastAsia" w:ascii="Times New Roman" w:hAnsi="Times New Roman" w:eastAsia="宋体" w:cs="Times New Roman"/>
                <w:color w:val="auto"/>
                <w:sz w:val="24"/>
                <w:szCs w:val="24"/>
                <w:highlight w:val="none"/>
                <w:lang w:val="en-US" w:eastAsia="zh-CN"/>
              </w:rPr>
              <w:t>南乐县先进制造业开发区装备制造产业区</w:t>
            </w:r>
            <w:r>
              <w:rPr>
                <w:rFonts w:hint="default" w:ascii="Times New Roman" w:hAnsi="Times New Roman" w:eastAsia="宋体" w:cs="Times New Roman"/>
                <w:color w:val="auto"/>
                <w:sz w:val="24"/>
                <w:szCs w:val="24"/>
                <w:highlight w:val="none"/>
                <w:lang w:val="en-US" w:eastAsia="zh-CN"/>
              </w:rPr>
              <w:t>。项目用地类型为二类工业用地，符合南乐县</w:t>
            </w:r>
            <w:r>
              <w:rPr>
                <w:rFonts w:hint="eastAsia" w:ascii="Times New Roman" w:hAnsi="Times New Roman" w:eastAsia="宋体" w:cs="Times New Roman"/>
                <w:color w:val="auto"/>
                <w:sz w:val="24"/>
                <w:szCs w:val="24"/>
                <w:highlight w:val="none"/>
                <w:lang w:val="en-US" w:eastAsia="zh-CN"/>
              </w:rPr>
              <w:t>先进制造业开发区</w:t>
            </w:r>
            <w:r>
              <w:rPr>
                <w:rFonts w:hint="default" w:ascii="Times New Roman" w:hAnsi="Times New Roman" w:eastAsia="宋体" w:cs="Times New Roman"/>
                <w:color w:val="auto"/>
                <w:sz w:val="24"/>
                <w:szCs w:val="24"/>
                <w:highlight w:val="none"/>
                <w:lang w:val="en-US" w:eastAsia="zh-CN"/>
              </w:rPr>
              <w:t>环境准入条件要求。南乐县</w:t>
            </w:r>
            <w:r>
              <w:rPr>
                <w:rFonts w:hint="eastAsia" w:cs="Times New Roman"/>
                <w:color w:val="auto"/>
                <w:sz w:val="24"/>
                <w:szCs w:val="24"/>
                <w:highlight w:val="none"/>
                <w:lang w:val="en-US" w:eastAsia="zh-CN"/>
              </w:rPr>
              <w:t>先进制造业开发区管委会</w:t>
            </w:r>
            <w:r>
              <w:rPr>
                <w:rFonts w:hint="default" w:ascii="Times New Roman" w:hAnsi="Times New Roman" w:eastAsia="宋体" w:cs="Times New Roman"/>
                <w:color w:val="auto"/>
                <w:sz w:val="24"/>
                <w:szCs w:val="24"/>
                <w:highlight w:val="none"/>
                <w:lang w:val="en-US" w:eastAsia="zh-CN"/>
              </w:rPr>
              <w:t>已出具关于项目入驻的意见，项目符合南乐县</w:t>
            </w:r>
            <w:r>
              <w:rPr>
                <w:rFonts w:hint="eastAsia" w:ascii="Times New Roman" w:hAnsi="Times New Roman" w:eastAsia="宋体" w:cs="Times New Roman"/>
                <w:color w:val="auto"/>
                <w:sz w:val="24"/>
                <w:szCs w:val="24"/>
                <w:highlight w:val="none"/>
                <w:lang w:val="en-US" w:eastAsia="zh-CN"/>
              </w:rPr>
              <w:t>先进制造业开发区</w:t>
            </w:r>
            <w:r>
              <w:rPr>
                <w:rFonts w:hint="default" w:ascii="Times New Roman" w:hAnsi="Times New Roman" w:eastAsia="宋体" w:cs="Times New Roman"/>
                <w:color w:val="auto"/>
                <w:sz w:val="24"/>
                <w:szCs w:val="24"/>
                <w:highlight w:val="none"/>
                <w:lang w:val="en-US" w:eastAsia="zh-CN"/>
              </w:rPr>
              <w:t>发展规划要求，原则同意项目入驻。</w:t>
            </w:r>
            <w:r>
              <w:rPr>
                <w:rFonts w:hint="default" w:ascii="Times New Roman" w:hAnsi="Times New Roman" w:eastAsia="宋体" w:cs="Times New Roman"/>
                <w:b w:val="0"/>
                <w:bCs w:val="0"/>
                <w:color w:val="auto"/>
                <w:sz w:val="24"/>
                <w:szCs w:val="24"/>
                <w:highlight w:val="none"/>
                <w:u w:val="none"/>
              </w:rPr>
              <w:t>本次废水经过处理后，通过市政管网进入</w:t>
            </w:r>
            <w:r>
              <w:rPr>
                <w:rFonts w:hint="default" w:ascii="Times New Roman" w:hAnsi="Times New Roman" w:eastAsia="宋体" w:cs="Times New Roman"/>
                <w:b w:val="0"/>
                <w:bCs w:val="0"/>
                <w:color w:val="auto"/>
                <w:sz w:val="24"/>
                <w:szCs w:val="24"/>
                <w:highlight w:val="none"/>
                <w:u w:val="none"/>
                <w:lang w:val="en-US" w:eastAsia="zh-CN"/>
              </w:rPr>
              <w:t>南乐县污水处理厂</w:t>
            </w:r>
            <w:r>
              <w:rPr>
                <w:rFonts w:hint="default" w:ascii="Times New Roman" w:hAnsi="Times New Roman" w:eastAsia="宋体" w:cs="Times New Roman"/>
                <w:b w:val="0"/>
                <w:bCs w:val="0"/>
                <w:color w:val="auto"/>
                <w:sz w:val="24"/>
                <w:szCs w:val="24"/>
                <w:highlight w:val="none"/>
                <w:u w:val="none"/>
              </w:rPr>
              <w:t>进行达标处理。</w:t>
            </w:r>
          </w:p>
        </w:tc>
      </w:tr>
      <w:tr w14:paraId="5FF4F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24" w:hRule="atLeast"/>
          <w:jc w:val="center"/>
        </w:trPr>
        <w:tc>
          <w:tcPr>
            <w:tcW w:w="454" w:type="pct"/>
            <w:vAlign w:val="center"/>
          </w:tcPr>
          <w:p w14:paraId="2998E5EB">
            <w:pPr>
              <w:spacing w:line="240" w:lineRule="auto"/>
              <w:ind w:firstLine="0" w:firstLineChars="0"/>
              <w:jc w:val="center"/>
              <w:rPr>
                <w:color w:val="auto"/>
                <w:kern w:val="0"/>
              </w:rPr>
            </w:pPr>
            <w:r>
              <w:rPr>
                <w:rFonts w:hint="eastAsia"/>
                <w:color w:val="auto"/>
                <w:kern w:val="0"/>
              </w:rPr>
              <w:t>其他相符性分析</w:t>
            </w:r>
          </w:p>
        </w:tc>
        <w:tc>
          <w:tcPr>
            <w:tcW w:w="4545" w:type="pct"/>
            <w:gridSpan w:val="3"/>
            <w:vAlign w:val="center"/>
          </w:tcPr>
          <w:p w14:paraId="3106D5AE">
            <w:pPr>
              <w:keepNext w:val="0"/>
              <w:keepLines w:val="0"/>
              <w:pageBreakBefore w:val="0"/>
              <w:widowControl w:val="0"/>
              <w:kinsoku/>
              <w:wordWrap w:val="0"/>
              <w:overflowPunct/>
              <w:topLinePunct w:val="0"/>
              <w:autoSpaceDE/>
              <w:autoSpaceDN/>
              <w:bidi w:val="0"/>
              <w:adjustRightInd/>
              <w:snapToGrid/>
              <w:ind w:firstLine="0" w:firstLineChars="0"/>
              <w:textAlignment w:val="auto"/>
              <w:rPr>
                <w:b/>
                <w:bCs/>
                <w:color w:val="auto"/>
              </w:rPr>
            </w:pPr>
            <w:r>
              <w:rPr>
                <w:rFonts w:hint="eastAsia"/>
                <w:b/>
                <w:bCs/>
                <w:color w:val="auto"/>
              </w:rPr>
              <w:t>一、产业政策相符性</w:t>
            </w:r>
          </w:p>
          <w:p w14:paraId="38A466C6">
            <w:pPr>
              <w:ind w:firstLine="480"/>
              <w:jc w:val="left"/>
              <w:rPr>
                <w:color w:val="auto"/>
              </w:rPr>
            </w:pPr>
            <w:r>
              <w:rPr>
                <w:rFonts w:hint="eastAsia"/>
                <w:color w:val="auto"/>
              </w:rPr>
              <w:t>本项目属于C</w:t>
            </w:r>
            <w:r>
              <w:rPr>
                <w:rFonts w:hint="eastAsia"/>
                <w:color w:val="auto"/>
                <w:lang w:val="en-US" w:eastAsia="zh-CN"/>
              </w:rPr>
              <w:t>2730中药饮片加工、C2740中成药生产</w:t>
            </w:r>
            <w:r>
              <w:rPr>
                <w:color w:val="auto"/>
              </w:rPr>
              <w:t>，对照《产业结构调整指导目录》（20</w:t>
            </w:r>
            <w:r>
              <w:rPr>
                <w:rFonts w:hint="eastAsia"/>
                <w:color w:val="auto"/>
              </w:rPr>
              <w:t>24</w:t>
            </w:r>
            <w:r>
              <w:rPr>
                <w:color w:val="auto"/>
              </w:rPr>
              <w:t>年），本项目</w:t>
            </w:r>
            <w:r>
              <w:rPr>
                <w:rFonts w:hint="eastAsia"/>
                <w:color w:val="auto"/>
              </w:rPr>
              <w:t>不属于淘汰类、限制类、鼓励类，</w:t>
            </w:r>
            <w:r>
              <w:rPr>
                <w:color w:val="auto"/>
              </w:rPr>
              <w:t>属于</w:t>
            </w:r>
            <w:r>
              <w:rPr>
                <w:rFonts w:hint="eastAsia"/>
                <w:color w:val="auto"/>
              </w:rPr>
              <w:t>允许类。</w:t>
            </w:r>
            <w:r>
              <w:rPr>
                <w:color w:val="auto"/>
              </w:rPr>
              <w:t>本项目已在</w:t>
            </w:r>
            <w:r>
              <w:rPr>
                <w:rFonts w:hint="eastAsia"/>
                <w:color w:val="auto"/>
              </w:rPr>
              <w:t>南乐县行政审批和政务信息管理局</w:t>
            </w:r>
            <w:r>
              <w:rPr>
                <w:color w:val="auto"/>
              </w:rPr>
              <w:t>备案（</w:t>
            </w:r>
            <w:r>
              <w:rPr>
                <w:rFonts w:hint="eastAsia"/>
                <w:color w:val="auto"/>
              </w:rPr>
              <w:t>2408-410923-04-01-671066</w:t>
            </w:r>
            <w:r>
              <w:rPr>
                <w:color w:val="auto"/>
              </w:rPr>
              <w:t>）。项目的建设符合国家当前的各相关产业政策。</w:t>
            </w:r>
          </w:p>
          <w:p w14:paraId="3450C85D">
            <w:pPr>
              <w:keepNext w:val="0"/>
              <w:keepLines w:val="0"/>
              <w:pageBreakBefore w:val="0"/>
              <w:widowControl w:val="0"/>
              <w:kinsoku/>
              <w:wordWrap w:val="0"/>
              <w:overflowPunct/>
              <w:topLinePunct w:val="0"/>
              <w:autoSpaceDE/>
              <w:autoSpaceDN/>
              <w:bidi w:val="0"/>
              <w:adjustRightInd/>
              <w:snapToGrid/>
              <w:ind w:firstLine="0" w:firstLineChars="0"/>
              <w:jc w:val="left"/>
              <w:textAlignment w:val="auto"/>
              <w:rPr>
                <w:b/>
                <w:bCs/>
                <w:color w:val="auto"/>
              </w:rPr>
            </w:pPr>
            <w:r>
              <w:rPr>
                <w:rFonts w:hint="eastAsia"/>
                <w:b/>
                <w:bCs/>
                <w:color w:val="auto"/>
              </w:rPr>
              <w:t>二、用地相符性</w:t>
            </w:r>
          </w:p>
          <w:p w14:paraId="575A5895">
            <w:pPr>
              <w:ind w:firstLine="480"/>
              <w:jc w:val="left"/>
              <w:rPr>
                <w:color w:val="auto"/>
              </w:rPr>
            </w:pPr>
            <w:r>
              <w:rPr>
                <w:rFonts w:hint="eastAsia"/>
                <w:color w:val="auto"/>
              </w:rPr>
              <w:t>项目位于濮阳市</w:t>
            </w:r>
            <w:r>
              <w:rPr>
                <w:rFonts w:hint="eastAsia"/>
                <w:color w:val="auto"/>
                <w:lang w:eastAsia="zh-CN"/>
              </w:rPr>
              <w:t>南乐县先进制造业开发区</w:t>
            </w:r>
            <w:r>
              <w:rPr>
                <w:rFonts w:hint="eastAsia"/>
                <w:color w:val="auto"/>
                <w:lang w:val="en-US" w:eastAsia="zh-CN"/>
              </w:rPr>
              <w:t>鸿宇路南侧5号</w:t>
            </w:r>
            <w:r>
              <w:rPr>
                <w:rFonts w:hint="eastAsia"/>
                <w:color w:val="auto"/>
              </w:rPr>
              <w:t>，根据国土资源部、国家发展和改革委员会2012年5月30日发布的“关于发布实施《限制用地项目目录（2012年本）》和《禁止用地项目目录（2012年本）》的通知”中规定，项目不属于目录中的建设项目，不属于该文件中限批或禁批的范围，符合国家用地要求。本项目用地性质为工业用地，符合南乐县土地利用规划要求。</w:t>
            </w:r>
          </w:p>
          <w:p w14:paraId="3CDA025E">
            <w:pPr>
              <w:keepNext w:val="0"/>
              <w:keepLines w:val="0"/>
              <w:pageBreakBefore w:val="0"/>
              <w:widowControl w:val="0"/>
              <w:kinsoku/>
              <w:wordWrap w:val="0"/>
              <w:overflowPunct/>
              <w:topLinePunct w:val="0"/>
              <w:autoSpaceDE/>
              <w:autoSpaceDN/>
              <w:bidi w:val="0"/>
              <w:adjustRightInd/>
              <w:snapToGrid/>
              <w:ind w:firstLine="0" w:firstLineChars="0"/>
              <w:jc w:val="left"/>
              <w:textAlignment w:val="auto"/>
              <w:rPr>
                <w:b/>
                <w:bCs/>
                <w:color w:val="auto"/>
              </w:rPr>
            </w:pPr>
            <w:r>
              <w:rPr>
                <w:rFonts w:hint="eastAsia"/>
                <w:b/>
                <w:bCs/>
                <w:color w:val="auto"/>
              </w:rPr>
              <w:t>三、规划选址相符性分析</w:t>
            </w:r>
          </w:p>
          <w:p w14:paraId="5D141BC3">
            <w:pPr>
              <w:ind w:firstLine="480"/>
              <w:jc w:val="left"/>
              <w:rPr>
                <w:color w:val="auto"/>
              </w:rPr>
            </w:pPr>
            <w:r>
              <w:rPr>
                <w:rFonts w:hint="eastAsia"/>
                <w:color w:val="auto"/>
              </w:rPr>
              <w:t>本项目属C</w:t>
            </w:r>
            <w:r>
              <w:rPr>
                <w:rFonts w:hint="eastAsia"/>
                <w:color w:val="auto"/>
                <w:lang w:val="en-US" w:eastAsia="zh-CN"/>
              </w:rPr>
              <w:t>2730中药饮片加工、C2740中成药生产</w:t>
            </w:r>
            <w:r>
              <w:rPr>
                <w:rFonts w:hint="eastAsia"/>
                <w:color w:val="auto"/>
              </w:rPr>
              <w:t>，位于</w:t>
            </w:r>
            <w:r>
              <w:rPr>
                <w:rFonts w:hint="eastAsia"/>
                <w:color w:val="auto"/>
                <w:lang w:eastAsia="zh-CN"/>
              </w:rPr>
              <w:t>南乐县先进制造业开发区</w:t>
            </w:r>
            <w:r>
              <w:rPr>
                <w:rFonts w:hint="eastAsia"/>
                <w:color w:val="auto"/>
                <w:lang w:val="en-US" w:eastAsia="zh-CN"/>
              </w:rPr>
              <w:t>装备制造产业区；</w:t>
            </w:r>
            <w:r>
              <w:rPr>
                <w:rFonts w:hint="eastAsia"/>
                <w:color w:val="auto"/>
              </w:rPr>
              <w:t>废水处理满足南乐县污水处理厂收水水质标准</w:t>
            </w:r>
            <w:r>
              <w:rPr>
                <w:rFonts w:hint="eastAsia"/>
                <w:color w:val="auto"/>
                <w:lang w:eastAsia="zh-CN"/>
              </w:rPr>
              <w:t>；</w:t>
            </w:r>
            <w:r>
              <w:rPr>
                <w:rFonts w:hint="eastAsia"/>
                <w:color w:val="auto"/>
                <w:lang w:val="en-US" w:eastAsia="zh-CN"/>
              </w:rPr>
              <w:t>与南乐县先进制造业开发区环境准入条件不冲突</w:t>
            </w:r>
            <w:r>
              <w:rPr>
                <w:rFonts w:hint="eastAsia"/>
                <w:color w:val="auto"/>
              </w:rPr>
              <w:t>，符合</w:t>
            </w:r>
            <w:r>
              <w:rPr>
                <w:rFonts w:hint="eastAsia"/>
                <w:color w:val="auto"/>
                <w:lang w:eastAsia="zh-CN"/>
              </w:rPr>
              <w:t>南乐县先进制造业开发区</w:t>
            </w:r>
            <w:r>
              <w:rPr>
                <w:rFonts w:hint="eastAsia"/>
                <w:color w:val="auto"/>
              </w:rPr>
              <w:t>规划。</w:t>
            </w:r>
          </w:p>
          <w:p w14:paraId="45C72FFE">
            <w:pPr>
              <w:keepNext w:val="0"/>
              <w:keepLines w:val="0"/>
              <w:pageBreakBefore w:val="0"/>
              <w:widowControl w:val="0"/>
              <w:kinsoku/>
              <w:wordWrap w:val="0"/>
              <w:overflowPunct/>
              <w:topLinePunct w:val="0"/>
              <w:autoSpaceDE/>
              <w:autoSpaceDN/>
              <w:bidi w:val="0"/>
              <w:adjustRightInd/>
              <w:snapToGrid/>
              <w:ind w:firstLine="0" w:firstLineChars="0"/>
              <w:jc w:val="left"/>
              <w:textAlignment w:val="auto"/>
              <w:rPr>
                <w:b/>
                <w:bCs/>
                <w:color w:val="auto"/>
              </w:rPr>
            </w:pPr>
            <w:r>
              <w:rPr>
                <w:rFonts w:hint="eastAsia"/>
                <w:b/>
                <w:bCs/>
                <w:color w:val="auto"/>
              </w:rPr>
              <w:t>四、生态环境准入清单的相符性</w:t>
            </w:r>
          </w:p>
          <w:p w14:paraId="6A1FBFF9">
            <w:pPr>
              <w:keepNext w:val="0"/>
              <w:keepLines w:val="0"/>
              <w:pageBreakBefore w:val="0"/>
              <w:widowControl w:val="0"/>
              <w:kinsoku/>
              <w:wordWrap w:val="0"/>
              <w:overflowPunct/>
              <w:topLinePunct w:val="0"/>
              <w:autoSpaceDE/>
              <w:autoSpaceDN/>
              <w:bidi w:val="0"/>
              <w:adjustRightInd/>
              <w:snapToGrid/>
              <w:ind w:firstLine="0" w:firstLineChars="0"/>
              <w:jc w:val="left"/>
              <w:textAlignment w:val="auto"/>
              <w:rPr>
                <w:b/>
                <w:bCs/>
                <w:color w:val="auto"/>
              </w:rPr>
            </w:pPr>
            <w:r>
              <w:rPr>
                <w:rFonts w:hint="eastAsia"/>
                <w:b/>
                <w:bCs/>
                <w:color w:val="auto"/>
              </w:rPr>
              <w:t>1</w:t>
            </w:r>
            <w:r>
              <w:rPr>
                <w:b/>
                <w:bCs/>
                <w:color w:val="auto"/>
              </w:rPr>
              <w:t>.生态保护红线</w:t>
            </w:r>
          </w:p>
          <w:p w14:paraId="623E4315">
            <w:pPr>
              <w:ind w:firstLine="480"/>
              <w:rPr>
                <w:color w:val="auto"/>
              </w:rPr>
            </w:pPr>
            <w:r>
              <w:rPr>
                <w:color w:val="auto"/>
              </w:rPr>
              <w:t>根据《河南省生态环境准入清单》中河南省生态空间总体管控要求，生态保护红线总体要求如下：除国家重大战略项目外，仅允许对生态功能不造成破坏的有限人为活动，主要包括：零星的原住民在不扩大现有建设用地和耕地规模前提下，修缮生产生活设施，保留生活必需的少量种植、放牧、捕捞、养殖；因国家重大能源资源安全需要开展的战略性能源资源勘查，公益性自然资源调查和地质勘查；自然资源、生态环境监测和执法包括水文水资源监测及涉水违法事件的查处等，灾害防治和应急抢险活动；经依法批准进行的非破坏性科学研究观测、标本采集；经依法批准的考古调查发掘和文物保护活动；不破坏生态功能的适度参观旅游和相关的必要公共设施建设；必须且无法避让、符合县级以上国土空间规划的线性基础设施建设、防洪和供水设施建设与运行维护；重要生态修复工程。</w:t>
            </w:r>
          </w:p>
          <w:p w14:paraId="7E6F7CAB">
            <w:pPr>
              <w:ind w:firstLine="480"/>
              <w:rPr>
                <w:color w:val="auto"/>
              </w:rPr>
            </w:pPr>
            <w:r>
              <w:rPr>
                <w:color w:val="auto"/>
              </w:rPr>
              <w:t>本项目位于</w:t>
            </w:r>
            <w:r>
              <w:rPr>
                <w:rFonts w:hint="eastAsia"/>
                <w:color w:val="auto"/>
              </w:rPr>
              <w:t>濮阳市</w:t>
            </w:r>
            <w:r>
              <w:rPr>
                <w:rFonts w:hint="eastAsia"/>
                <w:color w:val="auto"/>
                <w:lang w:eastAsia="zh-CN"/>
              </w:rPr>
              <w:t>南乐县先进制造业开发区</w:t>
            </w:r>
            <w:r>
              <w:rPr>
                <w:rFonts w:hint="eastAsia"/>
                <w:color w:val="auto"/>
                <w:lang w:val="en-US" w:eastAsia="zh-CN"/>
              </w:rPr>
              <w:t>鸿宇路南侧5号</w:t>
            </w:r>
            <w:r>
              <w:rPr>
                <w:color w:val="auto"/>
              </w:rPr>
              <w:t>，用地性质为</w:t>
            </w:r>
            <w:r>
              <w:rPr>
                <w:rFonts w:hint="eastAsia"/>
                <w:color w:val="auto"/>
              </w:rPr>
              <w:t>工业</w:t>
            </w:r>
            <w:r>
              <w:rPr>
                <w:color w:val="auto"/>
              </w:rPr>
              <w:t>用地，项目选址不涉及自然保护区、风景名胜区、森林公园、饮用水源保护区等，不在生态保护红线范围内。</w:t>
            </w:r>
          </w:p>
          <w:p w14:paraId="722053AA">
            <w:pPr>
              <w:keepNext w:val="0"/>
              <w:keepLines w:val="0"/>
              <w:pageBreakBefore w:val="0"/>
              <w:widowControl w:val="0"/>
              <w:kinsoku/>
              <w:wordWrap w:val="0"/>
              <w:overflowPunct/>
              <w:topLinePunct w:val="0"/>
              <w:autoSpaceDE/>
              <w:autoSpaceDN/>
              <w:bidi w:val="0"/>
              <w:adjustRightInd/>
              <w:snapToGrid/>
              <w:ind w:firstLine="0" w:firstLineChars="0"/>
              <w:textAlignment w:val="auto"/>
              <w:rPr>
                <w:b/>
                <w:bCs/>
                <w:color w:val="auto"/>
              </w:rPr>
            </w:pPr>
            <w:r>
              <w:rPr>
                <w:rFonts w:hint="eastAsia"/>
                <w:b/>
                <w:bCs/>
                <w:color w:val="auto"/>
              </w:rPr>
              <w:t>2</w:t>
            </w:r>
            <w:r>
              <w:rPr>
                <w:b/>
                <w:bCs/>
                <w:color w:val="auto"/>
              </w:rPr>
              <w:t>.资源利用上线</w:t>
            </w:r>
          </w:p>
          <w:p w14:paraId="771292C3">
            <w:pPr>
              <w:ind w:firstLine="480"/>
              <w:rPr>
                <w:color w:val="auto"/>
              </w:rPr>
            </w:pPr>
            <w:r>
              <w:rPr>
                <w:rFonts w:hint="eastAsia"/>
                <w:color w:val="auto"/>
              </w:rPr>
              <w:t>本项目运营消耗资源主要为电、水，项目耗电量和消耗水量相对区域资源利用总量较少，符合资源利用上限要求。项目用电由当地电网供给，不会达到供电量使用上线；项目土地利用不会突破区域土地资源上线。</w:t>
            </w:r>
          </w:p>
          <w:p w14:paraId="31983F28">
            <w:pPr>
              <w:keepNext w:val="0"/>
              <w:keepLines w:val="0"/>
              <w:pageBreakBefore w:val="0"/>
              <w:widowControl w:val="0"/>
              <w:kinsoku/>
              <w:wordWrap w:val="0"/>
              <w:overflowPunct/>
              <w:topLinePunct w:val="0"/>
              <w:autoSpaceDE/>
              <w:autoSpaceDN/>
              <w:bidi w:val="0"/>
              <w:adjustRightInd/>
              <w:snapToGrid/>
              <w:ind w:firstLine="0" w:firstLineChars="0"/>
              <w:jc w:val="left"/>
              <w:textAlignment w:val="auto"/>
              <w:rPr>
                <w:b/>
                <w:bCs/>
                <w:color w:val="auto"/>
              </w:rPr>
            </w:pPr>
            <w:r>
              <w:rPr>
                <w:rFonts w:hint="eastAsia"/>
                <w:b/>
                <w:bCs/>
                <w:color w:val="auto"/>
              </w:rPr>
              <w:t>3</w:t>
            </w:r>
            <w:r>
              <w:rPr>
                <w:b/>
                <w:bCs/>
                <w:color w:val="auto"/>
              </w:rPr>
              <w:t>.环境质量底线</w:t>
            </w:r>
          </w:p>
          <w:p w14:paraId="493E93EE">
            <w:pPr>
              <w:ind w:firstLine="480"/>
              <w:rPr>
                <w:color w:val="auto"/>
              </w:rPr>
            </w:pPr>
            <w:r>
              <w:rPr>
                <w:rFonts w:hint="eastAsia"/>
                <w:color w:val="auto"/>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p w14:paraId="7BD5A5A2">
            <w:pPr>
              <w:ind w:firstLine="480"/>
              <w:rPr>
                <w:color w:val="auto"/>
              </w:rPr>
            </w:pPr>
            <w:r>
              <w:rPr>
                <w:color w:val="auto"/>
              </w:rPr>
              <w:t>本项目污染物排放经各项环保措施处理后，对周边环境的影响在可接受范围之内，不会改变当地的环境功能。</w:t>
            </w:r>
          </w:p>
          <w:p w14:paraId="7998BB43">
            <w:pPr>
              <w:keepNext w:val="0"/>
              <w:keepLines w:val="0"/>
              <w:pageBreakBefore w:val="0"/>
              <w:widowControl w:val="0"/>
              <w:kinsoku/>
              <w:wordWrap w:val="0"/>
              <w:overflowPunct/>
              <w:topLinePunct w:val="0"/>
              <w:autoSpaceDE/>
              <w:autoSpaceDN/>
              <w:bidi w:val="0"/>
              <w:adjustRightInd/>
              <w:snapToGrid/>
              <w:ind w:firstLine="0" w:firstLineChars="0"/>
              <w:jc w:val="left"/>
              <w:textAlignment w:val="auto"/>
              <w:rPr>
                <w:b/>
                <w:bCs/>
                <w:color w:val="auto"/>
              </w:rPr>
            </w:pPr>
            <w:r>
              <w:rPr>
                <w:rFonts w:hint="eastAsia"/>
                <w:b/>
                <w:bCs/>
                <w:color w:val="auto"/>
              </w:rPr>
              <w:t>4</w:t>
            </w:r>
            <w:r>
              <w:rPr>
                <w:b/>
                <w:bCs/>
                <w:color w:val="auto"/>
              </w:rPr>
              <w:t>.</w:t>
            </w:r>
            <w:r>
              <w:rPr>
                <w:rFonts w:hint="eastAsia"/>
                <w:b/>
                <w:bCs/>
                <w:color w:val="auto"/>
              </w:rPr>
              <w:t>与《河南省生态环境准入清单》相符性分析</w:t>
            </w:r>
          </w:p>
          <w:p w14:paraId="2F4948C3">
            <w:pPr>
              <w:ind w:firstLine="480"/>
              <w:rPr>
                <w:color w:val="auto"/>
                <w:u w:val="none"/>
              </w:rPr>
            </w:pPr>
            <w:r>
              <w:rPr>
                <w:rFonts w:hint="eastAsia"/>
                <w:color w:val="auto"/>
                <w:u w:val="none"/>
              </w:rPr>
              <w:t>经查询河南省三线一单综合信息应用平台（http://222.143.64.178:5001/publicService/），根据管控单元压占分析，项目建设区域涉及6个生态环境管控单元，其中优先保护单元0个，重点管控单元5个，一般管控单元1个、水源地0个。经研判，初步判定该项目无空间冲突。</w:t>
            </w:r>
          </w:p>
          <w:p w14:paraId="5A242CA3">
            <w:pPr>
              <w:ind w:firstLine="482"/>
              <w:rPr>
                <w:b/>
                <w:bCs/>
                <w:color w:val="auto"/>
                <w:u w:val="none"/>
              </w:rPr>
            </w:pPr>
            <w:r>
              <w:rPr>
                <w:rFonts w:hint="eastAsia"/>
                <w:b/>
                <w:bCs/>
                <w:color w:val="auto"/>
                <w:u w:val="none"/>
              </w:rPr>
              <w:t>（1）环境管控单元分析</w:t>
            </w:r>
          </w:p>
          <w:p w14:paraId="6D93221E">
            <w:pPr>
              <w:ind w:firstLine="480"/>
              <w:rPr>
                <w:color w:val="auto"/>
                <w:u w:val="none"/>
              </w:rPr>
            </w:pPr>
            <w:r>
              <w:rPr>
                <w:rFonts w:hint="eastAsia"/>
                <w:color w:val="auto"/>
                <w:u w:val="none"/>
              </w:rPr>
              <w:t>经比对，项目涉及1个河南省环境管控单元，其中优先保护单元0个，重点管控单元1个（南乐县先进制造业开发区，环境管控单元编码：ZH41092320001），一般管控单元0个。</w:t>
            </w:r>
          </w:p>
          <w:p w14:paraId="0B8372E5">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与</w:t>
            </w:r>
            <w:r>
              <w:rPr>
                <w:rFonts w:hint="eastAsia" w:ascii="Times New Roman" w:hAnsi="Times New Roman" w:eastAsia="宋体" w:cs="Times New Roman"/>
                <w:b/>
                <w:bCs/>
                <w:color w:val="000000" w:themeColor="text1"/>
                <w:sz w:val="21"/>
                <w:szCs w:val="21"/>
                <w14:textFill>
                  <w14:solidFill>
                    <w14:schemeClr w14:val="tx1"/>
                  </w14:solidFill>
                </w14:textFill>
              </w:rPr>
              <w:t>涉及河南省环境管控单元</w:t>
            </w:r>
            <w:r>
              <w:rPr>
                <w:rFonts w:hint="default" w:ascii="Times New Roman" w:hAnsi="Times New Roman" w:eastAsia="宋体" w:cs="Times New Roman"/>
                <w:b/>
                <w:bCs/>
                <w:color w:val="000000" w:themeColor="text1"/>
                <w:sz w:val="21"/>
                <w:szCs w:val="21"/>
                <w14:textFill>
                  <w14:solidFill>
                    <w14:schemeClr w14:val="tx1"/>
                  </w14:solidFill>
                </w14:textFill>
              </w:rPr>
              <w:t>相符性分析</w:t>
            </w:r>
          </w:p>
          <w:tbl>
            <w:tblPr>
              <w:tblStyle w:val="20"/>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14"/>
              <w:gridCol w:w="4616"/>
              <w:gridCol w:w="2035"/>
              <w:gridCol w:w="818"/>
            </w:tblGrid>
            <w:tr w14:paraId="23769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2" w:type="pct"/>
                  <w:vAlign w:val="center"/>
                </w:tcPr>
                <w:p w14:paraId="04497423">
                  <w:pPr>
                    <w:spacing w:line="240" w:lineRule="auto"/>
                    <w:ind w:firstLine="0" w:firstLineChars="0"/>
                    <w:jc w:val="center"/>
                    <w:rPr>
                      <w:color w:val="auto"/>
                      <w:sz w:val="21"/>
                      <w:szCs w:val="21"/>
                      <w:u w:val="none"/>
                    </w:rPr>
                  </w:pPr>
                  <w:r>
                    <w:rPr>
                      <w:rFonts w:hint="eastAsia"/>
                      <w:color w:val="auto"/>
                      <w:sz w:val="21"/>
                      <w:szCs w:val="21"/>
                      <w:u w:val="none"/>
                    </w:rPr>
                    <w:t>维度</w:t>
                  </w:r>
                </w:p>
              </w:tc>
              <w:tc>
                <w:tcPr>
                  <w:tcW w:w="2890" w:type="pct"/>
                  <w:vAlign w:val="center"/>
                </w:tcPr>
                <w:p w14:paraId="4C9813CE">
                  <w:pPr>
                    <w:spacing w:line="240" w:lineRule="auto"/>
                    <w:ind w:firstLine="0" w:firstLineChars="0"/>
                    <w:jc w:val="center"/>
                    <w:rPr>
                      <w:color w:val="auto"/>
                      <w:sz w:val="21"/>
                      <w:szCs w:val="21"/>
                      <w:u w:val="none"/>
                    </w:rPr>
                  </w:pPr>
                  <w:r>
                    <w:rPr>
                      <w:rFonts w:hint="eastAsia"/>
                      <w:color w:val="auto"/>
                      <w:sz w:val="21"/>
                      <w:szCs w:val="21"/>
                      <w:u w:val="none"/>
                    </w:rPr>
                    <w:t>单元管控要求</w:t>
                  </w:r>
                </w:p>
              </w:tc>
              <w:tc>
                <w:tcPr>
                  <w:tcW w:w="1274" w:type="pct"/>
                  <w:vAlign w:val="center"/>
                </w:tcPr>
                <w:p w14:paraId="17F6D519">
                  <w:pPr>
                    <w:spacing w:line="240" w:lineRule="auto"/>
                    <w:ind w:firstLine="0" w:firstLineChars="0"/>
                    <w:jc w:val="center"/>
                    <w:rPr>
                      <w:color w:val="auto"/>
                      <w:sz w:val="21"/>
                      <w:szCs w:val="21"/>
                      <w:u w:val="none"/>
                    </w:rPr>
                  </w:pPr>
                  <w:r>
                    <w:rPr>
                      <w:rFonts w:hint="eastAsia"/>
                      <w:color w:val="auto"/>
                      <w:sz w:val="21"/>
                      <w:szCs w:val="21"/>
                      <w:u w:val="none"/>
                    </w:rPr>
                    <w:t>本项目</w:t>
                  </w:r>
                </w:p>
              </w:tc>
              <w:tc>
                <w:tcPr>
                  <w:tcW w:w="512" w:type="pct"/>
                  <w:vAlign w:val="center"/>
                </w:tcPr>
                <w:p w14:paraId="6770D8F6">
                  <w:pPr>
                    <w:spacing w:line="240" w:lineRule="auto"/>
                    <w:ind w:firstLine="0" w:firstLineChars="0"/>
                    <w:jc w:val="center"/>
                    <w:rPr>
                      <w:color w:val="auto"/>
                      <w:sz w:val="21"/>
                      <w:szCs w:val="21"/>
                      <w:u w:val="none"/>
                    </w:rPr>
                  </w:pPr>
                  <w:r>
                    <w:rPr>
                      <w:rFonts w:hint="eastAsia"/>
                      <w:color w:val="auto"/>
                      <w:sz w:val="21"/>
                      <w:szCs w:val="21"/>
                      <w:u w:val="none"/>
                    </w:rPr>
                    <w:t>相符性</w:t>
                  </w:r>
                </w:p>
              </w:tc>
            </w:tr>
            <w:tr w14:paraId="19A5F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2" w:type="pct"/>
                  <w:vMerge w:val="restart"/>
                  <w:vAlign w:val="center"/>
                </w:tcPr>
                <w:p w14:paraId="34799A65">
                  <w:pPr>
                    <w:spacing w:line="240" w:lineRule="auto"/>
                    <w:ind w:firstLine="0" w:firstLineChars="0"/>
                    <w:jc w:val="center"/>
                    <w:rPr>
                      <w:color w:val="auto"/>
                      <w:sz w:val="21"/>
                      <w:szCs w:val="21"/>
                      <w:u w:val="none"/>
                    </w:rPr>
                  </w:pPr>
                  <w:r>
                    <w:rPr>
                      <w:rFonts w:hint="eastAsia"/>
                      <w:color w:val="auto"/>
                      <w:sz w:val="21"/>
                      <w:szCs w:val="21"/>
                      <w:u w:val="none"/>
                    </w:rPr>
                    <w:t>空间布局约束</w:t>
                  </w:r>
                </w:p>
              </w:tc>
              <w:tc>
                <w:tcPr>
                  <w:tcW w:w="2890" w:type="pct"/>
                  <w:vAlign w:val="center"/>
                </w:tcPr>
                <w:p w14:paraId="4E4A5A1E">
                  <w:pPr>
                    <w:spacing w:line="240" w:lineRule="auto"/>
                    <w:ind w:firstLine="0" w:firstLineChars="0"/>
                    <w:rPr>
                      <w:color w:val="auto"/>
                      <w:sz w:val="21"/>
                      <w:szCs w:val="21"/>
                      <w:u w:val="none"/>
                    </w:rPr>
                  </w:pPr>
                  <w:r>
                    <w:rPr>
                      <w:rFonts w:hint="eastAsia"/>
                      <w:color w:val="auto"/>
                      <w:sz w:val="21"/>
                      <w:szCs w:val="21"/>
                      <w:u w:val="none"/>
                    </w:rPr>
                    <w:t>1、入驻项目应符合园区规划或规划环评的要求。在居民安置区的上风向区域禁止入驻大气污染较为严重的工业企业；东环路两侧的二类工业用地禁止入驻以大气污染为主的工业项目；禁止发展煤化工、冶金、钢铁、铁合金等单纯新建和单纯扩大产能的项目。</w:t>
                  </w:r>
                </w:p>
              </w:tc>
              <w:tc>
                <w:tcPr>
                  <w:tcW w:w="1274" w:type="pct"/>
                  <w:vAlign w:val="center"/>
                </w:tcPr>
                <w:p w14:paraId="7B2F011B">
                  <w:pPr>
                    <w:spacing w:line="240" w:lineRule="auto"/>
                    <w:ind w:firstLine="0" w:firstLineChars="0"/>
                    <w:rPr>
                      <w:color w:val="auto"/>
                      <w:sz w:val="21"/>
                      <w:szCs w:val="21"/>
                      <w:u w:val="none"/>
                    </w:rPr>
                  </w:pPr>
                  <w:r>
                    <w:rPr>
                      <w:rFonts w:hint="eastAsia"/>
                      <w:color w:val="auto"/>
                      <w:sz w:val="21"/>
                      <w:szCs w:val="21"/>
                      <w:u w:val="none"/>
                    </w:rPr>
                    <w:t>项目符合园区规划。不属于禁止类行业。</w:t>
                  </w:r>
                </w:p>
              </w:tc>
              <w:tc>
                <w:tcPr>
                  <w:tcW w:w="512" w:type="pct"/>
                  <w:vAlign w:val="center"/>
                </w:tcPr>
                <w:p w14:paraId="1AEAA3DE">
                  <w:pPr>
                    <w:spacing w:line="240" w:lineRule="auto"/>
                    <w:ind w:firstLine="0" w:firstLineChars="0"/>
                    <w:jc w:val="center"/>
                    <w:rPr>
                      <w:color w:val="auto"/>
                      <w:sz w:val="21"/>
                      <w:szCs w:val="21"/>
                      <w:u w:val="none"/>
                    </w:rPr>
                  </w:pPr>
                  <w:r>
                    <w:rPr>
                      <w:rFonts w:hint="eastAsia"/>
                      <w:color w:val="auto"/>
                      <w:sz w:val="21"/>
                      <w:szCs w:val="21"/>
                      <w:u w:val="none"/>
                    </w:rPr>
                    <w:t>相符</w:t>
                  </w:r>
                </w:p>
              </w:tc>
            </w:tr>
            <w:tr w14:paraId="40131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2" w:type="pct"/>
                  <w:vMerge w:val="continue"/>
                  <w:vAlign w:val="center"/>
                </w:tcPr>
                <w:p w14:paraId="3E86C45B">
                  <w:pPr>
                    <w:spacing w:line="240" w:lineRule="auto"/>
                    <w:ind w:firstLine="0" w:firstLineChars="0"/>
                    <w:jc w:val="center"/>
                    <w:rPr>
                      <w:color w:val="auto"/>
                      <w:sz w:val="21"/>
                      <w:szCs w:val="21"/>
                      <w:u w:val="none"/>
                    </w:rPr>
                  </w:pPr>
                </w:p>
              </w:tc>
              <w:tc>
                <w:tcPr>
                  <w:tcW w:w="2890" w:type="pct"/>
                  <w:vAlign w:val="center"/>
                </w:tcPr>
                <w:p w14:paraId="67C49D93">
                  <w:pPr>
                    <w:spacing w:line="240" w:lineRule="auto"/>
                    <w:ind w:firstLine="0" w:firstLineChars="0"/>
                    <w:rPr>
                      <w:color w:val="auto"/>
                      <w:sz w:val="21"/>
                      <w:szCs w:val="21"/>
                      <w:u w:val="none"/>
                    </w:rPr>
                  </w:pPr>
                  <w:r>
                    <w:rPr>
                      <w:rFonts w:hint="eastAsia"/>
                      <w:color w:val="auto"/>
                      <w:sz w:val="21"/>
                      <w:szCs w:val="21"/>
                      <w:u w:val="none"/>
                    </w:rPr>
                    <w:t>2、控制入驻高耗水、高排水建设项目和污水处理后达不到集中污水处理厂收水水质标准的建设项目。</w:t>
                  </w:r>
                </w:p>
              </w:tc>
              <w:tc>
                <w:tcPr>
                  <w:tcW w:w="1274" w:type="pct"/>
                  <w:vAlign w:val="center"/>
                </w:tcPr>
                <w:p w14:paraId="55B5C592">
                  <w:pPr>
                    <w:spacing w:line="240" w:lineRule="auto"/>
                    <w:ind w:firstLine="0" w:firstLineChars="0"/>
                    <w:rPr>
                      <w:color w:val="auto"/>
                      <w:sz w:val="21"/>
                      <w:szCs w:val="21"/>
                      <w:u w:val="none"/>
                    </w:rPr>
                  </w:pPr>
                  <w:r>
                    <w:rPr>
                      <w:rFonts w:hint="eastAsia"/>
                      <w:color w:val="auto"/>
                      <w:sz w:val="21"/>
                      <w:szCs w:val="21"/>
                      <w:u w:val="none"/>
                    </w:rPr>
                    <w:t>项目废水经厂内污水处理站处理后经管网排入南乐县污水处理厂进一步处理。</w:t>
                  </w:r>
                </w:p>
              </w:tc>
              <w:tc>
                <w:tcPr>
                  <w:tcW w:w="512" w:type="pct"/>
                  <w:vAlign w:val="center"/>
                </w:tcPr>
                <w:p w14:paraId="01695598">
                  <w:pPr>
                    <w:spacing w:line="240" w:lineRule="auto"/>
                    <w:ind w:firstLine="0" w:firstLineChars="0"/>
                    <w:jc w:val="center"/>
                    <w:rPr>
                      <w:color w:val="auto"/>
                      <w:sz w:val="21"/>
                      <w:szCs w:val="21"/>
                      <w:u w:val="none"/>
                    </w:rPr>
                  </w:pPr>
                  <w:r>
                    <w:rPr>
                      <w:rFonts w:hint="eastAsia"/>
                      <w:color w:val="auto"/>
                      <w:sz w:val="21"/>
                      <w:szCs w:val="21"/>
                      <w:u w:val="none"/>
                    </w:rPr>
                    <w:t>相符</w:t>
                  </w:r>
                </w:p>
              </w:tc>
            </w:tr>
            <w:tr w14:paraId="0C82D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2" w:type="pct"/>
                  <w:vMerge w:val="restart"/>
                  <w:vAlign w:val="center"/>
                </w:tcPr>
                <w:p w14:paraId="50040D09">
                  <w:pPr>
                    <w:spacing w:line="240" w:lineRule="auto"/>
                    <w:ind w:firstLine="0" w:firstLineChars="0"/>
                    <w:jc w:val="center"/>
                    <w:rPr>
                      <w:color w:val="auto"/>
                      <w:sz w:val="21"/>
                      <w:szCs w:val="21"/>
                      <w:u w:val="none"/>
                    </w:rPr>
                  </w:pPr>
                  <w:r>
                    <w:rPr>
                      <w:rFonts w:hint="eastAsia"/>
                      <w:color w:val="auto"/>
                      <w:sz w:val="21"/>
                      <w:szCs w:val="21"/>
                      <w:u w:val="none"/>
                    </w:rPr>
                    <w:t>污染物排放管控</w:t>
                  </w:r>
                </w:p>
              </w:tc>
              <w:tc>
                <w:tcPr>
                  <w:tcW w:w="2890" w:type="pct"/>
                  <w:vAlign w:val="center"/>
                </w:tcPr>
                <w:p w14:paraId="32D3A1D4">
                  <w:pPr>
                    <w:spacing w:line="240" w:lineRule="auto"/>
                    <w:ind w:firstLine="0" w:firstLineChars="0"/>
                    <w:jc w:val="left"/>
                    <w:rPr>
                      <w:color w:val="auto"/>
                      <w:sz w:val="21"/>
                      <w:szCs w:val="21"/>
                      <w:u w:val="none"/>
                    </w:rPr>
                  </w:pPr>
                  <w:r>
                    <w:rPr>
                      <w:rFonts w:hint="eastAsia"/>
                      <w:color w:val="auto"/>
                      <w:sz w:val="21"/>
                      <w:szCs w:val="21"/>
                      <w:u w:val="none"/>
                    </w:rPr>
                    <w:t>1、大气：优化产业结构，严格控制入区项目的引入条件；入区企业要严格执行“三同时”制度，优化工艺流程，推行清洁生产，对污染物排放进行全过程控制。</w:t>
                  </w:r>
                </w:p>
              </w:tc>
              <w:tc>
                <w:tcPr>
                  <w:tcW w:w="1274" w:type="pct"/>
                  <w:vAlign w:val="center"/>
                </w:tcPr>
                <w:p w14:paraId="33185F45">
                  <w:pPr>
                    <w:spacing w:line="240" w:lineRule="auto"/>
                    <w:ind w:firstLine="0" w:firstLineChars="0"/>
                    <w:jc w:val="center"/>
                    <w:rPr>
                      <w:color w:val="auto"/>
                      <w:sz w:val="21"/>
                      <w:szCs w:val="21"/>
                      <w:u w:val="none"/>
                    </w:rPr>
                  </w:pPr>
                  <w:r>
                    <w:rPr>
                      <w:rFonts w:hint="eastAsia"/>
                      <w:color w:val="auto"/>
                      <w:sz w:val="21"/>
                      <w:szCs w:val="21"/>
                      <w:u w:val="none"/>
                    </w:rPr>
                    <w:t>项目严格执行“三同时”制度。</w:t>
                  </w:r>
                </w:p>
              </w:tc>
              <w:tc>
                <w:tcPr>
                  <w:tcW w:w="512" w:type="pct"/>
                  <w:vAlign w:val="center"/>
                </w:tcPr>
                <w:p w14:paraId="7B1402A5">
                  <w:pPr>
                    <w:spacing w:line="240" w:lineRule="auto"/>
                    <w:ind w:firstLine="0" w:firstLineChars="0"/>
                    <w:jc w:val="center"/>
                    <w:rPr>
                      <w:color w:val="auto"/>
                      <w:sz w:val="21"/>
                      <w:szCs w:val="21"/>
                      <w:u w:val="none"/>
                    </w:rPr>
                  </w:pPr>
                  <w:r>
                    <w:rPr>
                      <w:rFonts w:hint="eastAsia"/>
                      <w:color w:val="auto"/>
                      <w:sz w:val="21"/>
                      <w:szCs w:val="21"/>
                      <w:u w:val="none"/>
                    </w:rPr>
                    <w:t>相符</w:t>
                  </w:r>
                </w:p>
              </w:tc>
            </w:tr>
            <w:tr w14:paraId="4F362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2" w:type="pct"/>
                  <w:vMerge w:val="continue"/>
                  <w:vAlign w:val="center"/>
                </w:tcPr>
                <w:p w14:paraId="74EDDD47">
                  <w:pPr>
                    <w:spacing w:line="240" w:lineRule="auto"/>
                    <w:ind w:firstLine="0" w:firstLineChars="0"/>
                    <w:jc w:val="center"/>
                    <w:rPr>
                      <w:color w:val="auto"/>
                      <w:sz w:val="21"/>
                      <w:szCs w:val="21"/>
                      <w:u w:val="none"/>
                    </w:rPr>
                  </w:pPr>
                </w:p>
              </w:tc>
              <w:tc>
                <w:tcPr>
                  <w:tcW w:w="2890" w:type="pct"/>
                  <w:vAlign w:val="center"/>
                </w:tcPr>
                <w:p w14:paraId="1139B8E9">
                  <w:pPr>
                    <w:spacing w:line="240" w:lineRule="auto"/>
                    <w:ind w:firstLine="0" w:firstLineChars="0"/>
                    <w:jc w:val="left"/>
                    <w:rPr>
                      <w:color w:val="auto"/>
                      <w:sz w:val="21"/>
                      <w:szCs w:val="21"/>
                      <w:u w:val="none"/>
                    </w:rPr>
                  </w:pPr>
                  <w:r>
                    <w:rPr>
                      <w:rFonts w:hint="eastAsia"/>
                      <w:color w:val="auto"/>
                      <w:sz w:val="21"/>
                      <w:szCs w:val="21"/>
                      <w:u w:val="none"/>
                    </w:rPr>
                    <w:t>2、水：严格限制高耗水、高污染的企业入驻园区；沥青、油料、化学物品等要采取防止雨水冲刷和防淋溶措施；采用先进的生产工艺和污染物处理工艺，加大废水回用率，最大限度地减少水污染物的排放。禁止含重金属废水进入城市生活污水处理厂。</w:t>
                  </w:r>
                </w:p>
              </w:tc>
              <w:tc>
                <w:tcPr>
                  <w:tcW w:w="1274" w:type="pct"/>
                  <w:vAlign w:val="center"/>
                </w:tcPr>
                <w:p w14:paraId="52AC3CDD">
                  <w:pPr>
                    <w:spacing w:line="240" w:lineRule="auto"/>
                    <w:ind w:firstLine="0" w:firstLineChars="0"/>
                    <w:jc w:val="center"/>
                    <w:rPr>
                      <w:color w:val="auto"/>
                      <w:sz w:val="21"/>
                      <w:szCs w:val="21"/>
                      <w:u w:val="none"/>
                    </w:rPr>
                  </w:pPr>
                  <w:r>
                    <w:rPr>
                      <w:rFonts w:hint="eastAsia"/>
                      <w:color w:val="auto"/>
                      <w:sz w:val="21"/>
                      <w:szCs w:val="21"/>
                      <w:u w:val="none"/>
                    </w:rPr>
                    <w:t>污水处理站采用“</w:t>
                  </w:r>
                  <w:r>
                    <w:rPr>
                      <w:rFonts w:hint="eastAsia"/>
                      <w:color w:val="auto"/>
                      <w:sz w:val="21"/>
                      <w:szCs w:val="21"/>
                      <w:u w:val="none"/>
                      <w:lang w:val="en-US" w:eastAsia="zh-CN"/>
                    </w:rPr>
                    <w:t>混凝+UASB+生物接触氧化法</w:t>
                  </w:r>
                  <w:r>
                    <w:rPr>
                      <w:rFonts w:hint="eastAsia"/>
                      <w:color w:val="auto"/>
                      <w:sz w:val="21"/>
                      <w:szCs w:val="21"/>
                      <w:u w:val="none"/>
                    </w:rPr>
                    <w:t>”工艺。项目不涉及重金属。</w:t>
                  </w:r>
                </w:p>
              </w:tc>
              <w:tc>
                <w:tcPr>
                  <w:tcW w:w="512" w:type="pct"/>
                  <w:vAlign w:val="center"/>
                </w:tcPr>
                <w:p w14:paraId="27EA7C98">
                  <w:pPr>
                    <w:spacing w:line="240" w:lineRule="auto"/>
                    <w:ind w:firstLine="0" w:firstLineChars="0"/>
                    <w:jc w:val="center"/>
                    <w:rPr>
                      <w:color w:val="auto"/>
                      <w:sz w:val="21"/>
                      <w:szCs w:val="21"/>
                      <w:u w:val="none"/>
                    </w:rPr>
                  </w:pPr>
                  <w:r>
                    <w:rPr>
                      <w:rFonts w:hint="eastAsia"/>
                      <w:color w:val="auto"/>
                      <w:sz w:val="21"/>
                      <w:szCs w:val="21"/>
                      <w:u w:val="none"/>
                    </w:rPr>
                    <w:t>相符</w:t>
                  </w:r>
                </w:p>
              </w:tc>
            </w:tr>
            <w:tr w14:paraId="100E4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2" w:type="pct"/>
                  <w:vMerge w:val="restart"/>
                  <w:vAlign w:val="center"/>
                </w:tcPr>
                <w:p w14:paraId="3A2DC38A">
                  <w:pPr>
                    <w:spacing w:line="240" w:lineRule="auto"/>
                    <w:ind w:firstLine="0" w:firstLineChars="0"/>
                    <w:jc w:val="center"/>
                    <w:rPr>
                      <w:color w:val="auto"/>
                      <w:sz w:val="21"/>
                      <w:szCs w:val="21"/>
                      <w:u w:val="none"/>
                    </w:rPr>
                  </w:pPr>
                  <w:r>
                    <w:rPr>
                      <w:rFonts w:hint="eastAsia"/>
                      <w:color w:val="auto"/>
                      <w:sz w:val="21"/>
                      <w:szCs w:val="21"/>
                      <w:u w:val="none"/>
                    </w:rPr>
                    <w:t>环境风险防控</w:t>
                  </w:r>
                </w:p>
              </w:tc>
              <w:tc>
                <w:tcPr>
                  <w:tcW w:w="2890" w:type="pct"/>
                  <w:vAlign w:val="center"/>
                </w:tcPr>
                <w:p w14:paraId="2AFBF7B4">
                  <w:pPr>
                    <w:spacing w:line="240" w:lineRule="auto"/>
                    <w:ind w:firstLine="0" w:firstLineChars="0"/>
                    <w:jc w:val="left"/>
                    <w:rPr>
                      <w:color w:val="auto"/>
                      <w:sz w:val="21"/>
                      <w:szCs w:val="21"/>
                      <w:u w:val="none"/>
                    </w:rPr>
                  </w:pPr>
                  <w:r>
                    <w:rPr>
                      <w:rFonts w:hint="eastAsia"/>
                      <w:color w:val="auto"/>
                      <w:sz w:val="21"/>
                      <w:szCs w:val="21"/>
                      <w:u w:val="none"/>
                    </w:rPr>
                    <w:t>1、针对区域存在的各类风险源，制订完善的安全管理制度和建立有效的安全防范体系，制订风险事故应急措施或预案。</w:t>
                  </w:r>
                </w:p>
              </w:tc>
              <w:tc>
                <w:tcPr>
                  <w:tcW w:w="1274" w:type="pct"/>
                  <w:vAlign w:val="center"/>
                </w:tcPr>
                <w:p w14:paraId="4B4F15F2">
                  <w:pPr>
                    <w:spacing w:line="240" w:lineRule="auto"/>
                    <w:ind w:firstLine="0" w:firstLineChars="0"/>
                    <w:rPr>
                      <w:color w:val="auto"/>
                      <w:sz w:val="21"/>
                      <w:szCs w:val="21"/>
                      <w:u w:val="none"/>
                    </w:rPr>
                  </w:pPr>
                  <w:r>
                    <w:rPr>
                      <w:rFonts w:hint="eastAsia"/>
                      <w:color w:val="auto"/>
                      <w:sz w:val="21"/>
                      <w:szCs w:val="21"/>
                      <w:u w:val="none"/>
                    </w:rPr>
                    <w:t>项目建成后</w:t>
                  </w:r>
                  <w:r>
                    <w:rPr>
                      <w:rFonts w:hint="eastAsia"/>
                      <w:color w:val="auto"/>
                      <w:sz w:val="21"/>
                      <w:szCs w:val="21"/>
                      <w:u w:val="none"/>
                      <w:lang w:val="en-US" w:eastAsia="zh-CN"/>
                    </w:rPr>
                    <w:t>应编制</w:t>
                  </w:r>
                  <w:r>
                    <w:rPr>
                      <w:rFonts w:hint="eastAsia"/>
                      <w:color w:val="auto"/>
                      <w:sz w:val="21"/>
                      <w:szCs w:val="21"/>
                      <w:u w:val="none"/>
                    </w:rPr>
                    <w:t>应急预案。</w:t>
                  </w:r>
                </w:p>
              </w:tc>
              <w:tc>
                <w:tcPr>
                  <w:tcW w:w="512" w:type="pct"/>
                  <w:vAlign w:val="center"/>
                </w:tcPr>
                <w:p w14:paraId="50FEABC2">
                  <w:pPr>
                    <w:spacing w:line="240" w:lineRule="auto"/>
                    <w:ind w:firstLine="0" w:firstLineChars="0"/>
                    <w:jc w:val="center"/>
                    <w:rPr>
                      <w:color w:val="auto"/>
                      <w:sz w:val="21"/>
                      <w:szCs w:val="21"/>
                      <w:u w:val="none"/>
                    </w:rPr>
                  </w:pPr>
                  <w:r>
                    <w:rPr>
                      <w:rFonts w:hint="eastAsia"/>
                      <w:color w:val="auto"/>
                      <w:sz w:val="21"/>
                      <w:szCs w:val="21"/>
                      <w:u w:val="none"/>
                    </w:rPr>
                    <w:t>相符</w:t>
                  </w:r>
                </w:p>
              </w:tc>
            </w:tr>
            <w:tr w14:paraId="3484C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2" w:type="pct"/>
                  <w:vMerge w:val="continue"/>
                  <w:vAlign w:val="center"/>
                </w:tcPr>
                <w:p w14:paraId="4F3A7DFE">
                  <w:pPr>
                    <w:spacing w:line="240" w:lineRule="auto"/>
                    <w:ind w:firstLine="0" w:firstLineChars="0"/>
                    <w:jc w:val="center"/>
                    <w:rPr>
                      <w:color w:val="auto"/>
                      <w:sz w:val="21"/>
                      <w:szCs w:val="21"/>
                      <w:u w:val="none"/>
                    </w:rPr>
                  </w:pPr>
                </w:p>
              </w:tc>
              <w:tc>
                <w:tcPr>
                  <w:tcW w:w="2890" w:type="pct"/>
                  <w:vAlign w:val="center"/>
                </w:tcPr>
                <w:p w14:paraId="485C7961">
                  <w:pPr>
                    <w:spacing w:line="240" w:lineRule="auto"/>
                    <w:ind w:firstLine="0" w:firstLineChars="0"/>
                    <w:jc w:val="left"/>
                    <w:rPr>
                      <w:color w:val="auto"/>
                      <w:sz w:val="21"/>
                      <w:szCs w:val="21"/>
                      <w:u w:val="none"/>
                    </w:rPr>
                  </w:pPr>
                  <w:r>
                    <w:rPr>
                      <w:rFonts w:hint="eastAsia"/>
                      <w:color w:val="auto"/>
                      <w:sz w:val="21"/>
                      <w:szCs w:val="21"/>
                      <w:u w:val="none"/>
                    </w:rPr>
                    <w:t>2、化工和危险化学品生产、储存、使用等企业在拆除生产设施设备、污染治理设施时，要事先制定企业拆除活动污染防治方案和拆除活动环境应急预案。</w:t>
                  </w:r>
                </w:p>
              </w:tc>
              <w:tc>
                <w:tcPr>
                  <w:tcW w:w="1274" w:type="pct"/>
                  <w:vAlign w:val="center"/>
                </w:tcPr>
                <w:p w14:paraId="6F9B25B7">
                  <w:pPr>
                    <w:spacing w:line="240" w:lineRule="auto"/>
                    <w:ind w:firstLine="0" w:firstLineChars="0"/>
                    <w:jc w:val="center"/>
                    <w:rPr>
                      <w:color w:val="auto"/>
                      <w:sz w:val="21"/>
                      <w:szCs w:val="21"/>
                      <w:u w:val="none"/>
                    </w:rPr>
                  </w:pPr>
                  <w:r>
                    <w:rPr>
                      <w:rFonts w:hint="eastAsia"/>
                      <w:color w:val="auto"/>
                      <w:sz w:val="21"/>
                      <w:szCs w:val="21"/>
                      <w:u w:val="none"/>
                    </w:rPr>
                    <w:t>不涉及。</w:t>
                  </w:r>
                </w:p>
              </w:tc>
              <w:tc>
                <w:tcPr>
                  <w:tcW w:w="512" w:type="pct"/>
                  <w:vAlign w:val="center"/>
                </w:tcPr>
                <w:p w14:paraId="082624D8">
                  <w:pPr>
                    <w:spacing w:line="240" w:lineRule="auto"/>
                    <w:ind w:firstLine="0" w:firstLineChars="0"/>
                    <w:jc w:val="center"/>
                    <w:rPr>
                      <w:color w:val="auto"/>
                      <w:sz w:val="21"/>
                      <w:szCs w:val="21"/>
                      <w:u w:val="none"/>
                    </w:rPr>
                  </w:pPr>
                  <w:r>
                    <w:rPr>
                      <w:rFonts w:hint="eastAsia"/>
                      <w:color w:val="auto"/>
                      <w:sz w:val="21"/>
                      <w:szCs w:val="21"/>
                      <w:u w:val="none"/>
                    </w:rPr>
                    <w:t>相符</w:t>
                  </w:r>
                </w:p>
              </w:tc>
            </w:tr>
            <w:tr w14:paraId="3907F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2" w:type="pct"/>
                  <w:vMerge w:val="continue"/>
                  <w:vAlign w:val="center"/>
                </w:tcPr>
                <w:p w14:paraId="49AA681A">
                  <w:pPr>
                    <w:spacing w:line="240" w:lineRule="auto"/>
                    <w:ind w:firstLine="0" w:firstLineChars="0"/>
                    <w:jc w:val="center"/>
                    <w:rPr>
                      <w:color w:val="auto"/>
                      <w:sz w:val="21"/>
                      <w:szCs w:val="21"/>
                      <w:u w:val="none"/>
                    </w:rPr>
                  </w:pPr>
                </w:p>
              </w:tc>
              <w:tc>
                <w:tcPr>
                  <w:tcW w:w="2890" w:type="pct"/>
                  <w:vAlign w:val="center"/>
                </w:tcPr>
                <w:p w14:paraId="06E47C74">
                  <w:pPr>
                    <w:spacing w:line="240" w:lineRule="auto"/>
                    <w:ind w:firstLine="0" w:firstLineChars="0"/>
                    <w:jc w:val="left"/>
                    <w:rPr>
                      <w:color w:val="auto"/>
                      <w:sz w:val="21"/>
                      <w:szCs w:val="21"/>
                      <w:u w:val="none"/>
                    </w:rPr>
                  </w:pPr>
                  <w:r>
                    <w:rPr>
                      <w:rFonts w:hint="eastAsia"/>
                      <w:color w:val="auto"/>
                      <w:sz w:val="21"/>
                      <w:szCs w:val="21"/>
                      <w:u w:val="none"/>
                    </w:rPr>
                    <w:t>3、充分利用企业用地调查成果和注销、撤销排污许可的信息，考虑行业、生产年限等因素，确定优先监管地块，并按要求采取污染管控措施。</w:t>
                  </w:r>
                </w:p>
              </w:tc>
              <w:tc>
                <w:tcPr>
                  <w:tcW w:w="1274" w:type="pct"/>
                  <w:vAlign w:val="center"/>
                </w:tcPr>
                <w:p w14:paraId="588B2C55">
                  <w:pPr>
                    <w:spacing w:line="240" w:lineRule="auto"/>
                    <w:ind w:firstLine="0" w:firstLineChars="0"/>
                    <w:jc w:val="center"/>
                    <w:rPr>
                      <w:color w:val="auto"/>
                      <w:sz w:val="21"/>
                      <w:szCs w:val="21"/>
                      <w:u w:val="none"/>
                    </w:rPr>
                  </w:pPr>
                  <w:r>
                    <w:rPr>
                      <w:rFonts w:hint="eastAsia"/>
                      <w:color w:val="auto"/>
                      <w:sz w:val="21"/>
                      <w:szCs w:val="21"/>
                      <w:u w:val="none"/>
                    </w:rPr>
                    <w:t>不涉及。</w:t>
                  </w:r>
                </w:p>
              </w:tc>
              <w:tc>
                <w:tcPr>
                  <w:tcW w:w="512" w:type="pct"/>
                  <w:vAlign w:val="center"/>
                </w:tcPr>
                <w:p w14:paraId="0CC1AF4D">
                  <w:pPr>
                    <w:spacing w:line="240" w:lineRule="auto"/>
                    <w:ind w:firstLine="0" w:firstLineChars="0"/>
                    <w:jc w:val="center"/>
                    <w:rPr>
                      <w:color w:val="auto"/>
                      <w:sz w:val="21"/>
                      <w:szCs w:val="21"/>
                      <w:u w:val="none"/>
                    </w:rPr>
                  </w:pPr>
                  <w:r>
                    <w:rPr>
                      <w:rFonts w:hint="eastAsia"/>
                      <w:color w:val="auto"/>
                      <w:sz w:val="21"/>
                      <w:szCs w:val="21"/>
                      <w:u w:val="none"/>
                    </w:rPr>
                    <w:t>相符</w:t>
                  </w:r>
                </w:p>
              </w:tc>
            </w:tr>
            <w:tr w14:paraId="2481C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2" w:type="pct"/>
                  <w:vAlign w:val="center"/>
                </w:tcPr>
                <w:p w14:paraId="1E3B78B2">
                  <w:pPr>
                    <w:spacing w:line="240" w:lineRule="auto"/>
                    <w:ind w:firstLine="0" w:firstLineChars="0"/>
                    <w:jc w:val="center"/>
                    <w:rPr>
                      <w:color w:val="auto"/>
                      <w:sz w:val="21"/>
                      <w:szCs w:val="21"/>
                      <w:u w:val="none"/>
                    </w:rPr>
                  </w:pPr>
                  <w:r>
                    <w:rPr>
                      <w:rFonts w:hint="eastAsia"/>
                      <w:color w:val="auto"/>
                      <w:sz w:val="21"/>
                      <w:szCs w:val="21"/>
                      <w:u w:val="none"/>
                    </w:rPr>
                    <w:t>资源利用率要求</w:t>
                  </w:r>
                </w:p>
              </w:tc>
              <w:tc>
                <w:tcPr>
                  <w:tcW w:w="2890" w:type="pct"/>
                  <w:vAlign w:val="center"/>
                </w:tcPr>
                <w:p w14:paraId="2739CB93">
                  <w:pPr>
                    <w:spacing w:line="240" w:lineRule="auto"/>
                    <w:ind w:firstLine="0" w:firstLineChars="0"/>
                    <w:jc w:val="center"/>
                    <w:rPr>
                      <w:color w:val="auto"/>
                      <w:sz w:val="21"/>
                      <w:szCs w:val="21"/>
                      <w:u w:val="none"/>
                    </w:rPr>
                  </w:pPr>
                  <w:r>
                    <w:rPr>
                      <w:rFonts w:hint="eastAsia"/>
                      <w:color w:val="auto"/>
                      <w:sz w:val="21"/>
                      <w:szCs w:val="21"/>
                      <w:u w:val="none"/>
                    </w:rPr>
                    <w:t>地下水超采地区，控制采用地下水的高耗水新建、改建、扩建项目。</w:t>
                  </w:r>
                </w:p>
              </w:tc>
              <w:tc>
                <w:tcPr>
                  <w:tcW w:w="1274" w:type="pct"/>
                  <w:vAlign w:val="center"/>
                </w:tcPr>
                <w:p w14:paraId="5C4EBA61">
                  <w:pPr>
                    <w:spacing w:line="240" w:lineRule="auto"/>
                    <w:ind w:firstLine="0" w:firstLineChars="0"/>
                    <w:jc w:val="center"/>
                    <w:rPr>
                      <w:color w:val="auto"/>
                      <w:sz w:val="21"/>
                      <w:szCs w:val="21"/>
                      <w:u w:val="none"/>
                    </w:rPr>
                  </w:pPr>
                  <w:r>
                    <w:rPr>
                      <w:rFonts w:hint="eastAsia"/>
                      <w:color w:val="auto"/>
                      <w:sz w:val="21"/>
                      <w:szCs w:val="21"/>
                      <w:u w:val="none"/>
                    </w:rPr>
                    <w:t>项目不属于高耗水项目</w:t>
                  </w:r>
                </w:p>
              </w:tc>
              <w:tc>
                <w:tcPr>
                  <w:tcW w:w="512" w:type="pct"/>
                  <w:vAlign w:val="center"/>
                </w:tcPr>
                <w:p w14:paraId="6A902CC0">
                  <w:pPr>
                    <w:spacing w:line="240" w:lineRule="auto"/>
                    <w:ind w:firstLine="0" w:firstLineChars="0"/>
                    <w:jc w:val="center"/>
                    <w:rPr>
                      <w:color w:val="auto"/>
                      <w:sz w:val="21"/>
                      <w:szCs w:val="21"/>
                      <w:u w:val="none"/>
                    </w:rPr>
                  </w:pPr>
                  <w:r>
                    <w:rPr>
                      <w:rFonts w:hint="eastAsia"/>
                      <w:color w:val="auto"/>
                      <w:sz w:val="21"/>
                      <w:szCs w:val="21"/>
                      <w:u w:val="none"/>
                    </w:rPr>
                    <w:t>相符</w:t>
                  </w:r>
                </w:p>
              </w:tc>
            </w:tr>
          </w:tbl>
          <w:p w14:paraId="137B98A9">
            <w:pPr>
              <w:ind w:firstLine="482"/>
              <w:rPr>
                <w:b/>
                <w:bCs/>
                <w:color w:val="auto"/>
                <w:u w:val="none"/>
              </w:rPr>
            </w:pPr>
            <w:r>
              <w:rPr>
                <w:rFonts w:hint="eastAsia"/>
                <w:b/>
                <w:bCs/>
                <w:color w:val="auto"/>
                <w:u w:val="none"/>
              </w:rPr>
              <w:t>（2）</w:t>
            </w:r>
            <w:r>
              <w:rPr>
                <w:b/>
                <w:bCs/>
                <w:color w:val="auto"/>
                <w:u w:val="none"/>
              </w:rPr>
              <w:t>水环境管控分区分析</w:t>
            </w:r>
          </w:p>
          <w:p w14:paraId="1505B14B">
            <w:pPr>
              <w:ind w:firstLine="480"/>
              <w:rPr>
                <w:color w:val="auto"/>
                <w:u w:val="none"/>
              </w:rPr>
            </w:pPr>
            <w:r>
              <w:rPr>
                <w:rFonts w:hint="eastAsia"/>
                <w:color w:val="auto"/>
                <w:u w:val="none"/>
              </w:rPr>
              <w:t>经比对，项目涉及1个河南省水环境管控分区，其中水环境优先保护区0个，工业污染重点管控区1个（南乐县先进制造业开发区，环境管控单元编码：YS4109232210067），城镇生活污染重点管控区0个，农业污染重点管控区0个，水环境一般管控区0个。</w:t>
            </w:r>
          </w:p>
          <w:p w14:paraId="3B29E886">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与涉及河南省水环境管控相符性分析</w:t>
            </w:r>
          </w:p>
          <w:tbl>
            <w:tblPr>
              <w:tblStyle w:val="20"/>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14"/>
              <w:gridCol w:w="4894"/>
              <w:gridCol w:w="1757"/>
              <w:gridCol w:w="818"/>
            </w:tblGrid>
            <w:tr w14:paraId="63295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2" w:type="pct"/>
                  <w:vAlign w:val="center"/>
                </w:tcPr>
                <w:p w14:paraId="583CFAE5">
                  <w:pPr>
                    <w:spacing w:line="240" w:lineRule="auto"/>
                    <w:ind w:firstLine="0" w:firstLineChars="0"/>
                    <w:jc w:val="center"/>
                    <w:rPr>
                      <w:color w:val="auto"/>
                      <w:sz w:val="21"/>
                      <w:szCs w:val="21"/>
                      <w:u w:val="none"/>
                    </w:rPr>
                  </w:pPr>
                  <w:r>
                    <w:rPr>
                      <w:rFonts w:hint="eastAsia"/>
                      <w:color w:val="auto"/>
                      <w:sz w:val="21"/>
                      <w:szCs w:val="21"/>
                      <w:u w:val="none"/>
                    </w:rPr>
                    <w:t>维度</w:t>
                  </w:r>
                </w:p>
              </w:tc>
              <w:tc>
                <w:tcPr>
                  <w:tcW w:w="3064" w:type="pct"/>
                  <w:vAlign w:val="center"/>
                </w:tcPr>
                <w:p w14:paraId="587459F8">
                  <w:pPr>
                    <w:spacing w:line="240" w:lineRule="auto"/>
                    <w:ind w:firstLine="0" w:firstLineChars="0"/>
                    <w:jc w:val="center"/>
                    <w:rPr>
                      <w:color w:val="auto"/>
                      <w:sz w:val="21"/>
                      <w:szCs w:val="21"/>
                      <w:u w:val="none"/>
                    </w:rPr>
                  </w:pPr>
                  <w:r>
                    <w:rPr>
                      <w:rFonts w:hint="eastAsia"/>
                      <w:color w:val="auto"/>
                      <w:sz w:val="21"/>
                      <w:szCs w:val="21"/>
                      <w:u w:val="none"/>
                    </w:rPr>
                    <w:t>单元管控要求</w:t>
                  </w:r>
                </w:p>
              </w:tc>
              <w:tc>
                <w:tcPr>
                  <w:tcW w:w="1100" w:type="pct"/>
                  <w:vAlign w:val="center"/>
                </w:tcPr>
                <w:p w14:paraId="05CFF83D">
                  <w:pPr>
                    <w:spacing w:line="240" w:lineRule="auto"/>
                    <w:ind w:firstLine="0" w:firstLineChars="0"/>
                    <w:jc w:val="center"/>
                    <w:rPr>
                      <w:color w:val="auto"/>
                      <w:sz w:val="21"/>
                      <w:szCs w:val="21"/>
                      <w:u w:val="none"/>
                    </w:rPr>
                  </w:pPr>
                  <w:r>
                    <w:rPr>
                      <w:rFonts w:hint="eastAsia"/>
                      <w:color w:val="auto"/>
                      <w:sz w:val="21"/>
                      <w:szCs w:val="21"/>
                      <w:u w:val="none"/>
                    </w:rPr>
                    <w:t>本项目</w:t>
                  </w:r>
                </w:p>
              </w:tc>
              <w:tc>
                <w:tcPr>
                  <w:tcW w:w="512" w:type="pct"/>
                  <w:vAlign w:val="center"/>
                </w:tcPr>
                <w:p w14:paraId="791CA950">
                  <w:pPr>
                    <w:spacing w:line="240" w:lineRule="auto"/>
                    <w:ind w:firstLine="0" w:firstLineChars="0"/>
                    <w:jc w:val="center"/>
                    <w:rPr>
                      <w:color w:val="auto"/>
                      <w:sz w:val="21"/>
                      <w:szCs w:val="21"/>
                      <w:u w:val="none"/>
                    </w:rPr>
                  </w:pPr>
                  <w:r>
                    <w:rPr>
                      <w:rFonts w:hint="eastAsia"/>
                      <w:color w:val="auto"/>
                      <w:sz w:val="21"/>
                      <w:szCs w:val="21"/>
                      <w:u w:val="none"/>
                    </w:rPr>
                    <w:t>相符性</w:t>
                  </w:r>
                </w:p>
              </w:tc>
            </w:tr>
            <w:tr w14:paraId="43909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2" w:type="pct"/>
                  <w:vMerge w:val="restart"/>
                  <w:vAlign w:val="center"/>
                </w:tcPr>
                <w:p w14:paraId="33144059">
                  <w:pPr>
                    <w:spacing w:line="240" w:lineRule="auto"/>
                    <w:ind w:firstLine="0" w:firstLineChars="0"/>
                    <w:jc w:val="center"/>
                    <w:rPr>
                      <w:color w:val="auto"/>
                      <w:sz w:val="21"/>
                      <w:szCs w:val="21"/>
                      <w:u w:val="none"/>
                    </w:rPr>
                  </w:pPr>
                  <w:r>
                    <w:rPr>
                      <w:rFonts w:hint="eastAsia"/>
                      <w:color w:val="auto"/>
                      <w:sz w:val="21"/>
                      <w:szCs w:val="21"/>
                      <w:u w:val="none"/>
                    </w:rPr>
                    <w:t>空间布局约束</w:t>
                  </w:r>
                </w:p>
              </w:tc>
              <w:tc>
                <w:tcPr>
                  <w:tcW w:w="3064" w:type="pct"/>
                  <w:vAlign w:val="center"/>
                </w:tcPr>
                <w:p w14:paraId="22E63FE5">
                  <w:pPr>
                    <w:spacing w:line="240" w:lineRule="auto"/>
                    <w:ind w:firstLine="0" w:firstLineChars="0"/>
                    <w:jc w:val="center"/>
                    <w:rPr>
                      <w:color w:val="auto"/>
                      <w:sz w:val="21"/>
                      <w:szCs w:val="21"/>
                      <w:u w:val="none"/>
                    </w:rPr>
                  </w:pPr>
                  <w:r>
                    <w:rPr>
                      <w:rFonts w:hint="eastAsia"/>
                      <w:color w:val="auto"/>
                      <w:sz w:val="21"/>
                      <w:szCs w:val="21"/>
                      <w:u w:val="none"/>
                    </w:rPr>
                    <w:t>1、入驻项目应符合园区规划或规划环评的要求。</w:t>
                  </w:r>
                </w:p>
              </w:tc>
              <w:tc>
                <w:tcPr>
                  <w:tcW w:w="1100" w:type="pct"/>
                  <w:vAlign w:val="center"/>
                </w:tcPr>
                <w:p w14:paraId="31A6CB50">
                  <w:pPr>
                    <w:spacing w:line="240" w:lineRule="auto"/>
                    <w:ind w:firstLine="0" w:firstLineChars="0"/>
                    <w:jc w:val="center"/>
                    <w:rPr>
                      <w:color w:val="auto"/>
                      <w:sz w:val="21"/>
                      <w:szCs w:val="21"/>
                      <w:u w:val="none"/>
                    </w:rPr>
                  </w:pPr>
                  <w:r>
                    <w:rPr>
                      <w:rFonts w:hint="eastAsia"/>
                      <w:color w:val="auto"/>
                      <w:sz w:val="21"/>
                      <w:szCs w:val="21"/>
                      <w:u w:val="none"/>
                    </w:rPr>
                    <w:t>项目符合园区规划。</w:t>
                  </w:r>
                </w:p>
              </w:tc>
              <w:tc>
                <w:tcPr>
                  <w:tcW w:w="512" w:type="pct"/>
                  <w:vAlign w:val="center"/>
                </w:tcPr>
                <w:p w14:paraId="48B8BF28">
                  <w:pPr>
                    <w:spacing w:line="240" w:lineRule="auto"/>
                    <w:ind w:firstLine="0" w:firstLineChars="0"/>
                    <w:jc w:val="center"/>
                    <w:rPr>
                      <w:color w:val="auto"/>
                      <w:sz w:val="21"/>
                      <w:szCs w:val="21"/>
                      <w:u w:val="none"/>
                    </w:rPr>
                  </w:pPr>
                  <w:r>
                    <w:rPr>
                      <w:rFonts w:hint="eastAsia"/>
                      <w:color w:val="auto"/>
                      <w:sz w:val="21"/>
                      <w:szCs w:val="21"/>
                      <w:u w:val="none"/>
                    </w:rPr>
                    <w:t>相符</w:t>
                  </w:r>
                </w:p>
              </w:tc>
            </w:tr>
            <w:tr w14:paraId="6F044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2" w:type="pct"/>
                  <w:vMerge w:val="continue"/>
                  <w:vAlign w:val="center"/>
                </w:tcPr>
                <w:p w14:paraId="472A4B62">
                  <w:pPr>
                    <w:spacing w:line="240" w:lineRule="auto"/>
                    <w:ind w:firstLine="0" w:firstLineChars="0"/>
                    <w:jc w:val="center"/>
                    <w:rPr>
                      <w:color w:val="auto"/>
                      <w:sz w:val="21"/>
                      <w:szCs w:val="21"/>
                      <w:u w:val="none"/>
                    </w:rPr>
                  </w:pPr>
                </w:p>
              </w:tc>
              <w:tc>
                <w:tcPr>
                  <w:tcW w:w="3064" w:type="pct"/>
                  <w:vAlign w:val="center"/>
                </w:tcPr>
                <w:p w14:paraId="4603F9A2">
                  <w:pPr>
                    <w:spacing w:line="240" w:lineRule="auto"/>
                    <w:ind w:firstLine="0" w:firstLineChars="0"/>
                    <w:jc w:val="center"/>
                    <w:rPr>
                      <w:color w:val="auto"/>
                      <w:sz w:val="21"/>
                      <w:szCs w:val="21"/>
                      <w:u w:val="none"/>
                    </w:rPr>
                  </w:pPr>
                  <w:r>
                    <w:rPr>
                      <w:rFonts w:hint="eastAsia"/>
                      <w:color w:val="auto"/>
                      <w:sz w:val="21"/>
                      <w:szCs w:val="21"/>
                      <w:u w:val="none"/>
                    </w:rPr>
                    <w:t>2、控制入驻高耗水、高排水建设项目和污水处理后达不到集中污水处理厂收水水质标准的建设项目。</w:t>
                  </w:r>
                </w:p>
              </w:tc>
              <w:tc>
                <w:tcPr>
                  <w:tcW w:w="1100" w:type="pct"/>
                  <w:vAlign w:val="center"/>
                </w:tcPr>
                <w:p w14:paraId="3ED0613D">
                  <w:pPr>
                    <w:spacing w:line="240" w:lineRule="auto"/>
                    <w:ind w:firstLine="0" w:firstLineChars="0"/>
                    <w:jc w:val="center"/>
                    <w:rPr>
                      <w:color w:val="auto"/>
                      <w:sz w:val="21"/>
                      <w:szCs w:val="21"/>
                      <w:u w:val="none"/>
                    </w:rPr>
                  </w:pPr>
                  <w:r>
                    <w:rPr>
                      <w:rFonts w:hint="eastAsia"/>
                      <w:color w:val="auto"/>
                      <w:sz w:val="21"/>
                      <w:szCs w:val="21"/>
                      <w:u w:val="none"/>
                    </w:rPr>
                    <w:t>项目不属于高耗水项目</w:t>
                  </w:r>
                </w:p>
              </w:tc>
              <w:tc>
                <w:tcPr>
                  <w:tcW w:w="512" w:type="pct"/>
                  <w:vAlign w:val="center"/>
                </w:tcPr>
                <w:p w14:paraId="43C55DBE">
                  <w:pPr>
                    <w:spacing w:line="240" w:lineRule="auto"/>
                    <w:ind w:firstLine="0" w:firstLineChars="0"/>
                    <w:jc w:val="center"/>
                    <w:rPr>
                      <w:color w:val="auto"/>
                      <w:sz w:val="21"/>
                      <w:szCs w:val="21"/>
                      <w:u w:val="none"/>
                    </w:rPr>
                  </w:pPr>
                  <w:r>
                    <w:rPr>
                      <w:rFonts w:hint="eastAsia"/>
                      <w:color w:val="auto"/>
                      <w:sz w:val="21"/>
                      <w:szCs w:val="21"/>
                      <w:u w:val="none"/>
                    </w:rPr>
                    <w:t>相符</w:t>
                  </w:r>
                </w:p>
              </w:tc>
            </w:tr>
            <w:tr w14:paraId="4D923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2" w:type="pct"/>
                  <w:vAlign w:val="center"/>
                </w:tcPr>
                <w:p w14:paraId="02334F35">
                  <w:pPr>
                    <w:spacing w:line="240" w:lineRule="auto"/>
                    <w:ind w:firstLine="0" w:firstLineChars="0"/>
                    <w:jc w:val="center"/>
                    <w:rPr>
                      <w:color w:val="auto"/>
                      <w:sz w:val="21"/>
                      <w:szCs w:val="21"/>
                      <w:u w:val="none"/>
                    </w:rPr>
                  </w:pPr>
                  <w:r>
                    <w:rPr>
                      <w:rFonts w:hint="eastAsia"/>
                      <w:color w:val="auto"/>
                      <w:sz w:val="21"/>
                      <w:szCs w:val="21"/>
                      <w:u w:val="none"/>
                    </w:rPr>
                    <w:t>污染物排放管控</w:t>
                  </w:r>
                </w:p>
              </w:tc>
              <w:tc>
                <w:tcPr>
                  <w:tcW w:w="3064" w:type="pct"/>
                  <w:vAlign w:val="center"/>
                </w:tcPr>
                <w:p w14:paraId="59BF5B3F">
                  <w:pPr>
                    <w:spacing w:line="240" w:lineRule="auto"/>
                    <w:ind w:firstLine="0" w:firstLineChars="0"/>
                    <w:rPr>
                      <w:color w:val="auto"/>
                      <w:sz w:val="21"/>
                      <w:szCs w:val="21"/>
                      <w:u w:val="none"/>
                    </w:rPr>
                  </w:pPr>
                  <w:r>
                    <w:rPr>
                      <w:rFonts w:hint="eastAsia"/>
                      <w:color w:val="auto"/>
                      <w:sz w:val="21"/>
                      <w:szCs w:val="21"/>
                      <w:u w:val="none"/>
                    </w:rPr>
                    <w:t>采用先进的生产工艺和污染物处理工艺，加大废水回用率，最大限度地减少水污染物的排放。禁止含重金属废水进入城市生活污水处理厂。</w:t>
                  </w:r>
                </w:p>
              </w:tc>
              <w:tc>
                <w:tcPr>
                  <w:tcW w:w="1100" w:type="pct"/>
                  <w:vAlign w:val="center"/>
                </w:tcPr>
                <w:p w14:paraId="444F48B7">
                  <w:pPr>
                    <w:spacing w:line="240" w:lineRule="auto"/>
                    <w:ind w:firstLine="0" w:firstLineChars="0"/>
                    <w:jc w:val="center"/>
                    <w:rPr>
                      <w:color w:val="auto"/>
                      <w:sz w:val="21"/>
                      <w:szCs w:val="21"/>
                      <w:u w:val="none"/>
                    </w:rPr>
                  </w:pPr>
                  <w:r>
                    <w:rPr>
                      <w:rFonts w:hint="eastAsia"/>
                      <w:color w:val="auto"/>
                      <w:sz w:val="21"/>
                      <w:szCs w:val="21"/>
                      <w:u w:val="none"/>
                    </w:rPr>
                    <w:t>污水处理站采用“</w:t>
                  </w:r>
                  <w:r>
                    <w:rPr>
                      <w:rFonts w:hint="eastAsia"/>
                      <w:color w:val="auto"/>
                      <w:sz w:val="21"/>
                      <w:szCs w:val="21"/>
                      <w:u w:val="none"/>
                      <w:lang w:val="en-US" w:eastAsia="zh-CN"/>
                    </w:rPr>
                    <w:t>混凝+UASB+生物接触氧化法</w:t>
                  </w:r>
                  <w:r>
                    <w:rPr>
                      <w:rFonts w:hint="eastAsia"/>
                      <w:color w:val="auto"/>
                      <w:sz w:val="21"/>
                      <w:szCs w:val="21"/>
                      <w:u w:val="none"/>
                    </w:rPr>
                    <w:t>”工艺。项目不涉及重金属。</w:t>
                  </w:r>
                </w:p>
              </w:tc>
              <w:tc>
                <w:tcPr>
                  <w:tcW w:w="512" w:type="pct"/>
                  <w:vAlign w:val="center"/>
                </w:tcPr>
                <w:p w14:paraId="47B9F565">
                  <w:pPr>
                    <w:spacing w:line="240" w:lineRule="auto"/>
                    <w:ind w:firstLine="0" w:firstLineChars="0"/>
                    <w:jc w:val="center"/>
                    <w:rPr>
                      <w:color w:val="auto"/>
                      <w:sz w:val="21"/>
                      <w:szCs w:val="21"/>
                      <w:u w:val="none"/>
                    </w:rPr>
                  </w:pPr>
                  <w:r>
                    <w:rPr>
                      <w:rFonts w:hint="eastAsia"/>
                      <w:color w:val="auto"/>
                      <w:sz w:val="21"/>
                      <w:szCs w:val="21"/>
                      <w:u w:val="none"/>
                    </w:rPr>
                    <w:t>相符</w:t>
                  </w:r>
                </w:p>
              </w:tc>
            </w:tr>
            <w:tr w14:paraId="6C945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2" w:type="pct"/>
                  <w:vMerge w:val="restart"/>
                  <w:vAlign w:val="center"/>
                </w:tcPr>
                <w:p w14:paraId="3B686319">
                  <w:pPr>
                    <w:spacing w:line="240" w:lineRule="auto"/>
                    <w:ind w:firstLine="0" w:firstLineChars="0"/>
                    <w:jc w:val="center"/>
                    <w:rPr>
                      <w:color w:val="auto"/>
                      <w:sz w:val="21"/>
                      <w:szCs w:val="21"/>
                      <w:u w:val="none"/>
                    </w:rPr>
                  </w:pPr>
                  <w:r>
                    <w:rPr>
                      <w:rFonts w:hint="eastAsia"/>
                      <w:color w:val="auto"/>
                      <w:sz w:val="21"/>
                      <w:szCs w:val="21"/>
                      <w:u w:val="none"/>
                    </w:rPr>
                    <w:t>环境风险防控</w:t>
                  </w:r>
                </w:p>
              </w:tc>
              <w:tc>
                <w:tcPr>
                  <w:tcW w:w="3064" w:type="pct"/>
                  <w:vAlign w:val="center"/>
                </w:tcPr>
                <w:p w14:paraId="1BF377FE">
                  <w:pPr>
                    <w:spacing w:line="240" w:lineRule="auto"/>
                    <w:ind w:firstLine="0" w:firstLineChars="0"/>
                    <w:jc w:val="center"/>
                    <w:rPr>
                      <w:color w:val="auto"/>
                      <w:sz w:val="21"/>
                      <w:szCs w:val="21"/>
                      <w:u w:val="none"/>
                    </w:rPr>
                  </w:pPr>
                  <w:r>
                    <w:rPr>
                      <w:rFonts w:hint="eastAsia"/>
                      <w:color w:val="auto"/>
                      <w:sz w:val="21"/>
                      <w:szCs w:val="21"/>
                      <w:u w:val="none"/>
                    </w:rPr>
                    <w:t>1、针对区域存在的各类风险源，制订完善的安全管理制度和建立有效的安全防范体系，制订风险事故应急措施或预案。</w:t>
                  </w:r>
                </w:p>
              </w:tc>
              <w:tc>
                <w:tcPr>
                  <w:tcW w:w="1100" w:type="pct"/>
                  <w:vAlign w:val="center"/>
                </w:tcPr>
                <w:p w14:paraId="35DDADC3">
                  <w:pPr>
                    <w:spacing w:line="240" w:lineRule="auto"/>
                    <w:ind w:firstLine="0" w:firstLineChars="0"/>
                    <w:rPr>
                      <w:color w:val="auto"/>
                      <w:sz w:val="21"/>
                      <w:szCs w:val="21"/>
                      <w:u w:val="none"/>
                    </w:rPr>
                  </w:pPr>
                  <w:r>
                    <w:rPr>
                      <w:rFonts w:hint="eastAsia"/>
                      <w:color w:val="auto"/>
                      <w:sz w:val="21"/>
                      <w:szCs w:val="21"/>
                      <w:u w:val="none"/>
                    </w:rPr>
                    <w:t>项目建成后</w:t>
                  </w:r>
                  <w:r>
                    <w:rPr>
                      <w:rFonts w:hint="eastAsia"/>
                      <w:color w:val="auto"/>
                      <w:sz w:val="21"/>
                      <w:szCs w:val="21"/>
                      <w:u w:val="none"/>
                      <w:lang w:val="en-US" w:eastAsia="zh-CN"/>
                    </w:rPr>
                    <w:t>应编制</w:t>
                  </w:r>
                  <w:r>
                    <w:rPr>
                      <w:rFonts w:hint="eastAsia"/>
                      <w:color w:val="auto"/>
                      <w:sz w:val="21"/>
                      <w:szCs w:val="21"/>
                      <w:u w:val="none"/>
                    </w:rPr>
                    <w:t>应急预案。</w:t>
                  </w:r>
                </w:p>
              </w:tc>
              <w:tc>
                <w:tcPr>
                  <w:tcW w:w="512" w:type="pct"/>
                  <w:vAlign w:val="center"/>
                </w:tcPr>
                <w:p w14:paraId="29E6E5F9">
                  <w:pPr>
                    <w:spacing w:line="240" w:lineRule="auto"/>
                    <w:ind w:firstLine="0" w:firstLineChars="0"/>
                    <w:jc w:val="center"/>
                    <w:rPr>
                      <w:color w:val="auto"/>
                      <w:sz w:val="21"/>
                      <w:szCs w:val="21"/>
                      <w:u w:val="none"/>
                    </w:rPr>
                  </w:pPr>
                  <w:r>
                    <w:rPr>
                      <w:rFonts w:hint="eastAsia"/>
                      <w:color w:val="auto"/>
                      <w:sz w:val="21"/>
                      <w:szCs w:val="21"/>
                      <w:u w:val="none"/>
                    </w:rPr>
                    <w:t>相符</w:t>
                  </w:r>
                </w:p>
              </w:tc>
            </w:tr>
            <w:tr w14:paraId="2827A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2" w:type="pct"/>
                  <w:vMerge w:val="continue"/>
                  <w:vAlign w:val="center"/>
                </w:tcPr>
                <w:p w14:paraId="206F6892">
                  <w:pPr>
                    <w:spacing w:line="240" w:lineRule="auto"/>
                    <w:ind w:firstLine="0" w:firstLineChars="0"/>
                    <w:jc w:val="center"/>
                    <w:rPr>
                      <w:color w:val="auto"/>
                      <w:sz w:val="21"/>
                      <w:szCs w:val="21"/>
                      <w:u w:val="none"/>
                    </w:rPr>
                  </w:pPr>
                </w:p>
              </w:tc>
              <w:tc>
                <w:tcPr>
                  <w:tcW w:w="3064" w:type="pct"/>
                  <w:vAlign w:val="center"/>
                </w:tcPr>
                <w:p w14:paraId="482D1DED">
                  <w:pPr>
                    <w:spacing w:line="240" w:lineRule="auto"/>
                    <w:ind w:firstLine="0" w:firstLineChars="0"/>
                    <w:jc w:val="center"/>
                    <w:rPr>
                      <w:color w:val="auto"/>
                      <w:sz w:val="21"/>
                      <w:szCs w:val="21"/>
                      <w:u w:val="none"/>
                    </w:rPr>
                  </w:pPr>
                  <w:r>
                    <w:rPr>
                      <w:rFonts w:hint="eastAsia"/>
                      <w:color w:val="auto"/>
                      <w:sz w:val="21"/>
                      <w:szCs w:val="21"/>
                      <w:u w:val="none"/>
                    </w:rPr>
                    <w:t>2、化工和危险化学品生产、储存、使用等企业在拆除生产设施设备、污染治理设施时，要事先制定企业拆除活动污染防治方案和拆除活动环境应急预案。</w:t>
                  </w:r>
                </w:p>
              </w:tc>
              <w:tc>
                <w:tcPr>
                  <w:tcW w:w="1100" w:type="pct"/>
                  <w:vAlign w:val="center"/>
                </w:tcPr>
                <w:p w14:paraId="577BD68B">
                  <w:pPr>
                    <w:spacing w:line="240" w:lineRule="auto"/>
                    <w:ind w:firstLine="0" w:firstLineChars="0"/>
                    <w:jc w:val="center"/>
                    <w:rPr>
                      <w:color w:val="auto"/>
                      <w:sz w:val="21"/>
                      <w:szCs w:val="21"/>
                      <w:u w:val="none"/>
                    </w:rPr>
                  </w:pPr>
                  <w:r>
                    <w:rPr>
                      <w:rFonts w:hint="eastAsia"/>
                      <w:color w:val="auto"/>
                      <w:sz w:val="21"/>
                      <w:szCs w:val="21"/>
                      <w:u w:val="none"/>
                    </w:rPr>
                    <w:t>不涉及</w:t>
                  </w:r>
                </w:p>
              </w:tc>
              <w:tc>
                <w:tcPr>
                  <w:tcW w:w="512" w:type="pct"/>
                  <w:vAlign w:val="center"/>
                </w:tcPr>
                <w:p w14:paraId="2D10F080">
                  <w:pPr>
                    <w:spacing w:line="240" w:lineRule="auto"/>
                    <w:ind w:firstLine="0" w:firstLineChars="0"/>
                    <w:jc w:val="center"/>
                    <w:rPr>
                      <w:color w:val="auto"/>
                      <w:sz w:val="21"/>
                      <w:szCs w:val="21"/>
                      <w:u w:val="none"/>
                    </w:rPr>
                  </w:pPr>
                  <w:r>
                    <w:rPr>
                      <w:rFonts w:hint="eastAsia"/>
                      <w:color w:val="auto"/>
                      <w:sz w:val="21"/>
                      <w:szCs w:val="21"/>
                      <w:u w:val="none"/>
                    </w:rPr>
                    <w:t>相符</w:t>
                  </w:r>
                </w:p>
              </w:tc>
            </w:tr>
            <w:tr w14:paraId="12710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2" w:type="pct"/>
                  <w:vAlign w:val="center"/>
                </w:tcPr>
                <w:p w14:paraId="06D2C0AF">
                  <w:pPr>
                    <w:spacing w:line="240" w:lineRule="auto"/>
                    <w:ind w:firstLine="0" w:firstLineChars="0"/>
                    <w:jc w:val="center"/>
                    <w:rPr>
                      <w:color w:val="auto"/>
                      <w:sz w:val="21"/>
                      <w:szCs w:val="21"/>
                      <w:u w:val="none"/>
                    </w:rPr>
                  </w:pPr>
                  <w:r>
                    <w:rPr>
                      <w:rFonts w:hint="eastAsia"/>
                      <w:color w:val="auto"/>
                      <w:sz w:val="21"/>
                      <w:szCs w:val="21"/>
                      <w:u w:val="none"/>
                    </w:rPr>
                    <w:t>资源利用率要求</w:t>
                  </w:r>
                </w:p>
              </w:tc>
              <w:tc>
                <w:tcPr>
                  <w:tcW w:w="3064" w:type="pct"/>
                  <w:vAlign w:val="center"/>
                </w:tcPr>
                <w:p w14:paraId="0F36B43A">
                  <w:pPr>
                    <w:spacing w:line="240" w:lineRule="auto"/>
                    <w:ind w:firstLine="0" w:firstLineChars="0"/>
                    <w:jc w:val="center"/>
                    <w:rPr>
                      <w:color w:val="auto"/>
                      <w:sz w:val="21"/>
                      <w:szCs w:val="21"/>
                      <w:u w:val="none"/>
                    </w:rPr>
                  </w:pPr>
                  <w:r>
                    <w:rPr>
                      <w:rFonts w:hint="eastAsia"/>
                      <w:color w:val="auto"/>
                      <w:sz w:val="21"/>
                      <w:szCs w:val="21"/>
                      <w:u w:val="none"/>
                    </w:rPr>
                    <w:t>/</w:t>
                  </w:r>
                </w:p>
              </w:tc>
              <w:tc>
                <w:tcPr>
                  <w:tcW w:w="1100" w:type="pct"/>
                  <w:vAlign w:val="center"/>
                </w:tcPr>
                <w:p w14:paraId="690B65E3">
                  <w:pPr>
                    <w:spacing w:line="240" w:lineRule="auto"/>
                    <w:ind w:firstLine="0" w:firstLineChars="0"/>
                    <w:jc w:val="center"/>
                    <w:rPr>
                      <w:color w:val="auto"/>
                      <w:sz w:val="21"/>
                      <w:szCs w:val="21"/>
                      <w:u w:val="none"/>
                    </w:rPr>
                  </w:pPr>
                  <w:r>
                    <w:rPr>
                      <w:rFonts w:hint="eastAsia"/>
                      <w:color w:val="auto"/>
                      <w:sz w:val="21"/>
                      <w:szCs w:val="21"/>
                      <w:u w:val="none"/>
                    </w:rPr>
                    <w:t>/</w:t>
                  </w:r>
                </w:p>
              </w:tc>
              <w:tc>
                <w:tcPr>
                  <w:tcW w:w="512" w:type="pct"/>
                  <w:vAlign w:val="center"/>
                </w:tcPr>
                <w:p w14:paraId="129253E6">
                  <w:pPr>
                    <w:spacing w:line="240" w:lineRule="auto"/>
                    <w:ind w:firstLine="0" w:firstLineChars="0"/>
                    <w:jc w:val="center"/>
                    <w:rPr>
                      <w:color w:val="auto"/>
                      <w:sz w:val="21"/>
                      <w:szCs w:val="21"/>
                      <w:u w:val="none"/>
                    </w:rPr>
                  </w:pPr>
                  <w:r>
                    <w:rPr>
                      <w:rFonts w:hint="eastAsia"/>
                      <w:color w:val="auto"/>
                      <w:sz w:val="21"/>
                      <w:szCs w:val="21"/>
                      <w:u w:val="none"/>
                    </w:rPr>
                    <w:t>相符</w:t>
                  </w:r>
                </w:p>
              </w:tc>
            </w:tr>
          </w:tbl>
          <w:p w14:paraId="65832C2F">
            <w:pPr>
              <w:ind w:firstLine="482"/>
              <w:rPr>
                <w:b/>
                <w:bCs/>
                <w:color w:val="auto"/>
                <w:u w:val="none"/>
              </w:rPr>
            </w:pPr>
            <w:r>
              <w:rPr>
                <w:rFonts w:hint="eastAsia"/>
                <w:b/>
                <w:bCs/>
                <w:color w:val="auto"/>
                <w:u w:val="none"/>
              </w:rPr>
              <w:t>（3）</w:t>
            </w:r>
            <w:r>
              <w:rPr>
                <w:b/>
                <w:bCs/>
                <w:color w:val="auto"/>
                <w:u w:val="none"/>
              </w:rPr>
              <w:t>大气环境管控分区分析</w:t>
            </w:r>
          </w:p>
          <w:p w14:paraId="75651912">
            <w:pPr>
              <w:ind w:firstLine="480"/>
              <w:rPr>
                <w:color w:val="auto"/>
                <w:u w:val="none"/>
              </w:rPr>
            </w:pPr>
            <w:r>
              <w:rPr>
                <w:rFonts w:hint="eastAsia"/>
                <w:color w:val="auto"/>
                <w:u w:val="none"/>
              </w:rPr>
              <w:t>经比对，项目涉及2个河南省大气环境管控分区，其中大气环境优先保护区0个，高排放重点管控区1个（南乐县先进制造业开发区，环境管控单元编码：YS4109232310001），布局敏感重点管控区0个，弱扩散重点管控区0个，受体敏感重点管控区1个（环境管控单元编码：YS4109232340001），大气环境一般管控区0个。</w:t>
            </w:r>
          </w:p>
          <w:p w14:paraId="4AD901A9">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与涉及河南省大气环境管控相符性分析（高排放重点管控区）</w:t>
            </w:r>
          </w:p>
          <w:tbl>
            <w:tblPr>
              <w:tblStyle w:val="20"/>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14"/>
              <w:gridCol w:w="4894"/>
              <w:gridCol w:w="1757"/>
              <w:gridCol w:w="818"/>
            </w:tblGrid>
            <w:tr w14:paraId="1D854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2" w:type="pct"/>
                  <w:vAlign w:val="center"/>
                </w:tcPr>
                <w:p w14:paraId="4D7A34D3">
                  <w:pPr>
                    <w:spacing w:line="240" w:lineRule="auto"/>
                    <w:ind w:firstLine="0" w:firstLineChars="0"/>
                    <w:jc w:val="center"/>
                    <w:rPr>
                      <w:color w:val="auto"/>
                      <w:sz w:val="21"/>
                      <w:szCs w:val="21"/>
                      <w:u w:val="none"/>
                    </w:rPr>
                  </w:pPr>
                  <w:r>
                    <w:rPr>
                      <w:rFonts w:hint="eastAsia"/>
                      <w:color w:val="auto"/>
                      <w:sz w:val="21"/>
                      <w:szCs w:val="21"/>
                      <w:u w:val="none"/>
                    </w:rPr>
                    <w:t>维度</w:t>
                  </w:r>
                </w:p>
              </w:tc>
              <w:tc>
                <w:tcPr>
                  <w:tcW w:w="3064" w:type="pct"/>
                  <w:vAlign w:val="center"/>
                </w:tcPr>
                <w:p w14:paraId="35258280">
                  <w:pPr>
                    <w:spacing w:line="240" w:lineRule="auto"/>
                    <w:ind w:firstLine="0" w:firstLineChars="0"/>
                    <w:jc w:val="center"/>
                    <w:rPr>
                      <w:color w:val="auto"/>
                      <w:sz w:val="21"/>
                      <w:szCs w:val="21"/>
                      <w:u w:val="none"/>
                    </w:rPr>
                  </w:pPr>
                  <w:r>
                    <w:rPr>
                      <w:rFonts w:hint="eastAsia"/>
                      <w:color w:val="auto"/>
                      <w:sz w:val="21"/>
                      <w:szCs w:val="21"/>
                      <w:u w:val="none"/>
                    </w:rPr>
                    <w:t>单元管控要求</w:t>
                  </w:r>
                </w:p>
              </w:tc>
              <w:tc>
                <w:tcPr>
                  <w:tcW w:w="1100" w:type="pct"/>
                  <w:vAlign w:val="center"/>
                </w:tcPr>
                <w:p w14:paraId="452877AC">
                  <w:pPr>
                    <w:spacing w:line="240" w:lineRule="auto"/>
                    <w:ind w:firstLine="0" w:firstLineChars="0"/>
                    <w:jc w:val="center"/>
                    <w:rPr>
                      <w:color w:val="auto"/>
                      <w:sz w:val="21"/>
                      <w:szCs w:val="21"/>
                      <w:u w:val="none"/>
                    </w:rPr>
                  </w:pPr>
                  <w:r>
                    <w:rPr>
                      <w:rFonts w:hint="eastAsia"/>
                      <w:color w:val="auto"/>
                      <w:sz w:val="21"/>
                      <w:szCs w:val="21"/>
                      <w:u w:val="none"/>
                    </w:rPr>
                    <w:t>本项目</w:t>
                  </w:r>
                </w:p>
              </w:tc>
              <w:tc>
                <w:tcPr>
                  <w:tcW w:w="512" w:type="pct"/>
                  <w:vAlign w:val="center"/>
                </w:tcPr>
                <w:p w14:paraId="1AA0D7AF">
                  <w:pPr>
                    <w:spacing w:line="240" w:lineRule="auto"/>
                    <w:ind w:firstLine="0" w:firstLineChars="0"/>
                    <w:jc w:val="center"/>
                    <w:rPr>
                      <w:color w:val="auto"/>
                      <w:sz w:val="21"/>
                      <w:szCs w:val="21"/>
                      <w:u w:val="none"/>
                    </w:rPr>
                  </w:pPr>
                  <w:r>
                    <w:rPr>
                      <w:rFonts w:hint="eastAsia"/>
                      <w:color w:val="auto"/>
                      <w:sz w:val="21"/>
                      <w:szCs w:val="21"/>
                      <w:u w:val="none"/>
                    </w:rPr>
                    <w:t>相符性</w:t>
                  </w:r>
                </w:p>
              </w:tc>
            </w:tr>
            <w:tr w14:paraId="74903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2" w:type="pct"/>
                  <w:vAlign w:val="center"/>
                </w:tcPr>
                <w:p w14:paraId="19B5A0C7">
                  <w:pPr>
                    <w:spacing w:line="240" w:lineRule="auto"/>
                    <w:ind w:firstLine="0" w:firstLineChars="0"/>
                    <w:jc w:val="center"/>
                    <w:rPr>
                      <w:color w:val="auto"/>
                      <w:sz w:val="21"/>
                      <w:szCs w:val="21"/>
                      <w:u w:val="none"/>
                    </w:rPr>
                  </w:pPr>
                  <w:r>
                    <w:rPr>
                      <w:rFonts w:hint="eastAsia"/>
                      <w:color w:val="auto"/>
                      <w:sz w:val="21"/>
                      <w:szCs w:val="21"/>
                      <w:u w:val="none"/>
                    </w:rPr>
                    <w:t>空间布局约束</w:t>
                  </w:r>
                </w:p>
              </w:tc>
              <w:tc>
                <w:tcPr>
                  <w:tcW w:w="3064" w:type="pct"/>
                  <w:vAlign w:val="center"/>
                </w:tcPr>
                <w:p w14:paraId="73BCE3D7">
                  <w:pPr>
                    <w:spacing w:line="240" w:lineRule="auto"/>
                    <w:ind w:firstLine="0" w:firstLineChars="0"/>
                    <w:jc w:val="center"/>
                    <w:rPr>
                      <w:color w:val="auto"/>
                      <w:sz w:val="21"/>
                      <w:szCs w:val="21"/>
                      <w:u w:val="none"/>
                    </w:rPr>
                  </w:pPr>
                  <w:r>
                    <w:rPr>
                      <w:rFonts w:hint="eastAsia"/>
                      <w:color w:val="auto"/>
                      <w:sz w:val="21"/>
                      <w:szCs w:val="21"/>
                      <w:u w:val="none"/>
                    </w:rPr>
                    <w:t>入驻项目应符合园区规划或规划环评的要求。在居民安置区的上风向区域禁止入驻大气污染较为严重的工业企业；东环路两侧的二类工业用地禁止入驻以大气污染为主的工业项目；禁止发展煤化工、冶金、钢铁、铁合金等单纯新建和单纯扩大产能的项目。控制入驻高耗水、高排水建设项目和污水处理后达不到集中污水处理厂收水水质标准的建设项目。</w:t>
                  </w:r>
                </w:p>
              </w:tc>
              <w:tc>
                <w:tcPr>
                  <w:tcW w:w="1100" w:type="pct"/>
                  <w:vAlign w:val="center"/>
                </w:tcPr>
                <w:p w14:paraId="1EA09127">
                  <w:pPr>
                    <w:spacing w:line="240" w:lineRule="auto"/>
                    <w:ind w:firstLine="0" w:firstLineChars="0"/>
                    <w:jc w:val="center"/>
                    <w:rPr>
                      <w:color w:val="auto"/>
                      <w:sz w:val="21"/>
                      <w:szCs w:val="21"/>
                      <w:u w:val="none"/>
                    </w:rPr>
                  </w:pPr>
                  <w:r>
                    <w:rPr>
                      <w:rFonts w:hint="eastAsia"/>
                      <w:color w:val="auto"/>
                      <w:sz w:val="21"/>
                      <w:szCs w:val="21"/>
                      <w:u w:val="none"/>
                    </w:rPr>
                    <w:t>项目符合园区规划。项目不属于大气污染严重的企业。项目不属于煤化工、冶金、钢铁、铁合金等行业。项目不属于高耗水项目。</w:t>
                  </w:r>
                </w:p>
              </w:tc>
              <w:tc>
                <w:tcPr>
                  <w:tcW w:w="512" w:type="pct"/>
                  <w:vAlign w:val="center"/>
                </w:tcPr>
                <w:p w14:paraId="14BAC4B0">
                  <w:pPr>
                    <w:spacing w:line="240" w:lineRule="auto"/>
                    <w:ind w:firstLine="0" w:firstLineChars="0"/>
                    <w:jc w:val="center"/>
                    <w:rPr>
                      <w:color w:val="auto"/>
                      <w:sz w:val="21"/>
                      <w:szCs w:val="21"/>
                      <w:u w:val="none"/>
                    </w:rPr>
                  </w:pPr>
                  <w:r>
                    <w:rPr>
                      <w:rFonts w:hint="eastAsia"/>
                      <w:color w:val="auto"/>
                      <w:sz w:val="21"/>
                      <w:szCs w:val="21"/>
                      <w:u w:val="none"/>
                    </w:rPr>
                    <w:t>相符</w:t>
                  </w:r>
                </w:p>
              </w:tc>
            </w:tr>
            <w:tr w14:paraId="43D81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2" w:type="pct"/>
                  <w:vAlign w:val="center"/>
                </w:tcPr>
                <w:p w14:paraId="1B4B23A2">
                  <w:pPr>
                    <w:spacing w:line="240" w:lineRule="auto"/>
                    <w:ind w:firstLine="0" w:firstLineChars="0"/>
                    <w:jc w:val="center"/>
                    <w:rPr>
                      <w:color w:val="auto"/>
                      <w:sz w:val="21"/>
                      <w:szCs w:val="21"/>
                      <w:u w:val="none"/>
                    </w:rPr>
                  </w:pPr>
                  <w:r>
                    <w:rPr>
                      <w:rFonts w:hint="eastAsia"/>
                      <w:color w:val="auto"/>
                      <w:sz w:val="21"/>
                      <w:szCs w:val="21"/>
                      <w:u w:val="none"/>
                    </w:rPr>
                    <w:t>污染物排放管控</w:t>
                  </w:r>
                </w:p>
              </w:tc>
              <w:tc>
                <w:tcPr>
                  <w:tcW w:w="3064" w:type="pct"/>
                  <w:vAlign w:val="center"/>
                </w:tcPr>
                <w:p w14:paraId="3C831399">
                  <w:pPr>
                    <w:spacing w:line="240" w:lineRule="auto"/>
                    <w:ind w:firstLine="0" w:firstLineChars="0"/>
                    <w:jc w:val="center"/>
                    <w:rPr>
                      <w:color w:val="auto"/>
                      <w:sz w:val="21"/>
                      <w:szCs w:val="21"/>
                      <w:u w:val="none"/>
                    </w:rPr>
                  </w:pPr>
                  <w:r>
                    <w:rPr>
                      <w:rFonts w:hint="eastAsia"/>
                      <w:color w:val="auto"/>
                      <w:sz w:val="21"/>
                      <w:szCs w:val="21"/>
                      <w:u w:val="none"/>
                    </w:rPr>
                    <w:t>/</w:t>
                  </w:r>
                </w:p>
              </w:tc>
              <w:tc>
                <w:tcPr>
                  <w:tcW w:w="1100" w:type="pct"/>
                  <w:vAlign w:val="center"/>
                </w:tcPr>
                <w:p w14:paraId="3BEB5F1E">
                  <w:pPr>
                    <w:spacing w:line="240" w:lineRule="auto"/>
                    <w:ind w:firstLine="0" w:firstLineChars="0"/>
                    <w:jc w:val="center"/>
                    <w:rPr>
                      <w:color w:val="auto"/>
                      <w:sz w:val="21"/>
                      <w:szCs w:val="21"/>
                      <w:u w:val="none"/>
                    </w:rPr>
                  </w:pPr>
                  <w:r>
                    <w:rPr>
                      <w:rFonts w:hint="eastAsia"/>
                      <w:color w:val="auto"/>
                      <w:sz w:val="21"/>
                      <w:szCs w:val="21"/>
                      <w:u w:val="none"/>
                    </w:rPr>
                    <w:t>/</w:t>
                  </w:r>
                </w:p>
              </w:tc>
              <w:tc>
                <w:tcPr>
                  <w:tcW w:w="512" w:type="pct"/>
                  <w:vAlign w:val="center"/>
                </w:tcPr>
                <w:p w14:paraId="6AA97755">
                  <w:pPr>
                    <w:spacing w:line="240" w:lineRule="auto"/>
                    <w:ind w:firstLine="0" w:firstLineChars="0"/>
                    <w:jc w:val="center"/>
                    <w:rPr>
                      <w:color w:val="auto"/>
                      <w:sz w:val="21"/>
                      <w:szCs w:val="21"/>
                      <w:u w:val="none"/>
                    </w:rPr>
                  </w:pPr>
                  <w:r>
                    <w:rPr>
                      <w:rFonts w:hint="eastAsia"/>
                      <w:color w:val="auto"/>
                      <w:sz w:val="21"/>
                      <w:szCs w:val="21"/>
                      <w:u w:val="none"/>
                    </w:rPr>
                    <w:t>相符</w:t>
                  </w:r>
                </w:p>
              </w:tc>
            </w:tr>
            <w:tr w14:paraId="58636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2" w:type="pct"/>
                  <w:vMerge w:val="restart"/>
                  <w:vAlign w:val="center"/>
                </w:tcPr>
                <w:p w14:paraId="6793FCB9">
                  <w:pPr>
                    <w:spacing w:line="240" w:lineRule="auto"/>
                    <w:ind w:firstLine="0" w:firstLineChars="0"/>
                    <w:jc w:val="center"/>
                    <w:rPr>
                      <w:color w:val="auto"/>
                      <w:sz w:val="21"/>
                      <w:szCs w:val="21"/>
                      <w:u w:val="none"/>
                    </w:rPr>
                  </w:pPr>
                  <w:r>
                    <w:rPr>
                      <w:rFonts w:hint="eastAsia"/>
                      <w:color w:val="auto"/>
                      <w:sz w:val="21"/>
                      <w:szCs w:val="21"/>
                      <w:u w:val="none"/>
                    </w:rPr>
                    <w:t>环境风险防控</w:t>
                  </w:r>
                </w:p>
              </w:tc>
              <w:tc>
                <w:tcPr>
                  <w:tcW w:w="3064" w:type="pct"/>
                  <w:vAlign w:val="center"/>
                </w:tcPr>
                <w:p w14:paraId="4FA74067">
                  <w:pPr>
                    <w:spacing w:line="240" w:lineRule="auto"/>
                    <w:ind w:firstLine="0" w:firstLineChars="0"/>
                    <w:jc w:val="center"/>
                    <w:rPr>
                      <w:color w:val="auto"/>
                      <w:sz w:val="21"/>
                      <w:szCs w:val="21"/>
                      <w:u w:val="none"/>
                    </w:rPr>
                  </w:pPr>
                  <w:r>
                    <w:rPr>
                      <w:rFonts w:hint="eastAsia"/>
                      <w:color w:val="auto"/>
                      <w:sz w:val="21"/>
                      <w:szCs w:val="21"/>
                      <w:u w:val="none"/>
                    </w:rPr>
                    <w:t>1、严格落实规划环评及其批复文件制定的环境风险防范措施。</w:t>
                  </w:r>
                </w:p>
              </w:tc>
              <w:tc>
                <w:tcPr>
                  <w:tcW w:w="1100" w:type="pct"/>
                  <w:vAlign w:val="center"/>
                </w:tcPr>
                <w:p w14:paraId="45EBD9D6">
                  <w:pPr>
                    <w:spacing w:line="240" w:lineRule="auto"/>
                    <w:ind w:firstLine="0" w:firstLineChars="0"/>
                    <w:rPr>
                      <w:color w:val="auto"/>
                      <w:sz w:val="21"/>
                      <w:szCs w:val="21"/>
                      <w:u w:val="none"/>
                    </w:rPr>
                  </w:pPr>
                  <w:r>
                    <w:rPr>
                      <w:rFonts w:hint="eastAsia"/>
                      <w:color w:val="auto"/>
                      <w:sz w:val="21"/>
                      <w:szCs w:val="21"/>
                      <w:u w:val="none"/>
                    </w:rPr>
                    <w:t>项目建成后严格按照环评要求采取相应的风险防范措施。</w:t>
                  </w:r>
                </w:p>
              </w:tc>
              <w:tc>
                <w:tcPr>
                  <w:tcW w:w="512" w:type="pct"/>
                  <w:vAlign w:val="center"/>
                </w:tcPr>
                <w:p w14:paraId="101DA03D">
                  <w:pPr>
                    <w:spacing w:line="240" w:lineRule="auto"/>
                    <w:ind w:firstLine="0" w:firstLineChars="0"/>
                    <w:jc w:val="center"/>
                    <w:rPr>
                      <w:color w:val="auto"/>
                      <w:sz w:val="21"/>
                      <w:szCs w:val="21"/>
                      <w:u w:val="none"/>
                    </w:rPr>
                  </w:pPr>
                  <w:r>
                    <w:rPr>
                      <w:rFonts w:hint="eastAsia"/>
                      <w:color w:val="auto"/>
                      <w:sz w:val="21"/>
                      <w:szCs w:val="21"/>
                      <w:u w:val="none"/>
                    </w:rPr>
                    <w:t>相符</w:t>
                  </w:r>
                </w:p>
              </w:tc>
            </w:tr>
            <w:tr w14:paraId="1B56E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2" w:type="pct"/>
                  <w:vMerge w:val="continue"/>
                  <w:vAlign w:val="center"/>
                </w:tcPr>
                <w:p w14:paraId="33C858B2">
                  <w:pPr>
                    <w:spacing w:line="240" w:lineRule="auto"/>
                    <w:ind w:firstLine="0" w:firstLineChars="0"/>
                    <w:jc w:val="center"/>
                    <w:rPr>
                      <w:color w:val="auto"/>
                      <w:sz w:val="21"/>
                      <w:szCs w:val="21"/>
                      <w:u w:val="none"/>
                    </w:rPr>
                  </w:pPr>
                </w:p>
              </w:tc>
              <w:tc>
                <w:tcPr>
                  <w:tcW w:w="3064" w:type="pct"/>
                  <w:vAlign w:val="center"/>
                </w:tcPr>
                <w:p w14:paraId="2011239F">
                  <w:pPr>
                    <w:spacing w:line="240" w:lineRule="auto"/>
                    <w:ind w:firstLine="0" w:firstLineChars="0"/>
                    <w:jc w:val="center"/>
                    <w:rPr>
                      <w:color w:val="auto"/>
                      <w:sz w:val="21"/>
                      <w:szCs w:val="21"/>
                      <w:u w:val="none"/>
                    </w:rPr>
                  </w:pPr>
                  <w:r>
                    <w:rPr>
                      <w:rFonts w:hint="eastAsia"/>
                      <w:color w:val="auto"/>
                      <w:sz w:val="21"/>
                      <w:szCs w:val="21"/>
                      <w:u w:val="none"/>
                    </w:rPr>
                    <w:t>2、园区应制定环境风险应急预案，成立应急组织机构，定期开展应急演练，提高区域环境风险防范能力。</w:t>
                  </w:r>
                </w:p>
              </w:tc>
              <w:tc>
                <w:tcPr>
                  <w:tcW w:w="1100" w:type="pct"/>
                  <w:vAlign w:val="center"/>
                </w:tcPr>
                <w:p w14:paraId="55DE75D7">
                  <w:pPr>
                    <w:spacing w:line="240" w:lineRule="auto"/>
                    <w:ind w:firstLine="0" w:firstLineChars="0"/>
                    <w:rPr>
                      <w:color w:val="auto"/>
                      <w:sz w:val="21"/>
                      <w:szCs w:val="21"/>
                      <w:u w:val="none"/>
                    </w:rPr>
                  </w:pPr>
                  <w:r>
                    <w:rPr>
                      <w:rFonts w:hint="eastAsia"/>
                      <w:color w:val="auto"/>
                      <w:sz w:val="21"/>
                      <w:szCs w:val="21"/>
                      <w:u w:val="none"/>
                    </w:rPr>
                    <w:t>项目建成后</w:t>
                  </w:r>
                  <w:r>
                    <w:rPr>
                      <w:rFonts w:hint="eastAsia"/>
                      <w:color w:val="auto"/>
                      <w:sz w:val="21"/>
                      <w:szCs w:val="21"/>
                      <w:u w:val="none"/>
                      <w:lang w:val="en-US" w:eastAsia="zh-CN"/>
                    </w:rPr>
                    <w:t>应编制</w:t>
                  </w:r>
                  <w:r>
                    <w:rPr>
                      <w:rFonts w:hint="eastAsia"/>
                      <w:color w:val="auto"/>
                      <w:sz w:val="21"/>
                      <w:szCs w:val="21"/>
                      <w:u w:val="none"/>
                    </w:rPr>
                    <w:t>应急预案。</w:t>
                  </w:r>
                </w:p>
              </w:tc>
              <w:tc>
                <w:tcPr>
                  <w:tcW w:w="512" w:type="pct"/>
                  <w:vAlign w:val="center"/>
                </w:tcPr>
                <w:p w14:paraId="63DFD711">
                  <w:pPr>
                    <w:spacing w:line="240" w:lineRule="auto"/>
                    <w:ind w:firstLine="0" w:firstLineChars="0"/>
                    <w:jc w:val="center"/>
                    <w:rPr>
                      <w:color w:val="auto"/>
                      <w:sz w:val="21"/>
                      <w:szCs w:val="21"/>
                      <w:u w:val="none"/>
                    </w:rPr>
                  </w:pPr>
                  <w:r>
                    <w:rPr>
                      <w:rFonts w:hint="eastAsia"/>
                      <w:color w:val="auto"/>
                      <w:sz w:val="21"/>
                      <w:szCs w:val="21"/>
                      <w:u w:val="none"/>
                    </w:rPr>
                    <w:t>相符</w:t>
                  </w:r>
                </w:p>
              </w:tc>
            </w:tr>
            <w:tr w14:paraId="19436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2" w:type="pct"/>
                  <w:vAlign w:val="center"/>
                </w:tcPr>
                <w:p w14:paraId="669A81D9">
                  <w:pPr>
                    <w:spacing w:line="240" w:lineRule="auto"/>
                    <w:ind w:firstLine="0" w:firstLineChars="0"/>
                    <w:jc w:val="center"/>
                    <w:rPr>
                      <w:color w:val="auto"/>
                      <w:sz w:val="21"/>
                      <w:szCs w:val="21"/>
                      <w:u w:val="none"/>
                    </w:rPr>
                  </w:pPr>
                  <w:r>
                    <w:rPr>
                      <w:rFonts w:hint="eastAsia"/>
                      <w:color w:val="auto"/>
                      <w:sz w:val="21"/>
                      <w:szCs w:val="21"/>
                      <w:u w:val="none"/>
                    </w:rPr>
                    <w:t>资源利用率要求</w:t>
                  </w:r>
                </w:p>
              </w:tc>
              <w:tc>
                <w:tcPr>
                  <w:tcW w:w="3064" w:type="pct"/>
                  <w:vAlign w:val="center"/>
                </w:tcPr>
                <w:p w14:paraId="7C126ACE">
                  <w:pPr>
                    <w:spacing w:line="240" w:lineRule="auto"/>
                    <w:ind w:firstLine="0" w:firstLineChars="0"/>
                    <w:jc w:val="center"/>
                    <w:rPr>
                      <w:color w:val="auto"/>
                      <w:sz w:val="21"/>
                      <w:szCs w:val="21"/>
                      <w:u w:val="none"/>
                    </w:rPr>
                  </w:pPr>
                  <w:r>
                    <w:rPr>
                      <w:color w:val="auto"/>
                      <w:sz w:val="21"/>
                      <w:szCs w:val="21"/>
                      <w:u w:val="none"/>
                    </w:rPr>
                    <w:t>在禁燃区内，禁止销售、燃用高污染燃料；禁止新建、扩建燃用高污染燃料的设施，已建成的，应当在各省辖市、县（市）人民政府规定的期限内改用天然气、页岩气、液化石油气、电或者其他清洁能源；大力改善煤电机组供电煤耗水平。</w:t>
                  </w:r>
                </w:p>
                <w:p w14:paraId="5391090D">
                  <w:pPr>
                    <w:spacing w:line="240" w:lineRule="auto"/>
                    <w:ind w:firstLine="0" w:firstLineChars="0"/>
                    <w:jc w:val="center"/>
                    <w:rPr>
                      <w:color w:val="auto"/>
                      <w:sz w:val="21"/>
                      <w:szCs w:val="21"/>
                      <w:u w:val="none"/>
                    </w:rPr>
                  </w:pPr>
                </w:p>
              </w:tc>
              <w:tc>
                <w:tcPr>
                  <w:tcW w:w="1100" w:type="pct"/>
                  <w:vAlign w:val="center"/>
                </w:tcPr>
                <w:p w14:paraId="004F3385">
                  <w:pPr>
                    <w:spacing w:line="240" w:lineRule="auto"/>
                    <w:ind w:firstLine="0" w:firstLineChars="0"/>
                    <w:jc w:val="center"/>
                    <w:rPr>
                      <w:color w:val="auto"/>
                      <w:sz w:val="21"/>
                      <w:szCs w:val="21"/>
                      <w:u w:val="none"/>
                    </w:rPr>
                  </w:pPr>
                  <w:r>
                    <w:rPr>
                      <w:rFonts w:hint="eastAsia"/>
                      <w:color w:val="auto"/>
                      <w:sz w:val="21"/>
                      <w:szCs w:val="21"/>
                      <w:u w:val="none"/>
                    </w:rPr>
                    <w:t>项目不涉及</w:t>
                  </w:r>
                  <w:r>
                    <w:rPr>
                      <w:color w:val="auto"/>
                      <w:sz w:val="21"/>
                      <w:szCs w:val="21"/>
                      <w:u w:val="none"/>
                    </w:rPr>
                    <w:t>高污染燃料</w:t>
                  </w:r>
                </w:p>
              </w:tc>
              <w:tc>
                <w:tcPr>
                  <w:tcW w:w="512" w:type="pct"/>
                  <w:vAlign w:val="center"/>
                </w:tcPr>
                <w:p w14:paraId="505798DF">
                  <w:pPr>
                    <w:spacing w:line="240" w:lineRule="auto"/>
                    <w:ind w:firstLine="0" w:firstLineChars="0"/>
                    <w:jc w:val="center"/>
                    <w:rPr>
                      <w:color w:val="auto"/>
                      <w:sz w:val="21"/>
                      <w:szCs w:val="21"/>
                      <w:u w:val="none"/>
                    </w:rPr>
                  </w:pPr>
                  <w:r>
                    <w:rPr>
                      <w:rFonts w:hint="eastAsia"/>
                      <w:color w:val="auto"/>
                      <w:sz w:val="21"/>
                      <w:szCs w:val="21"/>
                      <w:u w:val="none"/>
                    </w:rPr>
                    <w:t>相符</w:t>
                  </w:r>
                </w:p>
              </w:tc>
            </w:tr>
          </w:tbl>
          <w:p w14:paraId="38D0FF5D">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与涉及河南省大气环境管控相符性分析（受体敏感重点管控区）</w:t>
            </w:r>
          </w:p>
          <w:tbl>
            <w:tblPr>
              <w:tblStyle w:val="20"/>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14"/>
              <w:gridCol w:w="4894"/>
              <w:gridCol w:w="1757"/>
              <w:gridCol w:w="818"/>
            </w:tblGrid>
            <w:tr w14:paraId="20F6C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2" w:type="pct"/>
                  <w:vAlign w:val="center"/>
                </w:tcPr>
                <w:p w14:paraId="3703F68F">
                  <w:pPr>
                    <w:spacing w:line="240" w:lineRule="auto"/>
                    <w:ind w:firstLine="0" w:firstLineChars="0"/>
                    <w:jc w:val="center"/>
                    <w:rPr>
                      <w:color w:val="auto"/>
                      <w:sz w:val="21"/>
                      <w:szCs w:val="21"/>
                      <w:u w:val="none"/>
                    </w:rPr>
                  </w:pPr>
                  <w:r>
                    <w:rPr>
                      <w:rFonts w:hint="eastAsia"/>
                      <w:color w:val="auto"/>
                      <w:sz w:val="21"/>
                      <w:szCs w:val="21"/>
                      <w:u w:val="none"/>
                    </w:rPr>
                    <w:t>维度</w:t>
                  </w:r>
                </w:p>
              </w:tc>
              <w:tc>
                <w:tcPr>
                  <w:tcW w:w="3064" w:type="pct"/>
                  <w:vAlign w:val="center"/>
                </w:tcPr>
                <w:p w14:paraId="136FCFC8">
                  <w:pPr>
                    <w:spacing w:line="240" w:lineRule="auto"/>
                    <w:ind w:firstLine="0" w:firstLineChars="0"/>
                    <w:jc w:val="center"/>
                    <w:rPr>
                      <w:color w:val="auto"/>
                      <w:sz w:val="21"/>
                      <w:szCs w:val="21"/>
                      <w:u w:val="none"/>
                    </w:rPr>
                  </w:pPr>
                  <w:r>
                    <w:rPr>
                      <w:rFonts w:hint="eastAsia"/>
                      <w:color w:val="auto"/>
                      <w:sz w:val="21"/>
                      <w:szCs w:val="21"/>
                      <w:u w:val="none"/>
                    </w:rPr>
                    <w:t>单元管控要求</w:t>
                  </w:r>
                </w:p>
              </w:tc>
              <w:tc>
                <w:tcPr>
                  <w:tcW w:w="1100" w:type="pct"/>
                  <w:vAlign w:val="center"/>
                </w:tcPr>
                <w:p w14:paraId="3FCF4B84">
                  <w:pPr>
                    <w:spacing w:line="240" w:lineRule="auto"/>
                    <w:ind w:firstLine="0" w:firstLineChars="0"/>
                    <w:jc w:val="center"/>
                    <w:rPr>
                      <w:color w:val="auto"/>
                      <w:sz w:val="21"/>
                      <w:szCs w:val="21"/>
                      <w:u w:val="none"/>
                    </w:rPr>
                  </w:pPr>
                  <w:r>
                    <w:rPr>
                      <w:rFonts w:hint="eastAsia"/>
                      <w:color w:val="auto"/>
                      <w:sz w:val="21"/>
                      <w:szCs w:val="21"/>
                      <w:u w:val="none"/>
                    </w:rPr>
                    <w:t>本项目</w:t>
                  </w:r>
                </w:p>
              </w:tc>
              <w:tc>
                <w:tcPr>
                  <w:tcW w:w="512" w:type="pct"/>
                  <w:vAlign w:val="center"/>
                </w:tcPr>
                <w:p w14:paraId="5E3FD5DA">
                  <w:pPr>
                    <w:spacing w:line="240" w:lineRule="auto"/>
                    <w:ind w:firstLine="0" w:firstLineChars="0"/>
                    <w:jc w:val="center"/>
                    <w:rPr>
                      <w:color w:val="auto"/>
                      <w:sz w:val="21"/>
                      <w:szCs w:val="21"/>
                      <w:u w:val="none"/>
                    </w:rPr>
                  </w:pPr>
                  <w:r>
                    <w:rPr>
                      <w:rFonts w:hint="eastAsia"/>
                      <w:color w:val="auto"/>
                      <w:sz w:val="21"/>
                      <w:szCs w:val="21"/>
                      <w:u w:val="none"/>
                    </w:rPr>
                    <w:t>相符性</w:t>
                  </w:r>
                </w:p>
              </w:tc>
            </w:tr>
            <w:tr w14:paraId="4276B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2" w:type="pct"/>
                  <w:vMerge w:val="restart"/>
                  <w:vAlign w:val="center"/>
                </w:tcPr>
                <w:p w14:paraId="0227461F">
                  <w:pPr>
                    <w:spacing w:line="240" w:lineRule="auto"/>
                    <w:ind w:firstLine="0" w:firstLineChars="0"/>
                    <w:jc w:val="center"/>
                    <w:rPr>
                      <w:color w:val="auto"/>
                      <w:sz w:val="21"/>
                      <w:szCs w:val="21"/>
                      <w:u w:val="none"/>
                    </w:rPr>
                  </w:pPr>
                  <w:r>
                    <w:rPr>
                      <w:rFonts w:hint="eastAsia"/>
                      <w:color w:val="auto"/>
                      <w:sz w:val="21"/>
                      <w:szCs w:val="21"/>
                      <w:u w:val="none"/>
                    </w:rPr>
                    <w:t>空间布局约束</w:t>
                  </w:r>
                </w:p>
              </w:tc>
              <w:tc>
                <w:tcPr>
                  <w:tcW w:w="3064" w:type="pct"/>
                  <w:vAlign w:val="center"/>
                </w:tcPr>
                <w:p w14:paraId="69F5C648">
                  <w:pPr>
                    <w:spacing w:line="240" w:lineRule="auto"/>
                    <w:ind w:firstLine="0" w:firstLineChars="0"/>
                    <w:jc w:val="center"/>
                    <w:rPr>
                      <w:color w:val="auto"/>
                      <w:sz w:val="21"/>
                      <w:szCs w:val="21"/>
                      <w:u w:val="none"/>
                    </w:rPr>
                  </w:pPr>
                  <w:r>
                    <w:rPr>
                      <w:rFonts w:hint="eastAsia"/>
                      <w:color w:val="auto"/>
                      <w:sz w:val="21"/>
                      <w:szCs w:val="21"/>
                      <w:u w:val="none"/>
                    </w:rPr>
                    <w:t>1、在各省辖市城市建成区内，禁止新建每小时二十蒸吨以下的燃烧煤炭、重油、渣油蹦及直接燃用生物质的锅炉，其他地区禁止新建每小时十蒸吨以下的燃烧煤炭、重油、渣油以及直接燃用生物质的锅炉。</w:t>
                  </w:r>
                </w:p>
              </w:tc>
              <w:tc>
                <w:tcPr>
                  <w:tcW w:w="1100" w:type="pct"/>
                  <w:vAlign w:val="center"/>
                </w:tcPr>
                <w:p w14:paraId="179F5D01">
                  <w:pPr>
                    <w:spacing w:line="240" w:lineRule="auto"/>
                    <w:ind w:firstLine="0" w:firstLineChars="0"/>
                    <w:jc w:val="center"/>
                    <w:rPr>
                      <w:color w:val="auto"/>
                      <w:sz w:val="21"/>
                      <w:szCs w:val="21"/>
                      <w:u w:val="none"/>
                    </w:rPr>
                  </w:pPr>
                  <w:r>
                    <w:rPr>
                      <w:rFonts w:hint="eastAsia"/>
                      <w:color w:val="auto"/>
                      <w:sz w:val="21"/>
                      <w:szCs w:val="21"/>
                      <w:u w:val="none"/>
                    </w:rPr>
                    <w:t>本项目不涉及锅炉。</w:t>
                  </w:r>
                </w:p>
              </w:tc>
              <w:tc>
                <w:tcPr>
                  <w:tcW w:w="512" w:type="pct"/>
                  <w:vAlign w:val="center"/>
                </w:tcPr>
                <w:p w14:paraId="1C6DA034">
                  <w:pPr>
                    <w:spacing w:line="240" w:lineRule="auto"/>
                    <w:ind w:firstLine="0" w:firstLineChars="0"/>
                    <w:jc w:val="center"/>
                    <w:rPr>
                      <w:color w:val="auto"/>
                      <w:sz w:val="21"/>
                      <w:szCs w:val="21"/>
                      <w:u w:val="none"/>
                    </w:rPr>
                  </w:pPr>
                  <w:r>
                    <w:rPr>
                      <w:rFonts w:hint="eastAsia"/>
                      <w:color w:val="auto"/>
                      <w:sz w:val="21"/>
                      <w:szCs w:val="21"/>
                      <w:u w:val="none"/>
                    </w:rPr>
                    <w:t>相符</w:t>
                  </w:r>
                </w:p>
              </w:tc>
            </w:tr>
            <w:tr w14:paraId="7B2C2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2" w:type="pct"/>
                  <w:vMerge w:val="continue"/>
                  <w:vAlign w:val="center"/>
                </w:tcPr>
                <w:p w14:paraId="345C8E52">
                  <w:pPr>
                    <w:spacing w:line="240" w:lineRule="auto"/>
                    <w:ind w:firstLine="0" w:firstLineChars="0"/>
                    <w:jc w:val="center"/>
                    <w:rPr>
                      <w:color w:val="auto"/>
                      <w:sz w:val="21"/>
                      <w:szCs w:val="21"/>
                      <w:u w:val="none"/>
                    </w:rPr>
                  </w:pPr>
                </w:p>
              </w:tc>
              <w:tc>
                <w:tcPr>
                  <w:tcW w:w="3064" w:type="pct"/>
                  <w:vAlign w:val="center"/>
                </w:tcPr>
                <w:p w14:paraId="4A583B1B">
                  <w:pPr>
                    <w:spacing w:line="240" w:lineRule="auto"/>
                    <w:ind w:firstLine="0" w:firstLineChars="0"/>
                    <w:jc w:val="center"/>
                    <w:rPr>
                      <w:color w:val="auto"/>
                      <w:sz w:val="21"/>
                      <w:szCs w:val="21"/>
                      <w:u w:val="none"/>
                    </w:rPr>
                  </w:pPr>
                  <w:r>
                    <w:rPr>
                      <w:rFonts w:hint="eastAsia"/>
                      <w:color w:val="auto"/>
                      <w:sz w:val="21"/>
                      <w:szCs w:val="21"/>
                      <w:u w:val="none"/>
                    </w:rPr>
                    <w:t>2、在居民住宅区等人口密集区域和医院、学校、幼儿园、养老院等其他需要特殊保护的区域及其周边，不得新建、改建和扩建石化、焦化、制药、油漆、塑料、橡胶、造纸、饲料等易产生恶臭气体的生产项目或者从事其他产生恶臭气体的生产经营活动。已建成的，应当逐步搬迁或者升级改造。</w:t>
                  </w:r>
                </w:p>
              </w:tc>
              <w:tc>
                <w:tcPr>
                  <w:tcW w:w="1100" w:type="pct"/>
                  <w:vAlign w:val="center"/>
                </w:tcPr>
                <w:p w14:paraId="3E9EE106">
                  <w:pPr>
                    <w:spacing w:line="240" w:lineRule="auto"/>
                    <w:ind w:firstLine="0" w:firstLineChars="0"/>
                    <w:jc w:val="center"/>
                    <w:rPr>
                      <w:rFonts w:hint="eastAsia"/>
                      <w:color w:val="auto"/>
                      <w:sz w:val="21"/>
                      <w:szCs w:val="21"/>
                      <w:u w:val="none"/>
                      <w:lang w:val="en-US" w:eastAsia="zh-CN"/>
                    </w:rPr>
                  </w:pPr>
                  <w:r>
                    <w:rPr>
                      <w:rFonts w:hint="eastAsia"/>
                      <w:color w:val="auto"/>
                      <w:sz w:val="21"/>
                      <w:szCs w:val="21"/>
                      <w:u w:val="none"/>
                      <w:lang w:val="en-US" w:eastAsia="zh-CN"/>
                    </w:rPr>
                    <w:t>本项目为中药饮片喝中成药生产项目，生产过程中产生的药材异味和药渣产生的异味经“水喷淋+活性炭吸附”处置后高空排放。</w:t>
                  </w:r>
                </w:p>
                <w:p w14:paraId="76101721">
                  <w:pPr>
                    <w:spacing w:line="240" w:lineRule="auto"/>
                    <w:ind w:firstLine="0" w:firstLineChars="0"/>
                    <w:jc w:val="center"/>
                    <w:rPr>
                      <w:rFonts w:hint="default"/>
                      <w:color w:val="auto"/>
                      <w:sz w:val="21"/>
                      <w:szCs w:val="21"/>
                      <w:u w:val="none"/>
                      <w:lang w:val="en-US" w:eastAsia="zh-CN"/>
                    </w:rPr>
                  </w:pPr>
                  <w:r>
                    <w:rPr>
                      <w:rFonts w:hint="eastAsia"/>
                      <w:color w:val="auto"/>
                      <w:sz w:val="21"/>
                      <w:szCs w:val="21"/>
                      <w:u w:val="none"/>
                      <w:lang w:val="en-US" w:eastAsia="zh-CN"/>
                    </w:rPr>
                    <w:t>污水处理站产生的恶臭采用“加盖密闭+生物滤池除臭+绿化”处置后高空排放</w:t>
                  </w:r>
                </w:p>
              </w:tc>
              <w:tc>
                <w:tcPr>
                  <w:tcW w:w="512" w:type="pct"/>
                  <w:vAlign w:val="center"/>
                </w:tcPr>
                <w:p w14:paraId="6F63DBF7">
                  <w:pPr>
                    <w:spacing w:line="240" w:lineRule="auto"/>
                    <w:ind w:firstLine="0" w:firstLineChars="0"/>
                    <w:jc w:val="center"/>
                    <w:rPr>
                      <w:color w:val="auto"/>
                      <w:sz w:val="21"/>
                      <w:szCs w:val="21"/>
                      <w:u w:val="none"/>
                    </w:rPr>
                  </w:pPr>
                  <w:r>
                    <w:rPr>
                      <w:rFonts w:hint="eastAsia"/>
                      <w:color w:val="auto"/>
                      <w:sz w:val="21"/>
                      <w:szCs w:val="21"/>
                      <w:u w:val="none"/>
                    </w:rPr>
                    <w:t>相符</w:t>
                  </w:r>
                </w:p>
              </w:tc>
            </w:tr>
            <w:tr w14:paraId="794A8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2" w:type="pct"/>
                  <w:vMerge w:val="continue"/>
                  <w:vAlign w:val="center"/>
                </w:tcPr>
                <w:p w14:paraId="157BE3D0">
                  <w:pPr>
                    <w:spacing w:line="240" w:lineRule="auto"/>
                    <w:ind w:firstLine="0" w:firstLineChars="0"/>
                    <w:jc w:val="center"/>
                    <w:rPr>
                      <w:color w:val="auto"/>
                      <w:sz w:val="21"/>
                      <w:szCs w:val="21"/>
                      <w:u w:val="none"/>
                    </w:rPr>
                  </w:pPr>
                </w:p>
              </w:tc>
              <w:tc>
                <w:tcPr>
                  <w:tcW w:w="3064" w:type="pct"/>
                  <w:vAlign w:val="center"/>
                </w:tcPr>
                <w:p w14:paraId="3258FBE9">
                  <w:pPr>
                    <w:spacing w:line="240" w:lineRule="auto"/>
                    <w:ind w:firstLine="0" w:firstLineChars="0"/>
                    <w:jc w:val="center"/>
                    <w:rPr>
                      <w:color w:val="auto"/>
                      <w:sz w:val="21"/>
                      <w:szCs w:val="21"/>
                      <w:u w:val="none"/>
                    </w:rPr>
                  </w:pPr>
                  <w:r>
                    <w:rPr>
                      <w:rFonts w:hint="eastAsia"/>
                      <w:color w:val="auto"/>
                      <w:sz w:val="21"/>
                      <w:szCs w:val="21"/>
                      <w:u w:val="none"/>
                    </w:rPr>
                    <w:t>3、到2025年，城市建成区内重污染企业分类完成就地改造、退城入园、转型转产或关闭退出任务。</w:t>
                  </w:r>
                </w:p>
              </w:tc>
              <w:tc>
                <w:tcPr>
                  <w:tcW w:w="1100" w:type="pct"/>
                  <w:vAlign w:val="center"/>
                </w:tcPr>
                <w:p w14:paraId="1911DC98">
                  <w:pPr>
                    <w:spacing w:line="240" w:lineRule="auto"/>
                    <w:ind w:firstLine="0" w:firstLineChars="0"/>
                    <w:jc w:val="center"/>
                    <w:rPr>
                      <w:color w:val="auto"/>
                      <w:sz w:val="21"/>
                      <w:szCs w:val="21"/>
                      <w:u w:val="none"/>
                    </w:rPr>
                  </w:pPr>
                  <w:r>
                    <w:rPr>
                      <w:rFonts w:hint="eastAsia"/>
                      <w:color w:val="auto"/>
                      <w:sz w:val="21"/>
                      <w:szCs w:val="21"/>
                      <w:u w:val="none"/>
                    </w:rPr>
                    <w:t>不涉及。</w:t>
                  </w:r>
                </w:p>
              </w:tc>
              <w:tc>
                <w:tcPr>
                  <w:tcW w:w="512" w:type="pct"/>
                  <w:vAlign w:val="center"/>
                </w:tcPr>
                <w:p w14:paraId="5454C03D">
                  <w:pPr>
                    <w:spacing w:line="240" w:lineRule="auto"/>
                    <w:ind w:firstLine="0" w:firstLineChars="0"/>
                    <w:jc w:val="center"/>
                    <w:rPr>
                      <w:color w:val="auto"/>
                      <w:sz w:val="21"/>
                      <w:szCs w:val="21"/>
                      <w:u w:val="none"/>
                    </w:rPr>
                  </w:pPr>
                  <w:r>
                    <w:rPr>
                      <w:rFonts w:hint="eastAsia"/>
                      <w:color w:val="auto"/>
                      <w:sz w:val="21"/>
                      <w:szCs w:val="21"/>
                      <w:u w:val="none"/>
                    </w:rPr>
                    <w:t>相符</w:t>
                  </w:r>
                </w:p>
              </w:tc>
            </w:tr>
            <w:tr w14:paraId="1FE52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2" w:type="pct"/>
                  <w:vMerge w:val="restart"/>
                  <w:vAlign w:val="center"/>
                </w:tcPr>
                <w:p w14:paraId="6BD932D4">
                  <w:pPr>
                    <w:spacing w:line="240" w:lineRule="auto"/>
                    <w:ind w:firstLine="0" w:firstLineChars="0"/>
                    <w:jc w:val="center"/>
                    <w:rPr>
                      <w:color w:val="auto"/>
                      <w:sz w:val="21"/>
                      <w:szCs w:val="21"/>
                      <w:u w:val="none"/>
                    </w:rPr>
                  </w:pPr>
                  <w:r>
                    <w:rPr>
                      <w:rFonts w:hint="eastAsia"/>
                      <w:color w:val="auto"/>
                      <w:sz w:val="21"/>
                      <w:szCs w:val="21"/>
                      <w:u w:val="none"/>
                    </w:rPr>
                    <w:t>污染物排放管控</w:t>
                  </w:r>
                </w:p>
              </w:tc>
              <w:tc>
                <w:tcPr>
                  <w:tcW w:w="3064" w:type="pct"/>
                  <w:vAlign w:val="center"/>
                </w:tcPr>
                <w:p w14:paraId="7F211528">
                  <w:pPr>
                    <w:spacing w:line="240" w:lineRule="auto"/>
                    <w:ind w:firstLine="0" w:firstLineChars="0"/>
                    <w:jc w:val="center"/>
                    <w:rPr>
                      <w:color w:val="auto"/>
                      <w:sz w:val="21"/>
                      <w:szCs w:val="21"/>
                      <w:u w:val="none"/>
                    </w:rPr>
                  </w:pPr>
                  <w:r>
                    <w:rPr>
                      <w:color w:val="auto"/>
                      <w:sz w:val="21"/>
                      <w:szCs w:val="21"/>
                      <w:u w:val="none"/>
                    </w:rPr>
                    <w:t>1、大力推进钢铁、焦化等重点行业产业结构调整和转型升级，加快钢铁、水泥、焦化行业及锅炉超低排放改造。深化有色金属冶炼、铸造、碳素、耐材、烧结类砖瓦等行业工业炉窑综合整治及垃圾焚烧发电、生物质发电烟气深度治理。</w:t>
                  </w:r>
                </w:p>
              </w:tc>
              <w:tc>
                <w:tcPr>
                  <w:tcW w:w="1100" w:type="pct"/>
                  <w:vAlign w:val="center"/>
                </w:tcPr>
                <w:p w14:paraId="06021258">
                  <w:pPr>
                    <w:spacing w:line="240" w:lineRule="auto"/>
                    <w:ind w:firstLine="0" w:firstLineChars="0"/>
                    <w:jc w:val="center"/>
                    <w:rPr>
                      <w:color w:val="auto"/>
                      <w:sz w:val="21"/>
                      <w:szCs w:val="21"/>
                      <w:u w:val="none"/>
                    </w:rPr>
                  </w:pPr>
                  <w:r>
                    <w:rPr>
                      <w:rFonts w:hint="eastAsia"/>
                      <w:color w:val="auto"/>
                      <w:sz w:val="21"/>
                      <w:szCs w:val="21"/>
                      <w:u w:val="none"/>
                    </w:rPr>
                    <w:t>不涉及</w:t>
                  </w:r>
                </w:p>
              </w:tc>
              <w:tc>
                <w:tcPr>
                  <w:tcW w:w="512" w:type="pct"/>
                  <w:vAlign w:val="center"/>
                </w:tcPr>
                <w:p w14:paraId="0783CFB2">
                  <w:pPr>
                    <w:spacing w:line="240" w:lineRule="auto"/>
                    <w:ind w:firstLine="0" w:firstLineChars="0"/>
                    <w:jc w:val="center"/>
                    <w:rPr>
                      <w:color w:val="auto"/>
                      <w:sz w:val="21"/>
                      <w:szCs w:val="21"/>
                      <w:u w:val="none"/>
                    </w:rPr>
                  </w:pPr>
                  <w:r>
                    <w:rPr>
                      <w:rFonts w:hint="eastAsia"/>
                      <w:color w:val="auto"/>
                      <w:sz w:val="21"/>
                      <w:szCs w:val="21"/>
                      <w:u w:val="none"/>
                    </w:rPr>
                    <w:t>相符</w:t>
                  </w:r>
                </w:p>
              </w:tc>
            </w:tr>
            <w:tr w14:paraId="16A35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2" w:type="pct"/>
                  <w:vMerge w:val="continue"/>
                  <w:vAlign w:val="center"/>
                </w:tcPr>
                <w:p w14:paraId="06A38E60">
                  <w:pPr>
                    <w:spacing w:line="240" w:lineRule="auto"/>
                    <w:ind w:firstLine="0" w:firstLineChars="0"/>
                    <w:jc w:val="center"/>
                    <w:rPr>
                      <w:color w:val="auto"/>
                      <w:sz w:val="21"/>
                      <w:szCs w:val="21"/>
                      <w:u w:val="none"/>
                    </w:rPr>
                  </w:pPr>
                </w:p>
              </w:tc>
              <w:tc>
                <w:tcPr>
                  <w:tcW w:w="3064" w:type="pct"/>
                  <w:vAlign w:val="center"/>
                </w:tcPr>
                <w:p w14:paraId="74724D06">
                  <w:pPr>
                    <w:spacing w:line="240" w:lineRule="auto"/>
                    <w:ind w:firstLine="0" w:firstLineChars="0"/>
                    <w:jc w:val="center"/>
                    <w:rPr>
                      <w:color w:val="auto"/>
                      <w:sz w:val="21"/>
                      <w:szCs w:val="21"/>
                      <w:u w:val="none"/>
                    </w:rPr>
                  </w:pPr>
                  <w:r>
                    <w:rPr>
                      <w:color w:val="auto"/>
                      <w:sz w:val="21"/>
                      <w:szCs w:val="21"/>
                      <w:u w:val="none"/>
                    </w:rPr>
                    <w:t>2、推动氢燃料电池汽车示范应用，推广新能源汽车和非道路移动机械。推进公共领域车辆新能源化。实施清洁柴油车（机）行动，基本淘汰国三及以下排放标准汽车，基本消除未登记或冒黑烟工程机械</w:t>
                  </w:r>
                </w:p>
              </w:tc>
              <w:tc>
                <w:tcPr>
                  <w:tcW w:w="1100" w:type="pct"/>
                  <w:vAlign w:val="center"/>
                </w:tcPr>
                <w:p w14:paraId="760721A9">
                  <w:pPr>
                    <w:spacing w:line="240" w:lineRule="auto"/>
                    <w:ind w:firstLine="0" w:firstLineChars="0"/>
                    <w:jc w:val="center"/>
                    <w:rPr>
                      <w:color w:val="auto"/>
                      <w:sz w:val="21"/>
                      <w:szCs w:val="21"/>
                      <w:u w:val="none"/>
                    </w:rPr>
                  </w:pPr>
                  <w:r>
                    <w:rPr>
                      <w:rFonts w:hint="eastAsia"/>
                      <w:color w:val="auto"/>
                      <w:sz w:val="21"/>
                      <w:szCs w:val="21"/>
                      <w:u w:val="none"/>
                    </w:rPr>
                    <w:t>不涉及。</w:t>
                  </w:r>
                </w:p>
              </w:tc>
              <w:tc>
                <w:tcPr>
                  <w:tcW w:w="512" w:type="pct"/>
                  <w:vAlign w:val="center"/>
                </w:tcPr>
                <w:p w14:paraId="3F82E120">
                  <w:pPr>
                    <w:spacing w:line="240" w:lineRule="auto"/>
                    <w:ind w:firstLine="0" w:firstLineChars="0"/>
                    <w:jc w:val="center"/>
                    <w:rPr>
                      <w:color w:val="auto"/>
                      <w:sz w:val="21"/>
                      <w:szCs w:val="21"/>
                      <w:u w:val="none"/>
                    </w:rPr>
                  </w:pPr>
                  <w:r>
                    <w:rPr>
                      <w:rFonts w:hint="eastAsia"/>
                      <w:color w:val="auto"/>
                      <w:sz w:val="21"/>
                      <w:szCs w:val="21"/>
                      <w:u w:val="none"/>
                    </w:rPr>
                    <w:t>相符</w:t>
                  </w:r>
                </w:p>
              </w:tc>
            </w:tr>
            <w:tr w14:paraId="14D7D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2" w:type="pct"/>
                  <w:vMerge w:val="continue"/>
                  <w:vAlign w:val="center"/>
                </w:tcPr>
                <w:p w14:paraId="33923245">
                  <w:pPr>
                    <w:spacing w:line="240" w:lineRule="auto"/>
                    <w:ind w:firstLine="0" w:firstLineChars="0"/>
                    <w:jc w:val="center"/>
                    <w:rPr>
                      <w:color w:val="auto"/>
                      <w:sz w:val="21"/>
                      <w:szCs w:val="21"/>
                      <w:u w:val="none"/>
                    </w:rPr>
                  </w:pPr>
                </w:p>
              </w:tc>
              <w:tc>
                <w:tcPr>
                  <w:tcW w:w="3064" w:type="pct"/>
                  <w:vAlign w:val="center"/>
                </w:tcPr>
                <w:p w14:paraId="5C68D9B2">
                  <w:pPr>
                    <w:spacing w:line="240" w:lineRule="auto"/>
                    <w:ind w:firstLine="0" w:firstLineChars="0"/>
                    <w:jc w:val="center"/>
                    <w:rPr>
                      <w:color w:val="auto"/>
                      <w:sz w:val="21"/>
                      <w:szCs w:val="21"/>
                      <w:u w:val="none"/>
                    </w:rPr>
                  </w:pPr>
                  <w:r>
                    <w:rPr>
                      <w:color w:val="auto"/>
                      <w:sz w:val="21"/>
                      <w:szCs w:val="21"/>
                      <w:u w:val="none"/>
                    </w:rPr>
                    <w:t>。3、加强道路扬尘综合整治，大力推进道路机械化清扫保洁作业，到2025年，各设区市建成区道路机械化清扫率达到95%以上，县城达到90%以上。各市平均降尘量到2025年不得高于7吨/月·平方公里。</w:t>
                  </w:r>
                </w:p>
              </w:tc>
              <w:tc>
                <w:tcPr>
                  <w:tcW w:w="1100" w:type="pct"/>
                  <w:vAlign w:val="center"/>
                </w:tcPr>
                <w:p w14:paraId="39794654">
                  <w:pPr>
                    <w:spacing w:line="240" w:lineRule="auto"/>
                    <w:ind w:firstLine="0" w:firstLineChars="0"/>
                    <w:jc w:val="center"/>
                    <w:rPr>
                      <w:color w:val="auto"/>
                      <w:sz w:val="21"/>
                      <w:szCs w:val="21"/>
                      <w:u w:val="none"/>
                    </w:rPr>
                  </w:pPr>
                  <w:r>
                    <w:rPr>
                      <w:rFonts w:hint="eastAsia"/>
                      <w:color w:val="auto"/>
                      <w:sz w:val="21"/>
                      <w:szCs w:val="21"/>
                      <w:u w:val="none"/>
                    </w:rPr>
                    <w:t>不涉及。</w:t>
                  </w:r>
                </w:p>
              </w:tc>
              <w:tc>
                <w:tcPr>
                  <w:tcW w:w="512" w:type="pct"/>
                  <w:vAlign w:val="center"/>
                </w:tcPr>
                <w:p w14:paraId="06D943A8">
                  <w:pPr>
                    <w:spacing w:line="240" w:lineRule="auto"/>
                    <w:ind w:firstLine="0" w:firstLineChars="0"/>
                    <w:jc w:val="center"/>
                    <w:rPr>
                      <w:color w:val="auto"/>
                      <w:sz w:val="21"/>
                      <w:szCs w:val="21"/>
                      <w:u w:val="none"/>
                    </w:rPr>
                  </w:pPr>
                  <w:r>
                    <w:rPr>
                      <w:rFonts w:hint="eastAsia"/>
                      <w:color w:val="auto"/>
                      <w:sz w:val="21"/>
                      <w:szCs w:val="21"/>
                      <w:u w:val="none"/>
                    </w:rPr>
                    <w:t>相符</w:t>
                  </w:r>
                </w:p>
              </w:tc>
            </w:tr>
            <w:tr w14:paraId="74E23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2" w:type="pct"/>
                  <w:vMerge w:val="restart"/>
                  <w:vAlign w:val="center"/>
                </w:tcPr>
                <w:p w14:paraId="18FB90D4">
                  <w:pPr>
                    <w:spacing w:line="240" w:lineRule="auto"/>
                    <w:ind w:firstLine="0" w:firstLineChars="0"/>
                    <w:jc w:val="center"/>
                    <w:rPr>
                      <w:color w:val="auto"/>
                      <w:sz w:val="21"/>
                      <w:szCs w:val="21"/>
                      <w:u w:val="none"/>
                    </w:rPr>
                  </w:pPr>
                  <w:r>
                    <w:rPr>
                      <w:rFonts w:hint="eastAsia"/>
                      <w:color w:val="auto"/>
                      <w:sz w:val="21"/>
                      <w:szCs w:val="21"/>
                      <w:u w:val="none"/>
                    </w:rPr>
                    <w:t>环境风险防控</w:t>
                  </w:r>
                </w:p>
              </w:tc>
              <w:tc>
                <w:tcPr>
                  <w:tcW w:w="3064" w:type="pct"/>
                  <w:vAlign w:val="center"/>
                </w:tcPr>
                <w:p w14:paraId="09D60C3D">
                  <w:pPr>
                    <w:spacing w:line="240" w:lineRule="auto"/>
                    <w:ind w:firstLine="0" w:firstLineChars="0"/>
                    <w:jc w:val="center"/>
                    <w:rPr>
                      <w:color w:val="auto"/>
                      <w:sz w:val="21"/>
                      <w:szCs w:val="21"/>
                      <w:u w:val="none"/>
                    </w:rPr>
                  </w:pPr>
                  <w:r>
                    <w:rPr>
                      <w:rFonts w:hint="eastAsia"/>
                      <w:color w:val="auto"/>
                      <w:sz w:val="21"/>
                      <w:szCs w:val="21"/>
                      <w:u w:val="none"/>
                    </w:rPr>
                    <w:t>1、实施重污染企业退城搬迁，加快城市建成区、人群密集区、重点流域的重污染企业和危险化学品等环境风险大的企业搬迁改造、关停退出，推动实施一批水泥、玻璃、焦化、化工等重污染企业退城工程。</w:t>
                  </w:r>
                </w:p>
              </w:tc>
              <w:tc>
                <w:tcPr>
                  <w:tcW w:w="1100" w:type="pct"/>
                  <w:vAlign w:val="center"/>
                </w:tcPr>
                <w:p w14:paraId="0A3AA578">
                  <w:pPr>
                    <w:spacing w:line="240" w:lineRule="auto"/>
                    <w:ind w:firstLine="0" w:firstLineChars="0"/>
                    <w:jc w:val="center"/>
                    <w:rPr>
                      <w:color w:val="auto"/>
                      <w:sz w:val="21"/>
                      <w:szCs w:val="21"/>
                      <w:u w:val="none"/>
                    </w:rPr>
                  </w:pPr>
                  <w:r>
                    <w:rPr>
                      <w:rFonts w:hint="eastAsia"/>
                      <w:color w:val="auto"/>
                      <w:sz w:val="21"/>
                      <w:szCs w:val="21"/>
                      <w:u w:val="none"/>
                    </w:rPr>
                    <w:t>不涉及。</w:t>
                  </w:r>
                </w:p>
              </w:tc>
              <w:tc>
                <w:tcPr>
                  <w:tcW w:w="512" w:type="pct"/>
                  <w:vAlign w:val="center"/>
                </w:tcPr>
                <w:p w14:paraId="55BC1519">
                  <w:pPr>
                    <w:spacing w:line="240" w:lineRule="auto"/>
                    <w:ind w:firstLine="0" w:firstLineChars="0"/>
                    <w:jc w:val="center"/>
                    <w:rPr>
                      <w:color w:val="auto"/>
                      <w:sz w:val="21"/>
                      <w:szCs w:val="21"/>
                      <w:u w:val="none"/>
                    </w:rPr>
                  </w:pPr>
                  <w:r>
                    <w:rPr>
                      <w:rFonts w:hint="eastAsia"/>
                      <w:color w:val="auto"/>
                      <w:sz w:val="21"/>
                      <w:szCs w:val="21"/>
                      <w:u w:val="none"/>
                    </w:rPr>
                    <w:t>相符</w:t>
                  </w:r>
                </w:p>
              </w:tc>
            </w:tr>
            <w:tr w14:paraId="40E75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2" w:type="pct"/>
                  <w:vMerge w:val="continue"/>
                  <w:vAlign w:val="center"/>
                </w:tcPr>
                <w:p w14:paraId="533CD064">
                  <w:pPr>
                    <w:spacing w:line="240" w:lineRule="auto"/>
                    <w:ind w:firstLine="0" w:firstLineChars="0"/>
                    <w:jc w:val="center"/>
                    <w:rPr>
                      <w:color w:val="auto"/>
                      <w:sz w:val="21"/>
                      <w:szCs w:val="21"/>
                      <w:u w:val="none"/>
                    </w:rPr>
                  </w:pPr>
                </w:p>
              </w:tc>
              <w:tc>
                <w:tcPr>
                  <w:tcW w:w="3064" w:type="pct"/>
                  <w:vAlign w:val="center"/>
                </w:tcPr>
                <w:p w14:paraId="7E5C6071">
                  <w:pPr>
                    <w:spacing w:line="240" w:lineRule="auto"/>
                    <w:ind w:firstLine="0" w:firstLineChars="0"/>
                    <w:jc w:val="center"/>
                    <w:rPr>
                      <w:color w:val="auto"/>
                      <w:sz w:val="21"/>
                      <w:szCs w:val="21"/>
                      <w:u w:val="none"/>
                    </w:rPr>
                  </w:pPr>
                  <w:r>
                    <w:rPr>
                      <w:rFonts w:hint="eastAsia"/>
                      <w:color w:val="auto"/>
                      <w:sz w:val="21"/>
                      <w:szCs w:val="21"/>
                      <w:u w:val="none"/>
                    </w:rPr>
                    <w:t>2、提升城乡极端气候事件监测预警、防灾减灾综合评估和风险管控能力，保障城乡建设和基础设施安全。适时开展气候变化影响风险评估，实施适应气候变化行动。</w:t>
                  </w:r>
                </w:p>
              </w:tc>
              <w:tc>
                <w:tcPr>
                  <w:tcW w:w="1100" w:type="pct"/>
                  <w:vAlign w:val="center"/>
                </w:tcPr>
                <w:p w14:paraId="0E81A7DE">
                  <w:pPr>
                    <w:spacing w:line="240" w:lineRule="auto"/>
                    <w:ind w:firstLine="0" w:firstLineChars="0"/>
                    <w:jc w:val="center"/>
                    <w:rPr>
                      <w:color w:val="auto"/>
                      <w:sz w:val="21"/>
                      <w:szCs w:val="21"/>
                      <w:u w:val="none"/>
                    </w:rPr>
                  </w:pPr>
                  <w:r>
                    <w:rPr>
                      <w:rFonts w:hint="eastAsia"/>
                      <w:color w:val="auto"/>
                      <w:sz w:val="21"/>
                      <w:szCs w:val="21"/>
                      <w:u w:val="none"/>
                    </w:rPr>
                    <w:t>不涉及。</w:t>
                  </w:r>
                </w:p>
              </w:tc>
              <w:tc>
                <w:tcPr>
                  <w:tcW w:w="512" w:type="pct"/>
                  <w:vAlign w:val="center"/>
                </w:tcPr>
                <w:p w14:paraId="5C9AC2A2">
                  <w:pPr>
                    <w:spacing w:line="240" w:lineRule="auto"/>
                    <w:ind w:firstLine="0" w:firstLineChars="0"/>
                    <w:jc w:val="center"/>
                    <w:rPr>
                      <w:color w:val="auto"/>
                      <w:sz w:val="21"/>
                      <w:szCs w:val="21"/>
                      <w:u w:val="none"/>
                    </w:rPr>
                  </w:pPr>
                  <w:r>
                    <w:rPr>
                      <w:rFonts w:hint="eastAsia"/>
                      <w:color w:val="auto"/>
                      <w:sz w:val="21"/>
                      <w:szCs w:val="21"/>
                      <w:u w:val="none"/>
                    </w:rPr>
                    <w:t>相符</w:t>
                  </w:r>
                </w:p>
              </w:tc>
            </w:tr>
            <w:tr w14:paraId="5D8B7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2" w:type="pct"/>
                  <w:vAlign w:val="center"/>
                </w:tcPr>
                <w:p w14:paraId="64EF12C9">
                  <w:pPr>
                    <w:spacing w:line="240" w:lineRule="auto"/>
                    <w:ind w:firstLine="0" w:firstLineChars="0"/>
                    <w:jc w:val="center"/>
                    <w:rPr>
                      <w:color w:val="auto"/>
                      <w:sz w:val="21"/>
                      <w:szCs w:val="21"/>
                      <w:u w:val="none"/>
                    </w:rPr>
                  </w:pPr>
                  <w:r>
                    <w:rPr>
                      <w:rFonts w:hint="eastAsia"/>
                      <w:color w:val="auto"/>
                      <w:sz w:val="21"/>
                      <w:szCs w:val="21"/>
                      <w:u w:val="none"/>
                    </w:rPr>
                    <w:t>资源利用率要求</w:t>
                  </w:r>
                </w:p>
              </w:tc>
              <w:tc>
                <w:tcPr>
                  <w:tcW w:w="3064" w:type="pct"/>
                  <w:vAlign w:val="center"/>
                </w:tcPr>
                <w:p w14:paraId="7ABCC3DC">
                  <w:pPr>
                    <w:spacing w:line="240" w:lineRule="auto"/>
                    <w:ind w:firstLine="0" w:firstLineChars="0"/>
                    <w:jc w:val="center"/>
                    <w:rPr>
                      <w:color w:val="auto"/>
                      <w:sz w:val="21"/>
                      <w:szCs w:val="21"/>
                      <w:u w:val="none"/>
                    </w:rPr>
                  </w:pPr>
                  <w:r>
                    <w:rPr>
                      <w:color w:val="auto"/>
                      <w:sz w:val="21"/>
                      <w:szCs w:val="21"/>
                      <w:u w:val="none"/>
                    </w:rPr>
                    <w:t>1、在禁燃区内，禁止销售、燃用高污染燃料；禁止新建、扩建燃用高污染燃料的设施，已建成的，应当在各省辖市、县（市）人民政府规定的期限内改用天然气、页岩气、液化石油气、电或者其他清洁能源。2、基本实现城区集中供暖全覆盖。</w:t>
                  </w:r>
                </w:p>
                <w:p w14:paraId="21C92959">
                  <w:pPr>
                    <w:spacing w:line="240" w:lineRule="auto"/>
                    <w:ind w:firstLine="0" w:firstLineChars="0"/>
                    <w:jc w:val="center"/>
                    <w:rPr>
                      <w:color w:val="auto"/>
                      <w:sz w:val="21"/>
                      <w:szCs w:val="21"/>
                      <w:u w:val="none"/>
                    </w:rPr>
                  </w:pPr>
                </w:p>
                <w:p w14:paraId="5E6DB898">
                  <w:pPr>
                    <w:spacing w:line="240" w:lineRule="auto"/>
                    <w:ind w:firstLine="0" w:firstLineChars="0"/>
                    <w:jc w:val="center"/>
                    <w:rPr>
                      <w:color w:val="auto"/>
                      <w:sz w:val="21"/>
                      <w:szCs w:val="21"/>
                      <w:u w:val="none"/>
                    </w:rPr>
                  </w:pPr>
                </w:p>
              </w:tc>
              <w:tc>
                <w:tcPr>
                  <w:tcW w:w="1100" w:type="pct"/>
                  <w:vAlign w:val="center"/>
                </w:tcPr>
                <w:p w14:paraId="79A42903">
                  <w:pPr>
                    <w:spacing w:line="240" w:lineRule="auto"/>
                    <w:ind w:firstLine="0" w:firstLineChars="0"/>
                    <w:jc w:val="center"/>
                    <w:rPr>
                      <w:color w:val="auto"/>
                      <w:sz w:val="21"/>
                      <w:szCs w:val="21"/>
                      <w:u w:val="none"/>
                    </w:rPr>
                  </w:pPr>
                  <w:r>
                    <w:rPr>
                      <w:rFonts w:hint="eastAsia"/>
                      <w:color w:val="auto"/>
                      <w:sz w:val="21"/>
                      <w:szCs w:val="21"/>
                      <w:u w:val="none"/>
                    </w:rPr>
                    <w:t>项目不涉及</w:t>
                  </w:r>
                  <w:r>
                    <w:rPr>
                      <w:color w:val="auto"/>
                      <w:sz w:val="21"/>
                      <w:szCs w:val="21"/>
                      <w:u w:val="none"/>
                    </w:rPr>
                    <w:t>高污染燃料</w:t>
                  </w:r>
                </w:p>
              </w:tc>
              <w:tc>
                <w:tcPr>
                  <w:tcW w:w="512" w:type="pct"/>
                  <w:vAlign w:val="center"/>
                </w:tcPr>
                <w:p w14:paraId="06573509">
                  <w:pPr>
                    <w:spacing w:line="240" w:lineRule="auto"/>
                    <w:ind w:firstLine="0" w:firstLineChars="0"/>
                    <w:jc w:val="center"/>
                    <w:rPr>
                      <w:color w:val="auto"/>
                      <w:sz w:val="21"/>
                      <w:szCs w:val="21"/>
                      <w:u w:val="none"/>
                    </w:rPr>
                  </w:pPr>
                  <w:r>
                    <w:rPr>
                      <w:rFonts w:hint="eastAsia"/>
                      <w:color w:val="auto"/>
                      <w:sz w:val="21"/>
                      <w:szCs w:val="21"/>
                      <w:u w:val="none"/>
                    </w:rPr>
                    <w:t>相符</w:t>
                  </w:r>
                </w:p>
              </w:tc>
            </w:tr>
          </w:tbl>
          <w:p w14:paraId="7307E0CC">
            <w:pPr>
              <w:ind w:firstLine="482"/>
              <w:rPr>
                <w:b/>
                <w:bCs/>
                <w:color w:val="auto"/>
                <w:u w:val="none"/>
              </w:rPr>
            </w:pPr>
            <w:r>
              <w:rPr>
                <w:rFonts w:hint="eastAsia"/>
                <w:b/>
                <w:bCs/>
                <w:color w:val="auto"/>
                <w:u w:val="none"/>
              </w:rPr>
              <w:t>（4）</w:t>
            </w:r>
            <w:r>
              <w:rPr>
                <w:b/>
                <w:bCs/>
                <w:color w:val="auto"/>
                <w:u w:val="none"/>
              </w:rPr>
              <w:t>自然资源管控分区分析</w:t>
            </w:r>
          </w:p>
          <w:p w14:paraId="5ACEFEA4">
            <w:pPr>
              <w:ind w:firstLine="480"/>
              <w:rPr>
                <w:color w:val="auto"/>
                <w:u w:val="none"/>
              </w:rPr>
            </w:pPr>
            <w:r>
              <w:rPr>
                <w:rFonts w:hint="eastAsia"/>
                <w:color w:val="auto"/>
                <w:u w:val="none"/>
              </w:rPr>
              <w:t>经比对，项目涉及1个河南省自然资源管控分区，其中生态用水补给区0个，地下水开采重点管控区0个，高污染燃料禁燃区1个（河南省濮阳市南乐县高污染燃料禁燃区，环境管控单元编码：YS4109232540001）。</w:t>
            </w:r>
          </w:p>
          <w:p w14:paraId="2BBFCE8F">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项目涉及河南省自然资源管控一览表</w:t>
            </w:r>
          </w:p>
          <w:tbl>
            <w:tblPr>
              <w:tblStyle w:val="20"/>
              <w:tblW w:w="49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01"/>
              <w:gridCol w:w="4681"/>
              <w:gridCol w:w="1482"/>
              <w:gridCol w:w="818"/>
            </w:tblGrid>
            <w:tr w14:paraId="28277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7" w:type="pct"/>
                  <w:vAlign w:val="center"/>
                </w:tcPr>
                <w:p w14:paraId="66172827">
                  <w:pPr>
                    <w:spacing w:line="240" w:lineRule="auto"/>
                    <w:ind w:firstLine="0" w:firstLineChars="0"/>
                    <w:jc w:val="center"/>
                    <w:rPr>
                      <w:color w:val="auto"/>
                      <w:sz w:val="21"/>
                      <w:szCs w:val="21"/>
                      <w:u w:val="none"/>
                    </w:rPr>
                  </w:pPr>
                  <w:r>
                    <w:rPr>
                      <w:rFonts w:hint="eastAsia"/>
                      <w:color w:val="auto"/>
                      <w:sz w:val="21"/>
                      <w:szCs w:val="21"/>
                      <w:u w:val="none"/>
                    </w:rPr>
                    <w:t>维度</w:t>
                  </w:r>
                </w:p>
              </w:tc>
              <w:tc>
                <w:tcPr>
                  <w:tcW w:w="2931" w:type="pct"/>
                  <w:vAlign w:val="center"/>
                </w:tcPr>
                <w:p w14:paraId="5E575DB3">
                  <w:pPr>
                    <w:spacing w:line="240" w:lineRule="auto"/>
                    <w:ind w:firstLine="0" w:firstLineChars="0"/>
                    <w:jc w:val="center"/>
                    <w:rPr>
                      <w:color w:val="auto"/>
                      <w:sz w:val="21"/>
                      <w:szCs w:val="21"/>
                      <w:u w:val="none"/>
                    </w:rPr>
                  </w:pPr>
                  <w:r>
                    <w:rPr>
                      <w:rFonts w:hint="eastAsia"/>
                      <w:color w:val="auto"/>
                      <w:sz w:val="21"/>
                      <w:szCs w:val="21"/>
                      <w:u w:val="none"/>
                    </w:rPr>
                    <w:t>单元管控要求</w:t>
                  </w:r>
                </w:p>
              </w:tc>
              <w:tc>
                <w:tcPr>
                  <w:tcW w:w="928" w:type="pct"/>
                  <w:vAlign w:val="center"/>
                </w:tcPr>
                <w:p w14:paraId="269C1BEB">
                  <w:pPr>
                    <w:spacing w:line="240" w:lineRule="auto"/>
                    <w:ind w:firstLine="0" w:firstLineChars="0"/>
                    <w:jc w:val="center"/>
                    <w:rPr>
                      <w:color w:val="auto"/>
                      <w:sz w:val="21"/>
                      <w:szCs w:val="21"/>
                      <w:u w:val="none"/>
                    </w:rPr>
                  </w:pPr>
                  <w:r>
                    <w:rPr>
                      <w:rFonts w:hint="eastAsia"/>
                      <w:color w:val="auto"/>
                      <w:sz w:val="21"/>
                      <w:szCs w:val="21"/>
                      <w:u w:val="none"/>
                    </w:rPr>
                    <w:t>本项目</w:t>
                  </w:r>
                </w:p>
              </w:tc>
              <w:tc>
                <w:tcPr>
                  <w:tcW w:w="512" w:type="pct"/>
                  <w:vAlign w:val="center"/>
                </w:tcPr>
                <w:p w14:paraId="440AFA08">
                  <w:pPr>
                    <w:spacing w:line="240" w:lineRule="auto"/>
                    <w:ind w:firstLine="0" w:firstLineChars="0"/>
                    <w:jc w:val="center"/>
                    <w:rPr>
                      <w:color w:val="auto"/>
                      <w:sz w:val="21"/>
                      <w:szCs w:val="21"/>
                      <w:u w:val="none"/>
                    </w:rPr>
                  </w:pPr>
                  <w:r>
                    <w:rPr>
                      <w:rFonts w:hint="eastAsia"/>
                      <w:color w:val="auto"/>
                      <w:sz w:val="21"/>
                      <w:szCs w:val="21"/>
                      <w:u w:val="none"/>
                    </w:rPr>
                    <w:t>相符性</w:t>
                  </w:r>
                </w:p>
              </w:tc>
            </w:tr>
            <w:tr w14:paraId="32877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7" w:type="pct"/>
                  <w:vAlign w:val="center"/>
                </w:tcPr>
                <w:p w14:paraId="5FBACDA2">
                  <w:pPr>
                    <w:spacing w:line="240" w:lineRule="auto"/>
                    <w:ind w:firstLine="0" w:firstLineChars="0"/>
                    <w:jc w:val="center"/>
                    <w:rPr>
                      <w:color w:val="auto"/>
                      <w:sz w:val="21"/>
                      <w:szCs w:val="21"/>
                      <w:u w:val="none"/>
                    </w:rPr>
                  </w:pPr>
                  <w:r>
                    <w:rPr>
                      <w:rFonts w:hint="eastAsia"/>
                      <w:color w:val="auto"/>
                      <w:sz w:val="21"/>
                      <w:szCs w:val="21"/>
                      <w:u w:val="none"/>
                    </w:rPr>
                    <w:t>空间布局约束</w:t>
                  </w:r>
                </w:p>
              </w:tc>
              <w:tc>
                <w:tcPr>
                  <w:tcW w:w="2931" w:type="pct"/>
                  <w:vAlign w:val="center"/>
                </w:tcPr>
                <w:p w14:paraId="21DDB18D">
                  <w:pPr>
                    <w:spacing w:line="240" w:lineRule="auto"/>
                    <w:ind w:firstLine="0" w:firstLineChars="0"/>
                    <w:jc w:val="center"/>
                    <w:rPr>
                      <w:color w:val="auto"/>
                      <w:sz w:val="21"/>
                      <w:szCs w:val="21"/>
                      <w:u w:val="none"/>
                    </w:rPr>
                  </w:pPr>
                  <w:r>
                    <w:rPr>
                      <w:rFonts w:hint="eastAsia"/>
                      <w:color w:val="auto"/>
                      <w:sz w:val="21"/>
                      <w:szCs w:val="21"/>
                      <w:u w:val="none"/>
                    </w:rPr>
                    <w:t>高料污禁染燃燃区覆盖全市行政区域</w:t>
                  </w:r>
                </w:p>
              </w:tc>
              <w:tc>
                <w:tcPr>
                  <w:tcW w:w="928" w:type="pct"/>
                  <w:vAlign w:val="center"/>
                </w:tcPr>
                <w:p w14:paraId="26CC9606">
                  <w:pPr>
                    <w:spacing w:line="240" w:lineRule="auto"/>
                    <w:ind w:firstLine="0" w:firstLineChars="0"/>
                    <w:jc w:val="center"/>
                    <w:rPr>
                      <w:color w:val="auto"/>
                      <w:sz w:val="21"/>
                      <w:szCs w:val="21"/>
                      <w:u w:val="none"/>
                    </w:rPr>
                  </w:pPr>
                  <w:r>
                    <w:rPr>
                      <w:rFonts w:hint="eastAsia"/>
                      <w:color w:val="auto"/>
                      <w:sz w:val="21"/>
                      <w:szCs w:val="21"/>
                      <w:u w:val="none"/>
                    </w:rPr>
                    <w:t>项目不涉及</w:t>
                  </w:r>
                  <w:r>
                    <w:rPr>
                      <w:color w:val="auto"/>
                      <w:sz w:val="21"/>
                      <w:szCs w:val="21"/>
                      <w:u w:val="none"/>
                    </w:rPr>
                    <w:t>高污染燃料</w:t>
                  </w:r>
                </w:p>
              </w:tc>
              <w:tc>
                <w:tcPr>
                  <w:tcW w:w="512" w:type="pct"/>
                  <w:vAlign w:val="center"/>
                </w:tcPr>
                <w:p w14:paraId="2732DE91">
                  <w:pPr>
                    <w:spacing w:line="240" w:lineRule="auto"/>
                    <w:ind w:firstLine="0" w:firstLineChars="0"/>
                    <w:jc w:val="center"/>
                    <w:rPr>
                      <w:color w:val="auto"/>
                      <w:sz w:val="21"/>
                      <w:szCs w:val="21"/>
                      <w:u w:val="none"/>
                    </w:rPr>
                  </w:pPr>
                  <w:r>
                    <w:rPr>
                      <w:rFonts w:hint="eastAsia"/>
                      <w:color w:val="auto"/>
                      <w:sz w:val="21"/>
                      <w:szCs w:val="21"/>
                      <w:u w:val="none"/>
                    </w:rPr>
                    <w:t>相符</w:t>
                  </w:r>
                </w:p>
              </w:tc>
            </w:tr>
            <w:tr w14:paraId="396A1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7" w:type="pct"/>
                  <w:vAlign w:val="center"/>
                </w:tcPr>
                <w:p w14:paraId="5EFBC42F">
                  <w:pPr>
                    <w:spacing w:line="240" w:lineRule="auto"/>
                    <w:ind w:firstLine="0" w:firstLineChars="0"/>
                    <w:jc w:val="center"/>
                    <w:rPr>
                      <w:color w:val="auto"/>
                      <w:sz w:val="21"/>
                      <w:szCs w:val="21"/>
                      <w:u w:val="none"/>
                    </w:rPr>
                  </w:pPr>
                  <w:r>
                    <w:rPr>
                      <w:rFonts w:hint="eastAsia"/>
                      <w:color w:val="auto"/>
                      <w:sz w:val="21"/>
                      <w:szCs w:val="21"/>
                      <w:u w:val="none"/>
                    </w:rPr>
                    <w:t>污染物排放管控</w:t>
                  </w:r>
                </w:p>
              </w:tc>
              <w:tc>
                <w:tcPr>
                  <w:tcW w:w="2931" w:type="pct"/>
                  <w:vAlign w:val="center"/>
                </w:tcPr>
                <w:p w14:paraId="5130573B">
                  <w:pPr>
                    <w:spacing w:line="240" w:lineRule="auto"/>
                    <w:ind w:firstLine="0" w:firstLineChars="0"/>
                    <w:jc w:val="center"/>
                    <w:rPr>
                      <w:color w:val="auto"/>
                      <w:sz w:val="21"/>
                      <w:szCs w:val="21"/>
                      <w:u w:val="none"/>
                    </w:rPr>
                  </w:pPr>
                  <w:r>
                    <w:rPr>
                      <w:rFonts w:hint="eastAsia"/>
                      <w:color w:val="auto"/>
                      <w:sz w:val="21"/>
                      <w:szCs w:val="21"/>
                      <w:u w:val="none"/>
                    </w:rPr>
                    <w:t>/</w:t>
                  </w:r>
                </w:p>
              </w:tc>
              <w:tc>
                <w:tcPr>
                  <w:tcW w:w="928" w:type="pct"/>
                  <w:vAlign w:val="center"/>
                </w:tcPr>
                <w:p w14:paraId="23CA698D">
                  <w:pPr>
                    <w:spacing w:line="240" w:lineRule="auto"/>
                    <w:ind w:firstLine="0" w:firstLineChars="0"/>
                    <w:jc w:val="center"/>
                    <w:rPr>
                      <w:color w:val="auto"/>
                      <w:sz w:val="21"/>
                      <w:szCs w:val="21"/>
                      <w:u w:val="none"/>
                    </w:rPr>
                  </w:pPr>
                  <w:r>
                    <w:rPr>
                      <w:rFonts w:hint="eastAsia"/>
                      <w:color w:val="auto"/>
                      <w:sz w:val="21"/>
                      <w:szCs w:val="21"/>
                      <w:u w:val="none"/>
                    </w:rPr>
                    <w:t>/</w:t>
                  </w:r>
                </w:p>
              </w:tc>
              <w:tc>
                <w:tcPr>
                  <w:tcW w:w="512" w:type="pct"/>
                  <w:vAlign w:val="center"/>
                </w:tcPr>
                <w:p w14:paraId="5493C4E7">
                  <w:pPr>
                    <w:spacing w:line="240" w:lineRule="auto"/>
                    <w:ind w:firstLine="0" w:firstLineChars="0"/>
                    <w:jc w:val="center"/>
                    <w:rPr>
                      <w:color w:val="auto"/>
                      <w:sz w:val="21"/>
                      <w:szCs w:val="21"/>
                      <w:u w:val="none"/>
                    </w:rPr>
                  </w:pPr>
                  <w:r>
                    <w:rPr>
                      <w:rFonts w:hint="eastAsia"/>
                      <w:color w:val="auto"/>
                      <w:sz w:val="21"/>
                      <w:szCs w:val="21"/>
                      <w:u w:val="none"/>
                    </w:rPr>
                    <w:t>相符</w:t>
                  </w:r>
                </w:p>
              </w:tc>
            </w:tr>
            <w:tr w14:paraId="25535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7" w:type="pct"/>
                  <w:vAlign w:val="center"/>
                </w:tcPr>
                <w:p w14:paraId="3FEFFB80">
                  <w:pPr>
                    <w:spacing w:line="240" w:lineRule="auto"/>
                    <w:ind w:firstLine="0" w:firstLineChars="0"/>
                    <w:jc w:val="center"/>
                    <w:rPr>
                      <w:color w:val="auto"/>
                      <w:sz w:val="21"/>
                      <w:szCs w:val="21"/>
                      <w:u w:val="none"/>
                    </w:rPr>
                  </w:pPr>
                  <w:r>
                    <w:rPr>
                      <w:rFonts w:hint="eastAsia"/>
                      <w:color w:val="auto"/>
                      <w:sz w:val="21"/>
                      <w:szCs w:val="21"/>
                      <w:u w:val="none"/>
                    </w:rPr>
                    <w:t>环境风险防控</w:t>
                  </w:r>
                </w:p>
              </w:tc>
              <w:tc>
                <w:tcPr>
                  <w:tcW w:w="2931" w:type="pct"/>
                  <w:vAlign w:val="center"/>
                </w:tcPr>
                <w:p w14:paraId="650F267A">
                  <w:pPr>
                    <w:spacing w:line="240" w:lineRule="auto"/>
                    <w:ind w:firstLine="0" w:firstLineChars="0"/>
                    <w:jc w:val="center"/>
                    <w:rPr>
                      <w:color w:val="auto"/>
                      <w:sz w:val="21"/>
                      <w:szCs w:val="21"/>
                      <w:u w:val="none"/>
                    </w:rPr>
                  </w:pPr>
                  <w:r>
                    <w:rPr>
                      <w:rFonts w:hint="eastAsia"/>
                      <w:color w:val="auto"/>
                      <w:sz w:val="21"/>
                      <w:szCs w:val="21"/>
                      <w:u w:val="none"/>
                    </w:rPr>
                    <w:t>/</w:t>
                  </w:r>
                </w:p>
              </w:tc>
              <w:tc>
                <w:tcPr>
                  <w:tcW w:w="928" w:type="pct"/>
                  <w:vAlign w:val="center"/>
                </w:tcPr>
                <w:p w14:paraId="7D8A8D02">
                  <w:pPr>
                    <w:spacing w:line="240" w:lineRule="auto"/>
                    <w:ind w:firstLine="0" w:firstLineChars="0"/>
                    <w:jc w:val="center"/>
                    <w:rPr>
                      <w:color w:val="auto"/>
                      <w:sz w:val="21"/>
                      <w:szCs w:val="21"/>
                      <w:u w:val="none"/>
                    </w:rPr>
                  </w:pPr>
                  <w:r>
                    <w:rPr>
                      <w:rFonts w:hint="eastAsia"/>
                      <w:color w:val="auto"/>
                      <w:sz w:val="21"/>
                      <w:szCs w:val="21"/>
                      <w:u w:val="none"/>
                    </w:rPr>
                    <w:t>/</w:t>
                  </w:r>
                </w:p>
              </w:tc>
              <w:tc>
                <w:tcPr>
                  <w:tcW w:w="512" w:type="pct"/>
                  <w:vAlign w:val="center"/>
                </w:tcPr>
                <w:p w14:paraId="007E6B02">
                  <w:pPr>
                    <w:spacing w:line="240" w:lineRule="auto"/>
                    <w:ind w:firstLine="0" w:firstLineChars="0"/>
                    <w:jc w:val="center"/>
                    <w:rPr>
                      <w:color w:val="auto"/>
                      <w:sz w:val="21"/>
                      <w:szCs w:val="21"/>
                      <w:u w:val="none"/>
                    </w:rPr>
                  </w:pPr>
                  <w:r>
                    <w:rPr>
                      <w:rFonts w:hint="eastAsia"/>
                      <w:color w:val="auto"/>
                      <w:sz w:val="21"/>
                      <w:szCs w:val="21"/>
                      <w:u w:val="none"/>
                    </w:rPr>
                    <w:t>相符</w:t>
                  </w:r>
                </w:p>
              </w:tc>
            </w:tr>
            <w:tr w14:paraId="30B12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7" w:type="pct"/>
                  <w:vAlign w:val="center"/>
                </w:tcPr>
                <w:p w14:paraId="0EAD75EF">
                  <w:pPr>
                    <w:spacing w:line="240" w:lineRule="auto"/>
                    <w:ind w:firstLine="0" w:firstLineChars="0"/>
                    <w:jc w:val="center"/>
                    <w:rPr>
                      <w:color w:val="auto"/>
                      <w:sz w:val="21"/>
                      <w:szCs w:val="21"/>
                      <w:u w:val="none"/>
                    </w:rPr>
                  </w:pPr>
                  <w:r>
                    <w:rPr>
                      <w:rFonts w:hint="eastAsia"/>
                      <w:color w:val="auto"/>
                      <w:sz w:val="21"/>
                      <w:szCs w:val="21"/>
                      <w:u w:val="none"/>
                    </w:rPr>
                    <w:t>资源利用率要求</w:t>
                  </w:r>
                </w:p>
              </w:tc>
              <w:tc>
                <w:tcPr>
                  <w:tcW w:w="2931" w:type="pct"/>
                  <w:vAlign w:val="center"/>
                </w:tcPr>
                <w:p w14:paraId="17F47A81">
                  <w:pPr>
                    <w:spacing w:line="240" w:lineRule="auto"/>
                    <w:ind w:firstLine="0" w:firstLineChars="0"/>
                    <w:jc w:val="center"/>
                    <w:rPr>
                      <w:color w:val="auto"/>
                      <w:sz w:val="21"/>
                      <w:szCs w:val="21"/>
                      <w:u w:val="none"/>
                    </w:rPr>
                  </w:pPr>
                  <w:r>
                    <w:rPr>
                      <w:color w:val="auto"/>
                      <w:sz w:val="21"/>
                      <w:szCs w:val="21"/>
                      <w:u w:val="none"/>
                    </w:rPr>
                    <w:t>全区市域行内政禁止销售、燃用高污染燃料，禁止新建、扩建燃用高污染燃料的设施（不含集中供热、电厂锅炉燃煤以及工业企业原料煤）</w:t>
                  </w:r>
                </w:p>
              </w:tc>
              <w:tc>
                <w:tcPr>
                  <w:tcW w:w="928" w:type="pct"/>
                  <w:vAlign w:val="center"/>
                </w:tcPr>
                <w:p w14:paraId="163931C7">
                  <w:pPr>
                    <w:spacing w:line="240" w:lineRule="auto"/>
                    <w:ind w:firstLine="0" w:firstLineChars="0"/>
                    <w:jc w:val="center"/>
                    <w:rPr>
                      <w:color w:val="auto"/>
                      <w:sz w:val="21"/>
                      <w:szCs w:val="21"/>
                      <w:u w:val="none"/>
                    </w:rPr>
                  </w:pPr>
                  <w:r>
                    <w:rPr>
                      <w:rFonts w:hint="eastAsia"/>
                      <w:color w:val="auto"/>
                      <w:sz w:val="21"/>
                      <w:szCs w:val="21"/>
                      <w:u w:val="none"/>
                    </w:rPr>
                    <w:t>项目不涉及</w:t>
                  </w:r>
                  <w:r>
                    <w:rPr>
                      <w:color w:val="auto"/>
                      <w:sz w:val="21"/>
                      <w:szCs w:val="21"/>
                      <w:u w:val="none"/>
                    </w:rPr>
                    <w:t>高污染燃料</w:t>
                  </w:r>
                </w:p>
              </w:tc>
              <w:tc>
                <w:tcPr>
                  <w:tcW w:w="512" w:type="pct"/>
                  <w:vAlign w:val="center"/>
                </w:tcPr>
                <w:p w14:paraId="4A7942A9">
                  <w:pPr>
                    <w:spacing w:line="240" w:lineRule="auto"/>
                    <w:ind w:firstLine="0" w:firstLineChars="0"/>
                    <w:jc w:val="center"/>
                    <w:rPr>
                      <w:color w:val="auto"/>
                      <w:sz w:val="21"/>
                      <w:szCs w:val="21"/>
                      <w:u w:val="none"/>
                    </w:rPr>
                  </w:pPr>
                  <w:r>
                    <w:rPr>
                      <w:rFonts w:hint="eastAsia"/>
                      <w:color w:val="auto"/>
                      <w:sz w:val="21"/>
                      <w:szCs w:val="21"/>
                      <w:u w:val="none"/>
                    </w:rPr>
                    <w:t>相符</w:t>
                  </w:r>
                </w:p>
              </w:tc>
            </w:tr>
          </w:tbl>
          <w:p w14:paraId="0A1EC632">
            <w:pPr>
              <w:keepNext w:val="0"/>
              <w:keepLines w:val="0"/>
              <w:pageBreakBefore w:val="0"/>
              <w:widowControl w:val="0"/>
              <w:kinsoku/>
              <w:wordWrap w:val="0"/>
              <w:overflowPunct/>
              <w:topLinePunct w:val="0"/>
              <w:autoSpaceDE/>
              <w:autoSpaceDN/>
              <w:bidi w:val="0"/>
              <w:adjustRightInd/>
              <w:snapToGrid/>
              <w:ind w:firstLine="0" w:firstLineChars="0"/>
              <w:jc w:val="left"/>
              <w:textAlignment w:val="auto"/>
              <w:rPr>
                <w:b/>
                <w:bCs/>
                <w:color w:val="auto"/>
              </w:rPr>
            </w:pPr>
            <w:r>
              <w:rPr>
                <w:rFonts w:hint="eastAsia"/>
                <w:b/>
                <w:bCs/>
                <w:color w:val="auto"/>
              </w:rPr>
              <w:t>五、集中式饮用水源保护区划</w:t>
            </w:r>
          </w:p>
          <w:p w14:paraId="7B9AEDBF">
            <w:pPr>
              <w:keepNext w:val="0"/>
              <w:keepLines w:val="0"/>
              <w:pageBreakBefore w:val="0"/>
              <w:widowControl w:val="0"/>
              <w:kinsoku/>
              <w:wordWrap w:val="0"/>
              <w:overflowPunct/>
              <w:topLinePunct w:val="0"/>
              <w:autoSpaceDE/>
              <w:autoSpaceDN/>
              <w:bidi w:val="0"/>
              <w:adjustRightInd/>
              <w:snapToGrid/>
              <w:ind w:firstLine="0" w:firstLineChars="0"/>
              <w:textAlignment w:val="auto"/>
              <w:rPr>
                <w:b/>
                <w:bCs/>
                <w:color w:val="auto"/>
              </w:rPr>
            </w:pPr>
            <w:r>
              <w:rPr>
                <w:rFonts w:hint="eastAsia"/>
                <w:b/>
                <w:bCs/>
                <w:color w:val="auto"/>
              </w:rPr>
              <w:t>1.与南乐县集中饮用水源保护规划的相符性</w:t>
            </w:r>
          </w:p>
          <w:p w14:paraId="5AE48DAF">
            <w:pPr>
              <w:ind w:firstLine="480"/>
              <w:rPr>
                <w:color w:val="auto"/>
              </w:rPr>
            </w:pPr>
            <w:r>
              <w:rPr>
                <w:rFonts w:hint="eastAsia"/>
                <w:color w:val="auto"/>
              </w:rPr>
              <w:t>根据南乐县人民政府编制的《南乐县集中式饮用水源保护区划分技术报告》（2012年12月），南乐县自来水公司（第一水厂）地下水井群水源地位于南乐县自来水公司西站（安济公路北侧），为南乐县地下水源地，目前已停用。该水源地共13眼水井，其中6眼（编号为4、5、6、7、9、10号）位于自来水公司西站院内；5眼（编号为16、17、18、19、20号）位于西站北侧，呈南北向布置，井间距约为40~50m；2眼（编号为2、3号）位于安济公路南侧沿杏园村乡村路南北向布置，井间距为127m。</w:t>
            </w:r>
          </w:p>
          <w:p w14:paraId="50115B4B">
            <w:pPr>
              <w:ind w:firstLine="480"/>
              <w:rPr>
                <w:color w:val="auto"/>
              </w:rPr>
            </w:pPr>
            <w:r>
              <w:rPr>
                <w:rFonts w:hint="eastAsia"/>
                <w:color w:val="auto"/>
              </w:rPr>
              <w:t>根据南乐县城市总体规划，为满足产业集聚区和城东居民用水需要，在南乐县近德固乡睢庄村南侧建设第二水厂，新建水源井10眼，设计供水能力近期20000m</w:t>
            </w:r>
            <w:r>
              <w:rPr>
                <w:rFonts w:hint="eastAsia"/>
                <w:color w:val="auto"/>
                <w:vertAlign w:val="superscript"/>
              </w:rPr>
              <w:t>3</w:t>
            </w:r>
            <w:r>
              <w:rPr>
                <w:rFonts w:hint="eastAsia"/>
                <w:color w:val="auto"/>
              </w:rPr>
              <w:t>/d。</w:t>
            </w:r>
          </w:p>
          <w:p w14:paraId="4CC4881C">
            <w:pPr>
              <w:ind w:firstLine="480"/>
              <w:rPr>
                <w:color w:val="auto"/>
              </w:rPr>
            </w:pPr>
            <w:r>
              <w:rPr>
                <w:rFonts w:hint="eastAsia"/>
                <w:color w:val="auto"/>
              </w:rPr>
              <w:t>南乐县自来水公司（第一水厂）地下水井群水源地保护区具体保护范围为：</w:t>
            </w:r>
          </w:p>
          <w:p w14:paraId="1F53E587">
            <w:pPr>
              <w:ind w:firstLine="480"/>
              <w:rPr>
                <w:color w:val="auto"/>
              </w:rPr>
            </w:pPr>
            <w:r>
              <w:rPr>
                <w:rFonts w:hint="eastAsia"/>
                <w:color w:val="auto"/>
              </w:rPr>
              <w:t>一级保护区：编号4、5、6、7、9、10号的6眼井位于自来水公司西站院内，3号井位于西站南侧，距离西站59m。一级保护区以西站东、北、西厂界向外经向距离30m，南以南厂界外径90m的多边形区域为一级保护区。编号2号井以水井口为中心，半径30m的圆形区域为一级保护区。编号16、17、18、19、20号井，因井群内井间距小于一级保护区半径的2倍，以井的连线外径向30m的矩形为一级保护区。</w:t>
            </w:r>
          </w:p>
          <w:p w14:paraId="516BC3AD">
            <w:pPr>
              <w:ind w:firstLine="480"/>
              <w:rPr>
                <w:color w:val="auto"/>
              </w:rPr>
            </w:pPr>
            <w:r>
              <w:rPr>
                <w:rFonts w:hint="eastAsia"/>
                <w:color w:val="auto"/>
              </w:rPr>
              <w:t>二级保护区：编号2、3、4、5、6、7、9、10号等9号眼井为一整体划分二级保护区，北侧、东侧、南侧分别以一级保护区边界向外向径向300m，西至马颊河右岸的多边形区域为二级保护区。</w:t>
            </w:r>
          </w:p>
          <w:p w14:paraId="05A0A894">
            <w:pPr>
              <w:ind w:firstLine="480"/>
              <w:rPr>
                <w:color w:val="auto"/>
              </w:rPr>
            </w:pPr>
            <w:r>
              <w:rPr>
                <w:rFonts w:hint="eastAsia"/>
                <w:color w:val="auto"/>
              </w:rPr>
              <w:t>编号16、17、18、19、20号井为孔隙水承压水型，不设置二级保护区。</w:t>
            </w:r>
          </w:p>
          <w:p w14:paraId="222D54A9">
            <w:pPr>
              <w:ind w:firstLine="480"/>
              <w:rPr>
                <w:color w:val="auto"/>
              </w:rPr>
            </w:pPr>
            <w:r>
              <w:rPr>
                <w:rFonts w:hint="eastAsia"/>
                <w:color w:val="auto"/>
              </w:rPr>
              <w:t>准保护区：南乐县自来水公司地下水井群水源地位于南乐县城西，安济公路北，马颊河东。马颊河水质达不到《地表水环境质量标准》III类水质标准，浅层地下水主要来源于降水入渗补给，因此，该地下水水源未划定准保护区。</w:t>
            </w:r>
          </w:p>
          <w:p w14:paraId="23D42D59">
            <w:pPr>
              <w:ind w:firstLine="480"/>
              <w:rPr>
                <w:color w:val="auto"/>
              </w:rPr>
            </w:pPr>
            <w:r>
              <w:rPr>
                <w:rFonts w:hint="eastAsia"/>
                <w:color w:val="auto"/>
              </w:rPr>
              <w:t>第二水厂水源地保护区范围划定参考第一水厂水源地。</w:t>
            </w:r>
          </w:p>
          <w:p w14:paraId="5DE2763B">
            <w:pPr>
              <w:ind w:firstLine="480"/>
              <w:rPr>
                <w:color w:val="auto"/>
              </w:rPr>
            </w:pPr>
            <w:r>
              <w:rPr>
                <w:rFonts w:hint="eastAsia"/>
                <w:color w:val="auto"/>
              </w:rPr>
              <w:t>项目不在南乐县饮用水源地保护区范围内。项目厂址地面拟采取硬化和防渗等措施，以防物料或废水下渗污染地下水，生活污水和生产废水经污水处理站处理后达标排放，项目建设地与区域饮用水源地两者之间地下水的联系不密切。</w:t>
            </w:r>
          </w:p>
          <w:p w14:paraId="5042E176">
            <w:pPr>
              <w:ind w:firstLine="480"/>
              <w:rPr>
                <w:color w:val="auto"/>
              </w:rPr>
            </w:pPr>
            <w:r>
              <w:rPr>
                <w:rFonts w:hint="eastAsia"/>
                <w:color w:val="auto"/>
              </w:rPr>
              <w:t>因此，本项目的建设不会对县城饮用水源地产生不利影响。</w:t>
            </w:r>
          </w:p>
          <w:p w14:paraId="3FEE710A">
            <w:pPr>
              <w:keepNext w:val="0"/>
              <w:keepLines w:val="0"/>
              <w:pageBreakBefore w:val="0"/>
              <w:widowControl w:val="0"/>
              <w:kinsoku/>
              <w:wordWrap w:val="0"/>
              <w:overflowPunct/>
              <w:topLinePunct w:val="0"/>
              <w:autoSpaceDE/>
              <w:autoSpaceDN/>
              <w:bidi w:val="0"/>
              <w:adjustRightInd/>
              <w:snapToGrid/>
              <w:ind w:firstLine="0" w:firstLineChars="0"/>
              <w:textAlignment w:val="auto"/>
              <w:rPr>
                <w:b/>
                <w:bCs/>
                <w:color w:val="auto"/>
              </w:rPr>
            </w:pPr>
            <w:r>
              <w:rPr>
                <w:rFonts w:hint="eastAsia"/>
                <w:b/>
                <w:bCs/>
                <w:color w:val="auto"/>
              </w:rPr>
              <w:t>2.河南省乡镇集中式饮用水水源保护区划</w:t>
            </w:r>
          </w:p>
          <w:p w14:paraId="7E2E2820">
            <w:pPr>
              <w:ind w:firstLine="480"/>
              <w:rPr>
                <w:color w:val="auto"/>
              </w:rPr>
            </w:pPr>
            <w:r>
              <w:rPr>
                <w:rFonts w:hint="eastAsia"/>
                <w:color w:val="auto"/>
              </w:rPr>
              <w:t>2016年3月4日，河南省人民政府办公厅印发了“河南省人民政府办公厅关于印发河南省乡镇集中式饮用水水源保护区划的通知（豫政办〔2016〕23号），该区划在省政府对全省18个省辖市、103个县（市）的263个集中式饮用水水源地划定保护区的基础上，对全省125个县（市、区）1204个乡镇的1209个集中式饮用水水源地划定了保护区，并对3个县级水源地保护范围进行了调整。其中地下水集中式饮用水水源地1060个，河流型地表水集中式饮用水水源地56个，水库型地表水集中式饮用水水源地96个。</w:t>
            </w:r>
          </w:p>
          <w:p w14:paraId="3B3C3EB6">
            <w:pPr>
              <w:ind w:firstLine="480"/>
              <w:rPr>
                <w:color w:val="auto"/>
              </w:rPr>
            </w:pPr>
            <w:r>
              <w:rPr>
                <w:rFonts w:hint="eastAsia"/>
                <w:color w:val="auto"/>
              </w:rPr>
              <w:t>南乐县乡镇集中式饮用水水源保护区划为以下11处：</w:t>
            </w:r>
          </w:p>
          <w:p w14:paraId="744BDBDC">
            <w:pPr>
              <w:ind w:firstLine="480"/>
              <w:rPr>
                <w:color w:val="auto"/>
              </w:rPr>
            </w:pPr>
            <w:r>
              <w:rPr>
                <w:rFonts w:hint="eastAsia"/>
                <w:color w:val="auto"/>
              </w:rPr>
              <w:t>（1）南乐县千口乡吕村水厂地下水井（共1眼井）：一级保护区范围：取水井外围30米的区域。</w:t>
            </w:r>
          </w:p>
          <w:p w14:paraId="3455C9D1">
            <w:pPr>
              <w:ind w:firstLine="480"/>
              <w:rPr>
                <w:color w:val="auto"/>
              </w:rPr>
            </w:pPr>
            <w:r>
              <w:rPr>
                <w:rFonts w:hint="eastAsia"/>
                <w:color w:val="auto"/>
              </w:rPr>
              <w:t>（2）南乐县福堪镇宋耿落水厂地下水井（共1眼井）：一级保护区范围：水厂厂区及外围东15米、南10米、北10米的区域。</w:t>
            </w:r>
          </w:p>
          <w:p w14:paraId="09FCF402">
            <w:pPr>
              <w:ind w:firstLine="480"/>
              <w:rPr>
                <w:color w:val="auto"/>
              </w:rPr>
            </w:pPr>
            <w:r>
              <w:rPr>
                <w:rFonts w:hint="eastAsia"/>
                <w:color w:val="auto"/>
              </w:rPr>
              <w:t>（3）南乐县元村镇元村街水厂地下水井（共1眼井）：一级保护区范围：水厂厂区及外围西20米、南20米、北20米的区域。</w:t>
            </w:r>
          </w:p>
          <w:p w14:paraId="02CAEE75">
            <w:pPr>
              <w:ind w:firstLine="480"/>
              <w:rPr>
                <w:color w:val="auto"/>
              </w:rPr>
            </w:pPr>
            <w:r>
              <w:rPr>
                <w:rFonts w:hint="eastAsia"/>
                <w:color w:val="auto"/>
              </w:rPr>
              <w:t>（4）南乐县谷金楼乡谷金楼水厂地下水井（共1眼井）：一级保护区范围：水厂厂区及外围东25米、南至209县道的区域。</w:t>
            </w:r>
          </w:p>
          <w:p w14:paraId="7EEDE6D7">
            <w:pPr>
              <w:ind w:firstLine="480"/>
              <w:rPr>
                <w:color w:val="auto"/>
              </w:rPr>
            </w:pPr>
            <w:r>
              <w:rPr>
                <w:rFonts w:hint="eastAsia"/>
                <w:color w:val="auto"/>
              </w:rPr>
              <w:t>（5）南乐县近德固乡佛善村水厂地下水井（共1眼井）：一级保护区范围：水厂厂区及外围东20米、南10米、北10米的区域。</w:t>
            </w:r>
          </w:p>
          <w:p w14:paraId="6F1F8898">
            <w:pPr>
              <w:ind w:firstLine="480"/>
              <w:rPr>
                <w:color w:val="auto"/>
              </w:rPr>
            </w:pPr>
            <w:r>
              <w:rPr>
                <w:rFonts w:hint="eastAsia"/>
                <w:color w:val="auto"/>
              </w:rPr>
              <w:t>（6）南乐县西邵乡西邵集水厂地下水井（共1眼井）：一级保护区范围：水厂厂区及外围东20米、西50米、南至003乡道、北35米的区域。</w:t>
            </w:r>
          </w:p>
          <w:p w14:paraId="4C99AC16">
            <w:pPr>
              <w:ind w:firstLine="480"/>
              <w:rPr>
                <w:color w:val="auto"/>
              </w:rPr>
            </w:pPr>
            <w:r>
              <w:rPr>
                <w:rFonts w:hint="eastAsia"/>
                <w:color w:val="auto"/>
              </w:rPr>
              <w:t>（7）南乐县杨村乡仝史杨村水厂地下水井（共1眼井）：一级保护区范围：取水井外围30米的区域。</w:t>
            </w:r>
          </w:p>
          <w:p w14:paraId="3709FF0F">
            <w:pPr>
              <w:ind w:firstLine="480"/>
              <w:rPr>
                <w:color w:val="auto"/>
              </w:rPr>
            </w:pPr>
            <w:r>
              <w:rPr>
                <w:rFonts w:hint="eastAsia"/>
                <w:color w:val="auto"/>
              </w:rPr>
              <w:t>（8）南乐县梁村乡吴村水厂地下水井（共1眼井）：一级保护区范围：水厂厂区及外围东10米、西10米、南30米的区域。</w:t>
            </w:r>
          </w:p>
          <w:p w14:paraId="164B2A33">
            <w:pPr>
              <w:ind w:firstLine="480"/>
              <w:rPr>
                <w:color w:val="auto"/>
              </w:rPr>
            </w:pPr>
            <w:r>
              <w:rPr>
                <w:rFonts w:hint="eastAsia"/>
                <w:color w:val="auto"/>
              </w:rPr>
              <w:t>（9）南乐县寺庄乡东寺庄水厂地下水井（共1眼井）：一级保护区范围：水厂厂区及外围东15米、南10米、北10米的区域。</w:t>
            </w:r>
          </w:p>
          <w:p w14:paraId="3776CF37">
            <w:pPr>
              <w:ind w:firstLine="480"/>
              <w:rPr>
                <w:color w:val="auto"/>
              </w:rPr>
            </w:pPr>
            <w:r>
              <w:rPr>
                <w:rFonts w:hint="eastAsia"/>
                <w:color w:val="auto"/>
              </w:rPr>
              <w:t>（10）南乐县张果屯镇张果屯北街水厂地下水井（共1眼井）：一级保护区范围：水厂厂区及外围东15米、北10米的区域。</w:t>
            </w:r>
          </w:p>
          <w:p w14:paraId="56379024">
            <w:pPr>
              <w:ind w:firstLine="480"/>
              <w:rPr>
                <w:color w:val="auto"/>
              </w:rPr>
            </w:pPr>
            <w:r>
              <w:rPr>
                <w:rFonts w:hint="eastAsia"/>
                <w:color w:val="auto"/>
              </w:rPr>
              <w:t>（11）南乐县韩张镇南街水厂地下水井（共1眼井）：一级保护区范围：取水井外围30米的区域。</w:t>
            </w:r>
          </w:p>
          <w:p w14:paraId="13C0E813">
            <w:pPr>
              <w:ind w:firstLine="480"/>
              <w:rPr>
                <w:color w:val="auto"/>
              </w:rPr>
            </w:pPr>
            <w:r>
              <w:rPr>
                <w:rFonts w:hint="eastAsia"/>
                <w:color w:val="auto"/>
              </w:rPr>
              <w:t>本项目位于濮阳市南乐县</w:t>
            </w:r>
            <w:r>
              <w:rPr>
                <w:rFonts w:hint="eastAsia"/>
                <w:color w:val="auto"/>
                <w:lang w:val="en-US" w:eastAsia="zh-CN"/>
              </w:rPr>
              <w:t>鸿宇路5号</w:t>
            </w:r>
            <w:r>
              <w:rPr>
                <w:rFonts w:hint="eastAsia"/>
                <w:color w:val="auto"/>
              </w:rPr>
              <w:t>，在</w:t>
            </w:r>
            <w:r>
              <w:rPr>
                <w:rFonts w:hint="eastAsia"/>
                <w:color w:val="auto"/>
                <w:lang w:eastAsia="zh-CN"/>
              </w:rPr>
              <w:t>南乐县先进制造业开发区</w:t>
            </w:r>
            <w:r>
              <w:rPr>
                <w:rFonts w:hint="eastAsia"/>
                <w:color w:val="auto"/>
              </w:rPr>
              <w:t>范围内，距离本项目最近的乡镇集中式饮用水水源地分别为南乐县谷金楼乡谷金楼水厂地下水井和南乐县近德固乡佛善村水厂地下水井，与本项目的直线距离分别为4.</w:t>
            </w:r>
            <w:r>
              <w:rPr>
                <w:rFonts w:hint="eastAsia"/>
                <w:color w:val="auto"/>
                <w:lang w:val="en-US" w:eastAsia="zh-CN"/>
              </w:rPr>
              <w:t>3</w:t>
            </w:r>
            <w:r>
              <w:rPr>
                <w:rFonts w:hint="eastAsia"/>
                <w:color w:val="auto"/>
              </w:rPr>
              <w:t>km和6.</w:t>
            </w:r>
            <w:r>
              <w:rPr>
                <w:rFonts w:hint="eastAsia"/>
                <w:color w:val="auto"/>
                <w:lang w:val="en-US" w:eastAsia="zh-CN"/>
              </w:rPr>
              <w:t>2</w:t>
            </w:r>
            <w:r>
              <w:rPr>
                <w:rFonts w:hint="eastAsia"/>
                <w:color w:val="auto"/>
              </w:rPr>
              <w:t>km，</w:t>
            </w:r>
            <w:r>
              <w:rPr>
                <w:rFonts w:hint="eastAsia"/>
                <w:color w:val="auto"/>
                <w:lang w:val="en-US" w:eastAsia="zh-CN"/>
              </w:rPr>
              <w:t>均</w:t>
            </w:r>
            <w:r>
              <w:rPr>
                <w:rFonts w:hint="eastAsia"/>
                <w:color w:val="auto"/>
              </w:rPr>
              <w:t>不在饮用水源保护区范围内，因此本项目符合《河南省乡镇集中式饮用水水源保护区划》的要求。</w:t>
            </w:r>
          </w:p>
          <w:p w14:paraId="6546B0F5">
            <w:pPr>
              <w:keepNext w:val="0"/>
              <w:keepLines w:val="0"/>
              <w:pageBreakBefore w:val="0"/>
              <w:widowControl w:val="0"/>
              <w:kinsoku/>
              <w:wordWrap w:val="0"/>
              <w:overflowPunct/>
              <w:topLinePunct w:val="0"/>
              <w:autoSpaceDE/>
              <w:autoSpaceDN/>
              <w:bidi w:val="0"/>
              <w:adjustRightInd/>
              <w:snapToGrid/>
              <w:ind w:firstLine="0" w:firstLineChars="0"/>
              <w:textAlignment w:val="auto"/>
              <w:rPr>
                <w:b/>
                <w:bCs/>
                <w:color w:val="auto"/>
              </w:rPr>
            </w:pPr>
            <w:r>
              <w:rPr>
                <w:rFonts w:hint="eastAsia"/>
                <w:b/>
                <w:bCs/>
                <w:color w:val="auto"/>
              </w:rPr>
              <w:t>六、与《濮阳市生态环境保护委员会办公室关于印发&lt;濮阳市2024年蓝天保卫战实施方案&gt;&lt;濮阳市2024年碧水保卫战实施方案&gt;&lt;濮阳市2024年净土保卫战实施方案&gt;&lt;濮阳市2024年柴油货车污染治理攻坚战实施方案&gt;的通知》（濮环委办〔2024〕11号）相符性</w:t>
            </w:r>
          </w:p>
          <w:p w14:paraId="4802570B">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项目与濮环委办〔2024〕11号相符性分析</w:t>
            </w:r>
          </w:p>
          <w:tbl>
            <w:tblPr>
              <w:tblStyle w:val="20"/>
              <w:tblW w:w="49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46"/>
              <w:gridCol w:w="5920"/>
              <w:gridCol w:w="1316"/>
            </w:tblGrid>
            <w:tr w14:paraId="17F3E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67" w:type="pct"/>
                  <w:tcBorders>
                    <w:top w:val="single" w:color="auto" w:sz="4" w:space="0"/>
                    <w:left w:val="single" w:color="auto" w:sz="4" w:space="0"/>
                    <w:bottom w:val="single" w:color="auto" w:sz="4" w:space="0"/>
                    <w:right w:val="single" w:color="auto" w:sz="4" w:space="0"/>
                  </w:tcBorders>
                  <w:vAlign w:val="center"/>
                </w:tcPr>
                <w:p w14:paraId="1B29689E">
                  <w:pPr>
                    <w:spacing w:line="240" w:lineRule="auto"/>
                    <w:ind w:firstLine="0" w:firstLineChars="0"/>
                    <w:jc w:val="center"/>
                    <w:rPr>
                      <w:color w:val="auto"/>
                      <w:sz w:val="21"/>
                      <w:szCs w:val="21"/>
                      <w:u w:val="none"/>
                    </w:rPr>
                  </w:pPr>
                  <w:r>
                    <w:rPr>
                      <w:rFonts w:hint="eastAsia"/>
                      <w:color w:val="auto"/>
                      <w:sz w:val="21"/>
                      <w:szCs w:val="21"/>
                      <w:u w:val="none"/>
                    </w:rPr>
                    <w:t>类别</w:t>
                  </w:r>
                </w:p>
              </w:tc>
              <w:tc>
                <w:tcPr>
                  <w:tcW w:w="3707" w:type="pct"/>
                  <w:tcBorders>
                    <w:top w:val="single" w:color="auto" w:sz="4" w:space="0"/>
                    <w:left w:val="single" w:color="auto" w:sz="4" w:space="0"/>
                    <w:bottom w:val="single" w:color="auto" w:sz="4" w:space="0"/>
                    <w:right w:val="single" w:color="auto" w:sz="4" w:space="0"/>
                  </w:tcBorders>
                  <w:vAlign w:val="center"/>
                </w:tcPr>
                <w:p w14:paraId="670702C3">
                  <w:pPr>
                    <w:spacing w:line="240" w:lineRule="auto"/>
                    <w:ind w:firstLine="0" w:firstLineChars="0"/>
                    <w:jc w:val="center"/>
                    <w:rPr>
                      <w:color w:val="auto"/>
                      <w:sz w:val="21"/>
                      <w:szCs w:val="21"/>
                      <w:u w:val="none"/>
                    </w:rPr>
                  </w:pPr>
                  <w:r>
                    <w:rPr>
                      <w:rFonts w:hint="eastAsia"/>
                      <w:color w:val="auto"/>
                      <w:sz w:val="21"/>
                      <w:szCs w:val="21"/>
                      <w:u w:val="none"/>
                    </w:rPr>
                    <w:t>濮环委办〔2024〕11号</w:t>
                  </w:r>
                </w:p>
              </w:tc>
              <w:tc>
                <w:tcPr>
                  <w:tcW w:w="824" w:type="pct"/>
                  <w:tcBorders>
                    <w:top w:val="single" w:color="auto" w:sz="4" w:space="0"/>
                    <w:left w:val="single" w:color="auto" w:sz="4" w:space="0"/>
                    <w:bottom w:val="single" w:color="auto" w:sz="4" w:space="0"/>
                    <w:right w:val="single" w:color="auto" w:sz="4" w:space="0"/>
                  </w:tcBorders>
                  <w:vAlign w:val="center"/>
                </w:tcPr>
                <w:p w14:paraId="4E90AEBB">
                  <w:pPr>
                    <w:spacing w:line="240" w:lineRule="auto"/>
                    <w:ind w:firstLine="0" w:firstLineChars="0"/>
                    <w:jc w:val="center"/>
                    <w:rPr>
                      <w:color w:val="auto"/>
                      <w:sz w:val="21"/>
                      <w:szCs w:val="21"/>
                      <w:u w:val="none"/>
                    </w:rPr>
                  </w:pPr>
                  <w:r>
                    <w:rPr>
                      <w:rFonts w:hint="eastAsia"/>
                      <w:color w:val="auto"/>
                      <w:sz w:val="21"/>
                      <w:szCs w:val="21"/>
                      <w:u w:val="none"/>
                    </w:rPr>
                    <w:t>相符性</w:t>
                  </w:r>
                </w:p>
              </w:tc>
            </w:tr>
            <w:tr w14:paraId="60E4A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67" w:type="pct"/>
                  <w:tcBorders>
                    <w:top w:val="single" w:color="auto" w:sz="4" w:space="0"/>
                    <w:left w:val="single" w:color="auto" w:sz="4" w:space="0"/>
                    <w:bottom w:val="single" w:color="auto" w:sz="4" w:space="0"/>
                    <w:right w:val="single" w:color="auto" w:sz="4" w:space="0"/>
                  </w:tcBorders>
                  <w:vAlign w:val="center"/>
                </w:tcPr>
                <w:p w14:paraId="0C3204AD">
                  <w:pPr>
                    <w:spacing w:line="240" w:lineRule="auto"/>
                    <w:ind w:firstLine="0" w:firstLineChars="0"/>
                    <w:jc w:val="center"/>
                    <w:rPr>
                      <w:color w:val="auto"/>
                      <w:sz w:val="21"/>
                      <w:szCs w:val="21"/>
                      <w:u w:val="none"/>
                    </w:rPr>
                  </w:pPr>
                  <w:r>
                    <w:rPr>
                      <w:rFonts w:hint="eastAsia"/>
                      <w:color w:val="auto"/>
                      <w:sz w:val="21"/>
                      <w:szCs w:val="21"/>
                      <w:u w:val="none"/>
                    </w:rPr>
                    <w:t>依法依规淘汰落后低效产能</w:t>
                  </w:r>
                </w:p>
              </w:tc>
              <w:tc>
                <w:tcPr>
                  <w:tcW w:w="3707" w:type="pct"/>
                  <w:tcBorders>
                    <w:top w:val="single" w:color="auto" w:sz="4" w:space="0"/>
                    <w:left w:val="single" w:color="auto" w:sz="4" w:space="0"/>
                    <w:bottom w:val="single" w:color="auto" w:sz="4" w:space="0"/>
                    <w:right w:val="single" w:color="auto" w:sz="4" w:space="0"/>
                  </w:tcBorders>
                  <w:vAlign w:val="center"/>
                </w:tcPr>
                <w:p w14:paraId="6D79F065">
                  <w:pPr>
                    <w:spacing w:line="240" w:lineRule="auto"/>
                    <w:ind w:firstLine="0" w:firstLineChars="0"/>
                    <w:jc w:val="left"/>
                    <w:rPr>
                      <w:color w:val="auto"/>
                      <w:sz w:val="21"/>
                      <w:szCs w:val="21"/>
                      <w:u w:val="none"/>
                    </w:rPr>
                  </w:pPr>
                  <w:r>
                    <w:rPr>
                      <w:rFonts w:hint="eastAsia"/>
                      <w:color w:val="auto"/>
                      <w:sz w:val="21"/>
                      <w:szCs w:val="21"/>
                      <w:u w:val="none"/>
                    </w:rPr>
                    <w:t>制定年度落后产能退出工作方案，2024年6月底前，排查建立落后产能淘汰任务台账明确整治淘汰退出时限及责任单位。研究制定烧结砖瓦行业整合提升方案，推进6000万标砖1年以下和市城区内烧结砖瓦生产线有序退出。</w:t>
                  </w:r>
                </w:p>
              </w:tc>
              <w:tc>
                <w:tcPr>
                  <w:tcW w:w="824" w:type="pct"/>
                  <w:tcBorders>
                    <w:top w:val="single" w:color="auto" w:sz="4" w:space="0"/>
                    <w:left w:val="single" w:color="auto" w:sz="4" w:space="0"/>
                    <w:bottom w:val="single" w:color="auto" w:sz="4" w:space="0"/>
                    <w:right w:val="single" w:color="auto" w:sz="4" w:space="0"/>
                  </w:tcBorders>
                  <w:vAlign w:val="center"/>
                </w:tcPr>
                <w:p w14:paraId="183061C0">
                  <w:pPr>
                    <w:spacing w:line="240" w:lineRule="auto"/>
                    <w:ind w:firstLine="0" w:firstLineChars="0"/>
                    <w:jc w:val="center"/>
                    <w:rPr>
                      <w:color w:val="auto"/>
                      <w:sz w:val="21"/>
                      <w:szCs w:val="21"/>
                      <w:u w:val="none"/>
                    </w:rPr>
                  </w:pPr>
                  <w:r>
                    <w:rPr>
                      <w:color w:val="auto"/>
                      <w:sz w:val="21"/>
                      <w:szCs w:val="21"/>
                      <w:u w:val="none"/>
                    </w:rPr>
                    <w:t>本项目不属于该目录中鼓励类、淘汰类、限制类建设项目，属于国家发展允许类项目</w:t>
                  </w:r>
                </w:p>
              </w:tc>
            </w:tr>
            <w:tr w14:paraId="31CB1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67" w:type="pct"/>
                  <w:tcBorders>
                    <w:top w:val="single" w:color="auto" w:sz="4" w:space="0"/>
                    <w:left w:val="single" w:color="auto" w:sz="4" w:space="0"/>
                    <w:bottom w:val="single" w:color="auto" w:sz="4" w:space="0"/>
                    <w:right w:val="single" w:color="auto" w:sz="4" w:space="0"/>
                  </w:tcBorders>
                  <w:vAlign w:val="center"/>
                </w:tcPr>
                <w:p w14:paraId="4F3C71F8">
                  <w:pPr>
                    <w:spacing w:line="240" w:lineRule="auto"/>
                    <w:ind w:firstLine="0" w:firstLineChars="0"/>
                    <w:jc w:val="center"/>
                    <w:rPr>
                      <w:color w:val="auto"/>
                      <w:sz w:val="21"/>
                      <w:szCs w:val="21"/>
                      <w:u w:val="none"/>
                    </w:rPr>
                  </w:pPr>
                  <w:r>
                    <w:rPr>
                      <w:rFonts w:hint="eastAsia"/>
                      <w:color w:val="auto"/>
                      <w:sz w:val="21"/>
                      <w:szCs w:val="21"/>
                      <w:u w:val="none"/>
                    </w:rPr>
                    <w:t>加快工业炉窑和锅炉深度治理</w:t>
                  </w:r>
                </w:p>
              </w:tc>
              <w:tc>
                <w:tcPr>
                  <w:tcW w:w="3707" w:type="pct"/>
                  <w:tcBorders>
                    <w:top w:val="single" w:color="auto" w:sz="4" w:space="0"/>
                    <w:left w:val="single" w:color="auto" w:sz="4" w:space="0"/>
                    <w:bottom w:val="single" w:color="auto" w:sz="4" w:space="0"/>
                    <w:right w:val="single" w:color="auto" w:sz="4" w:space="0"/>
                  </w:tcBorders>
                  <w:vAlign w:val="center"/>
                </w:tcPr>
                <w:p w14:paraId="08E80BE6">
                  <w:pPr>
                    <w:spacing w:line="240" w:lineRule="auto"/>
                    <w:ind w:firstLine="0" w:firstLineChars="0"/>
                    <w:jc w:val="left"/>
                    <w:rPr>
                      <w:color w:val="auto"/>
                      <w:sz w:val="21"/>
                      <w:szCs w:val="21"/>
                      <w:u w:val="none"/>
                    </w:rPr>
                  </w:pPr>
                  <w:r>
                    <w:rPr>
                      <w:rFonts w:hint="eastAsia"/>
                      <w:color w:val="auto"/>
                      <w:sz w:val="21"/>
                      <w:szCs w:val="21"/>
                      <w:u w:val="none"/>
                    </w:rPr>
                    <w:t>加强燃煤锅炉、生物质锅炉除尘、脱硫、脱硝设施运行管理，推进燃气锅炉低氮改造强化全过程排放控制和监管力度，对于污染物无法稳定达标排放的，依法依规实施整治。</w:t>
                  </w:r>
                </w:p>
              </w:tc>
              <w:tc>
                <w:tcPr>
                  <w:tcW w:w="824" w:type="pct"/>
                  <w:tcBorders>
                    <w:top w:val="single" w:color="auto" w:sz="4" w:space="0"/>
                    <w:left w:val="single" w:color="auto" w:sz="4" w:space="0"/>
                    <w:bottom w:val="single" w:color="auto" w:sz="4" w:space="0"/>
                    <w:right w:val="single" w:color="auto" w:sz="4" w:space="0"/>
                  </w:tcBorders>
                  <w:vAlign w:val="center"/>
                </w:tcPr>
                <w:p w14:paraId="4120F6CC">
                  <w:pPr>
                    <w:spacing w:line="240" w:lineRule="auto"/>
                    <w:ind w:firstLine="0" w:firstLineChars="0"/>
                    <w:jc w:val="center"/>
                    <w:rPr>
                      <w:rFonts w:hint="eastAsia" w:eastAsia="宋体"/>
                      <w:color w:val="auto"/>
                      <w:sz w:val="21"/>
                      <w:szCs w:val="21"/>
                      <w:u w:val="none"/>
                      <w:lang w:eastAsia="zh-CN"/>
                    </w:rPr>
                  </w:pPr>
                  <w:r>
                    <w:rPr>
                      <w:rFonts w:hint="eastAsia"/>
                      <w:color w:val="auto"/>
                      <w:sz w:val="21"/>
                      <w:szCs w:val="21"/>
                      <w:u w:val="none"/>
                      <w:lang w:val="en-US" w:eastAsia="zh-CN"/>
                    </w:rPr>
                    <w:t>不涉及</w:t>
                  </w:r>
                </w:p>
              </w:tc>
            </w:tr>
            <w:tr w14:paraId="54A62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67" w:type="pct"/>
                  <w:tcBorders>
                    <w:top w:val="single" w:color="auto" w:sz="4" w:space="0"/>
                    <w:left w:val="single" w:color="auto" w:sz="4" w:space="0"/>
                    <w:bottom w:val="single" w:color="auto" w:sz="4" w:space="0"/>
                    <w:right w:val="single" w:color="auto" w:sz="4" w:space="0"/>
                  </w:tcBorders>
                  <w:vAlign w:val="center"/>
                </w:tcPr>
                <w:p w14:paraId="2D7176E4">
                  <w:pPr>
                    <w:spacing w:line="240" w:lineRule="auto"/>
                    <w:ind w:firstLine="0" w:firstLineChars="0"/>
                    <w:jc w:val="center"/>
                    <w:rPr>
                      <w:color w:val="auto"/>
                      <w:sz w:val="21"/>
                      <w:szCs w:val="21"/>
                      <w:u w:val="none"/>
                    </w:rPr>
                  </w:pPr>
                  <w:r>
                    <w:rPr>
                      <w:rFonts w:hint="eastAsia"/>
                      <w:color w:val="auto"/>
                      <w:sz w:val="21"/>
                      <w:szCs w:val="21"/>
                      <w:u w:val="none"/>
                    </w:rPr>
                    <w:t>开展低效失效设施排查整治</w:t>
                  </w:r>
                </w:p>
              </w:tc>
              <w:tc>
                <w:tcPr>
                  <w:tcW w:w="3707" w:type="pct"/>
                  <w:tcBorders>
                    <w:top w:val="single" w:color="auto" w:sz="4" w:space="0"/>
                    <w:left w:val="single" w:color="auto" w:sz="4" w:space="0"/>
                    <w:bottom w:val="single" w:color="auto" w:sz="4" w:space="0"/>
                    <w:right w:val="single" w:color="auto" w:sz="4" w:space="0"/>
                  </w:tcBorders>
                  <w:vAlign w:val="center"/>
                </w:tcPr>
                <w:p w14:paraId="0AB823D5">
                  <w:pPr>
                    <w:spacing w:line="240" w:lineRule="auto"/>
                    <w:ind w:firstLine="0" w:firstLineChars="0"/>
                    <w:jc w:val="left"/>
                    <w:rPr>
                      <w:color w:val="auto"/>
                      <w:sz w:val="21"/>
                      <w:szCs w:val="21"/>
                      <w:u w:val="none"/>
                    </w:rPr>
                  </w:pPr>
                  <w:r>
                    <w:rPr>
                      <w:rFonts w:hint="eastAsia"/>
                      <w:color w:val="auto"/>
                      <w:sz w:val="21"/>
                      <w:szCs w:val="21"/>
                      <w:u w:val="none"/>
                    </w:rPr>
                    <w:t>对工业炉窑、锅炉、涉VOCs等重点行业全面开展低效失效大气污染理设施排查整治按照“淘汰一批、整治一批、提升一批”的要求，制定排查整治方案，建立整治提升企业清单，重点关注水喷淋脱硫、简易碱法脱硫、简易氨法脱硫脱硝、微生物脱硝、单一水膜(浴)除尘、湿法脱硝除尘一体化等脱硫脱硝除尘工艺，单一低温等离子、光氧化、光催化、非水溶性 VOCs 废气采用单一水喷淋吸收等 VOCs治理工艺及上述工艺的组合(异味治理除外)，处理机制不明、无法通过药剂或副产物进行污染物脱除效果评估的治理工艺，对无法稳定达标排放的，通过更换适宜高效治理工艺、清洁能源替代、原辅材料源头替代、关停淘汰等方式实施分类整治。对人工投加脱硫脱硝剂的简易设施实施自动化改造，取缔直接向烟道内喷洒脱硫脱硝剂等敷衍式治理工艺。</w:t>
                  </w:r>
                </w:p>
              </w:tc>
              <w:tc>
                <w:tcPr>
                  <w:tcW w:w="824" w:type="pct"/>
                  <w:tcBorders>
                    <w:top w:val="single" w:color="auto" w:sz="4" w:space="0"/>
                    <w:left w:val="single" w:color="auto" w:sz="4" w:space="0"/>
                    <w:bottom w:val="single" w:color="auto" w:sz="4" w:space="0"/>
                    <w:right w:val="single" w:color="auto" w:sz="4" w:space="0"/>
                  </w:tcBorders>
                  <w:vAlign w:val="center"/>
                </w:tcPr>
                <w:p w14:paraId="356555E1">
                  <w:pPr>
                    <w:spacing w:line="240" w:lineRule="auto"/>
                    <w:ind w:firstLine="0" w:firstLineChars="0"/>
                    <w:jc w:val="center"/>
                    <w:rPr>
                      <w:rFonts w:hint="default"/>
                      <w:color w:val="auto"/>
                      <w:sz w:val="21"/>
                      <w:szCs w:val="21"/>
                      <w:u w:val="none"/>
                      <w:lang w:val="en-US"/>
                    </w:rPr>
                  </w:pPr>
                  <w:r>
                    <w:rPr>
                      <w:rFonts w:hint="eastAsia"/>
                      <w:color w:val="auto"/>
                      <w:sz w:val="21"/>
                      <w:szCs w:val="21"/>
                      <w:u w:val="none"/>
                      <w:lang w:val="en-US" w:eastAsia="zh-CN"/>
                    </w:rPr>
                    <w:t>本项目质检工序产生的实验废气采用通风橱+二级活性炭处理装置处置</w:t>
                  </w:r>
                </w:p>
              </w:tc>
            </w:tr>
            <w:tr w14:paraId="1ED27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67" w:type="pct"/>
                  <w:tcBorders>
                    <w:top w:val="single" w:color="auto" w:sz="4" w:space="0"/>
                    <w:left w:val="single" w:color="auto" w:sz="4" w:space="0"/>
                    <w:bottom w:val="single" w:color="auto" w:sz="4" w:space="0"/>
                    <w:right w:val="single" w:color="auto" w:sz="4" w:space="0"/>
                  </w:tcBorders>
                  <w:vAlign w:val="center"/>
                </w:tcPr>
                <w:p w14:paraId="6727AC55">
                  <w:pPr>
                    <w:spacing w:line="240" w:lineRule="auto"/>
                    <w:ind w:firstLine="0" w:firstLineChars="0"/>
                    <w:jc w:val="center"/>
                    <w:rPr>
                      <w:color w:val="auto"/>
                      <w:sz w:val="21"/>
                      <w:szCs w:val="21"/>
                      <w:u w:val="none"/>
                    </w:rPr>
                  </w:pPr>
                  <w:r>
                    <w:rPr>
                      <w:rFonts w:hint="eastAsia"/>
                      <w:color w:val="auto"/>
                      <w:sz w:val="21"/>
                      <w:szCs w:val="21"/>
                      <w:u w:val="none"/>
                    </w:rPr>
                    <w:t>实施挥发性有机物综合治理</w:t>
                  </w:r>
                </w:p>
              </w:tc>
              <w:tc>
                <w:tcPr>
                  <w:tcW w:w="3707" w:type="pct"/>
                  <w:tcBorders>
                    <w:top w:val="single" w:color="auto" w:sz="4" w:space="0"/>
                    <w:left w:val="single" w:color="auto" w:sz="4" w:space="0"/>
                    <w:bottom w:val="single" w:color="auto" w:sz="4" w:space="0"/>
                    <w:right w:val="single" w:color="auto" w:sz="4" w:space="0"/>
                  </w:tcBorders>
                  <w:vAlign w:val="center"/>
                </w:tcPr>
                <w:p w14:paraId="41032ABE">
                  <w:pPr>
                    <w:spacing w:line="240" w:lineRule="auto"/>
                    <w:ind w:firstLine="0" w:firstLineChars="0"/>
                    <w:jc w:val="left"/>
                    <w:rPr>
                      <w:color w:val="auto"/>
                      <w:sz w:val="21"/>
                      <w:szCs w:val="21"/>
                      <w:u w:val="none"/>
                    </w:rPr>
                  </w:pPr>
                  <w:r>
                    <w:rPr>
                      <w:rFonts w:hint="eastAsia"/>
                      <w:color w:val="auto"/>
                      <w:sz w:val="21"/>
                      <w:szCs w:val="21"/>
                      <w:u w:val="none"/>
                    </w:rPr>
                    <w:t>按照“可替尽替、应代尽代”的原则，加快推进低VOCs含量原辅材料替代，加强VOCs全流程综合治理，加大蓄热式氧化燃烧(RTO)、蓄热式催化燃烧(RCO)、催化燃烧(CO)、沸石转轮吸附浓缩等高效治理技术推广力度:对企业含VOCs有机废水储罐、装置区集水井(池)完成有机废气收集密闭化改造:对企业活性炭装填量、更换周期实施编码登记，实现从购买、更换到处置的全过程可回溯管理:对污水处理场排放的高浓度有机废气实施单独收集处理:具备改造条件的挥发性有机液体储罐改用低泄漏的储罐呼吸阀、紧急泄压阀，汽车罐车改用自封式快速接头;加强火炬燃烧装置监管，火炬系统、煤气放散管安装温度监控、废气流量计、助燃气体流量计，相关数据接入DCS系统。</w:t>
                  </w:r>
                </w:p>
              </w:tc>
              <w:tc>
                <w:tcPr>
                  <w:tcW w:w="824" w:type="pct"/>
                  <w:tcBorders>
                    <w:top w:val="single" w:color="auto" w:sz="4" w:space="0"/>
                    <w:left w:val="single" w:color="auto" w:sz="4" w:space="0"/>
                    <w:bottom w:val="single" w:color="auto" w:sz="4" w:space="0"/>
                    <w:right w:val="single" w:color="auto" w:sz="4" w:space="0"/>
                  </w:tcBorders>
                  <w:vAlign w:val="center"/>
                </w:tcPr>
                <w:p w14:paraId="19437E23">
                  <w:pPr>
                    <w:spacing w:line="240" w:lineRule="auto"/>
                    <w:ind w:firstLine="0" w:firstLineChars="0"/>
                    <w:jc w:val="center"/>
                    <w:rPr>
                      <w:rFonts w:hint="default" w:eastAsia="宋体"/>
                      <w:color w:val="auto"/>
                      <w:sz w:val="21"/>
                      <w:szCs w:val="21"/>
                      <w:u w:val="none"/>
                      <w:lang w:val="en-US" w:eastAsia="zh-CN"/>
                    </w:rPr>
                  </w:pPr>
                  <w:r>
                    <w:rPr>
                      <w:rFonts w:hint="eastAsia"/>
                      <w:color w:val="auto"/>
                      <w:sz w:val="21"/>
                      <w:szCs w:val="21"/>
                      <w:u w:val="none"/>
                    </w:rPr>
                    <w:t>本项目</w:t>
                  </w:r>
                  <w:r>
                    <w:rPr>
                      <w:rFonts w:hint="eastAsia"/>
                      <w:color w:val="auto"/>
                      <w:sz w:val="21"/>
                      <w:szCs w:val="21"/>
                      <w:u w:val="none"/>
                      <w:lang w:val="en-US" w:eastAsia="zh-CN"/>
                    </w:rPr>
                    <w:t>涉及有机试剂，用量很小，产生的</w:t>
                  </w:r>
                  <w:r>
                    <w:rPr>
                      <w:rFonts w:hint="eastAsia"/>
                      <w:color w:val="auto"/>
                      <w:sz w:val="21"/>
                      <w:szCs w:val="21"/>
                      <w:u w:val="none"/>
                    </w:rPr>
                    <w:t>VOCs</w:t>
                  </w:r>
                  <w:r>
                    <w:rPr>
                      <w:rFonts w:hint="eastAsia"/>
                      <w:color w:val="auto"/>
                      <w:sz w:val="21"/>
                      <w:szCs w:val="21"/>
                      <w:u w:val="none"/>
                      <w:lang w:val="en-US" w:eastAsia="zh-CN"/>
                    </w:rPr>
                    <w:t>采用通风橱+二级活性炭处理装置处置</w:t>
                  </w:r>
                </w:p>
              </w:tc>
            </w:tr>
            <w:tr w14:paraId="3A8ED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67" w:type="pct"/>
                  <w:tcBorders>
                    <w:top w:val="single" w:color="auto" w:sz="4" w:space="0"/>
                    <w:left w:val="single" w:color="auto" w:sz="4" w:space="0"/>
                    <w:bottom w:val="single" w:color="auto" w:sz="4" w:space="0"/>
                    <w:right w:val="single" w:color="auto" w:sz="4" w:space="0"/>
                  </w:tcBorders>
                  <w:vAlign w:val="center"/>
                </w:tcPr>
                <w:p w14:paraId="59C1F388">
                  <w:pPr>
                    <w:spacing w:line="240" w:lineRule="auto"/>
                    <w:ind w:firstLine="0" w:firstLineChars="0"/>
                    <w:jc w:val="center"/>
                    <w:rPr>
                      <w:color w:val="auto"/>
                      <w:sz w:val="21"/>
                      <w:szCs w:val="21"/>
                      <w:u w:val="none"/>
                    </w:rPr>
                  </w:pPr>
                  <w:r>
                    <w:rPr>
                      <w:rFonts w:hint="eastAsia"/>
                      <w:color w:val="auto"/>
                      <w:sz w:val="21"/>
                      <w:szCs w:val="21"/>
                      <w:u w:val="none"/>
                    </w:rPr>
                    <w:t>提升重污染天气应对实效</w:t>
                  </w:r>
                </w:p>
              </w:tc>
              <w:tc>
                <w:tcPr>
                  <w:tcW w:w="3707" w:type="pct"/>
                  <w:tcBorders>
                    <w:top w:val="single" w:color="auto" w:sz="4" w:space="0"/>
                    <w:left w:val="single" w:color="auto" w:sz="4" w:space="0"/>
                    <w:bottom w:val="single" w:color="auto" w:sz="4" w:space="0"/>
                    <w:right w:val="single" w:color="auto" w:sz="4" w:space="0"/>
                  </w:tcBorders>
                  <w:vAlign w:val="center"/>
                </w:tcPr>
                <w:p w14:paraId="69E1654E">
                  <w:pPr>
                    <w:spacing w:line="240" w:lineRule="auto"/>
                    <w:ind w:firstLine="0" w:firstLineChars="0"/>
                    <w:jc w:val="left"/>
                    <w:rPr>
                      <w:color w:val="auto"/>
                      <w:sz w:val="21"/>
                      <w:szCs w:val="21"/>
                      <w:u w:val="none"/>
                    </w:rPr>
                  </w:pPr>
                  <w:r>
                    <w:rPr>
                      <w:rFonts w:hint="eastAsia"/>
                      <w:color w:val="auto"/>
                      <w:sz w:val="21"/>
                      <w:szCs w:val="21"/>
                      <w:u w:val="none"/>
                    </w:rPr>
                    <w:t>健全完善重污染天气预警响应机制，规范重污染天气预警、启动、响应、解除工作流程强化区域联合应对，加强部门间的联系沟通，综合采取远程监控、入企监督指导、污染高值预警、实地监测溯源、综合分析应对等方式，全面提升重污染天气协同管控实效。</w:t>
                  </w:r>
                </w:p>
              </w:tc>
              <w:tc>
                <w:tcPr>
                  <w:tcW w:w="824" w:type="pct"/>
                  <w:tcBorders>
                    <w:top w:val="single" w:color="auto" w:sz="4" w:space="0"/>
                    <w:left w:val="single" w:color="auto" w:sz="4" w:space="0"/>
                    <w:bottom w:val="single" w:color="auto" w:sz="4" w:space="0"/>
                    <w:right w:val="single" w:color="auto" w:sz="4" w:space="0"/>
                  </w:tcBorders>
                  <w:vAlign w:val="center"/>
                </w:tcPr>
                <w:p w14:paraId="7EDE41D2">
                  <w:pPr>
                    <w:spacing w:line="240" w:lineRule="auto"/>
                    <w:ind w:firstLine="0" w:firstLineChars="0"/>
                    <w:jc w:val="center"/>
                    <w:rPr>
                      <w:color w:val="auto"/>
                      <w:sz w:val="21"/>
                      <w:szCs w:val="21"/>
                      <w:u w:val="none"/>
                    </w:rPr>
                  </w:pPr>
                  <w:r>
                    <w:rPr>
                      <w:rFonts w:hint="eastAsia"/>
                      <w:color w:val="auto"/>
                      <w:sz w:val="21"/>
                      <w:szCs w:val="21"/>
                      <w:u w:val="none"/>
                    </w:rPr>
                    <w:t>项目建成后按照要求编制突发环境事件应急预案</w:t>
                  </w:r>
                </w:p>
              </w:tc>
            </w:tr>
            <w:tr w14:paraId="63B4C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67" w:type="pct"/>
                  <w:tcBorders>
                    <w:top w:val="single" w:color="auto" w:sz="4" w:space="0"/>
                    <w:left w:val="single" w:color="auto" w:sz="4" w:space="0"/>
                    <w:bottom w:val="single" w:color="auto" w:sz="4" w:space="0"/>
                    <w:right w:val="single" w:color="auto" w:sz="4" w:space="0"/>
                  </w:tcBorders>
                  <w:vAlign w:val="center"/>
                </w:tcPr>
                <w:p w14:paraId="08704F37">
                  <w:pPr>
                    <w:spacing w:line="240" w:lineRule="auto"/>
                    <w:ind w:firstLine="0" w:firstLineChars="0"/>
                    <w:jc w:val="center"/>
                    <w:rPr>
                      <w:color w:val="auto"/>
                      <w:sz w:val="21"/>
                      <w:szCs w:val="21"/>
                      <w:u w:val="none"/>
                    </w:rPr>
                  </w:pPr>
                  <w:r>
                    <w:rPr>
                      <w:rFonts w:hint="eastAsia"/>
                      <w:color w:val="auto"/>
                      <w:sz w:val="21"/>
                      <w:szCs w:val="21"/>
                      <w:u w:val="none"/>
                    </w:rPr>
                    <w:t>开展环境绩效等级提升行动</w:t>
                  </w:r>
                </w:p>
              </w:tc>
              <w:tc>
                <w:tcPr>
                  <w:tcW w:w="3707" w:type="pct"/>
                  <w:tcBorders>
                    <w:top w:val="single" w:color="auto" w:sz="4" w:space="0"/>
                    <w:left w:val="single" w:color="auto" w:sz="4" w:space="0"/>
                    <w:bottom w:val="single" w:color="auto" w:sz="4" w:space="0"/>
                    <w:right w:val="single" w:color="auto" w:sz="4" w:space="0"/>
                  </w:tcBorders>
                  <w:vAlign w:val="center"/>
                </w:tcPr>
                <w:p w14:paraId="622CEB5D">
                  <w:pPr>
                    <w:spacing w:line="240" w:lineRule="auto"/>
                    <w:ind w:firstLine="0" w:firstLineChars="0"/>
                    <w:jc w:val="left"/>
                    <w:rPr>
                      <w:color w:val="auto"/>
                      <w:sz w:val="21"/>
                      <w:szCs w:val="21"/>
                      <w:u w:val="none"/>
                    </w:rPr>
                  </w:pPr>
                  <w:r>
                    <w:rPr>
                      <w:rFonts w:hint="eastAsia"/>
                      <w:color w:val="auto"/>
                      <w:sz w:val="21"/>
                      <w:szCs w:val="21"/>
                      <w:u w:val="none"/>
                    </w:rPr>
                    <w:t>严格落实重点行业绩效分级管理实施细则，建立“有进有出”动态调整机制，分行业分类别建立绩效提升企业名单，推动化工、铸造、耐材、工业涂装、包装印刷等重点行业环保绩效创A，全力帮扶重点行业企业对照行业先进水平实施生产和治理工艺装备提升改造，不断提升环境绩效等级，2024年6月底前，各县(区)建立绩效提升培育企业清单，力争提高A级、B级企业及绩效引领性企业占比，着力培育一批绩效水平高、行业带动强的企业。</w:t>
                  </w:r>
                </w:p>
              </w:tc>
              <w:tc>
                <w:tcPr>
                  <w:tcW w:w="824" w:type="pct"/>
                  <w:tcBorders>
                    <w:top w:val="single" w:color="auto" w:sz="4" w:space="0"/>
                    <w:left w:val="single" w:color="auto" w:sz="4" w:space="0"/>
                    <w:bottom w:val="single" w:color="auto" w:sz="4" w:space="0"/>
                    <w:right w:val="single" w:color="auto" w:sz="4" w:space="0"/>
                  </w:tcBorders>
                  <w:vAlign w:val="center"/>
                </w:tcPr>
                <w:p w14:paraId="72C53359">
                  <w:pPr>
                    <w:spacing w:line="240" w:lineRule="auto"/>
                    <w:ind w:firstLine="0" w:firstLineChars="0"/>
                    <w:jc w:val="center"/>
                    <w:rPr>
                      <w:color w:val="auto"/>
                      <w:sz w:val="21"/>
                      <w:szCs w:val="21"/>
                      <w:u w:val="none"/>
                    </w:rPr>
                  </w:pPr>
                  <w:r>
                    <w:rPr>
                      <w:rFonts w:hint="eastAsia"/>
                      <w:color w:val="auto"/>
                      <w:sz w:val="21"/>
                      <w:szCs w:val="21"/>
                      <w:u w:val="none"/>
                    </w:rPr>
                    <w:t>本项目满足</w:t>
                  </w:r>
                  <w:r>
                    <w:rPr>
                      <w:rFonts w:hint="eastAsia"/>
                      <w:color w:val="auto"/>
                      <w:sz w:val="21"/>
                      <w:szCs w:val="21"/>
                      <w:u w:val="none"/>
                      <w:lang w:eastAsia="zh-CN"/>
                    </w:rPr>
                    <w:t>《河南省重污染天气通用行业应急减排措施制定技术指南（2024 年修订稿）》</w:t>
                  </w:r>
                  <w:r>
                    <w:rPr>
                      <w:rFonts w:hint="eastAsia"/>
                      <w:color w:val="auto"/>
                      <w:sz w:val="21"/>
                      <w:szCs w:val="21"/>
                      <w:u w:val="none"/>
                      <w:lang w:val="en-US" w:eastAsia="zh-CN"/>
                    </w:rPr>
                    <w:t>绩效引领性企业。</w:t>
                  </w:r>
                </w:p>
              </w:tc>
            </w:tr>
            <w:tr w14:paraId="32111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67" w:type="pct"/>
                  <w:tcBorders>
                    <w:top w:val="single" w:color="auto" w:sz="4" w:space="0"/>
                    <w:left w:val="single" w:color="auto" w:sz="4" w:space="0"/>
                    <w:bottom w:val="single" w:color="auto" w:sz="4" w:space="0"/>
                    <w:right w:val="single" w:color="auto" w:sz="4" w:space="0"/>
                  </w:tcBorders>
                  <w:vAlign w:val="center"/>
                </w:tcPr>
                <w:p w14:paraId="78835BD5">
                  <w:pPr>
                    <w:spacing w:line="240" w:lineRule="auto"/>
                    <w:ind w:firstLine="0" w:firstLineChars="0"/>
                    <w:jc w:val="center"/>
                    <w:rPr>
                      <w:color w:val="auto"/>
                      <w:sz w:val="21"/>
                      <w:szCs w:val="21"/>
                      <w:u w:val="none"/>
                    </w:rPr>
                  </w:pPr>
                  <w:r>
                    <w:rPr>
                      <w:rFonts w:hint="eastAsia"/>
                      <w:color w:val="auto"/>
                      <w:sz w:val="21"/>
                      <w:szCs w:val="21"/>
                      <w:u w:val="none"/>
                    </w:rPr>
                    <w:t>持续开展入河排污口排查整治</w:t>
                  </w:r>
                </w:p>
              </w:tc>
              <w:tc>
                <w:tcPr>
                  <w:tcW w:w="3707" w:type="pct"/>
                  <w:tcBorders>
                    <w:top w:val="single" w:color="auto" w:sz="4" w:space="0"/>
                    <w:left w:val="single" w:color="auto" w:sz="4" w:space="0"/>
                    <w:bottom w:val="single" w:color="auto" w:sz="4" w:space="0"/>
                    <w:right w:val="single" w:color="auto" w:sz="4" w:space="0"/>
                  </w:tcBorders>
                  <w:vAlign w:val="center"/>
                </w:tcPr>
                <w:p w14:paraId="67DC8EB0">
                  <w:pPr>
                    <w:spacing w:line="240" w:lineRule="auto"/>
                    <w:ind w:firstLine="0" w:firstLineChars="0"/>
                    <w:jc w:val="left"/>
                    <w:rPr>
                      <w:color w:val="auto"/>
                      <w:sz w:val="21"/>
                      <w:szCs w:val="21"/>
                      <w:u w:val="none"/>
                    </w:rPr>
                  </w:pPr>
                  <w:r>
                    <w:rPr>
                      <w:rFonts w:hint="eastAsia"/>
                      <w:color w:val="auto"/>
                      <w:sz w:val="21"/>
                      <w:szCs w:val="21"/>
                      <w:u w:val="none"/>
                    </w:rPr>
                    <w:t>按照“有口皆查、应查尽查”的原则，持续开展入河排污口排查。按照“谁污染、谁治理”和政府兜底的原则，针对排查的入河排污口逐一明确责任主体，建立责任主体清单。按照“依法取缔一批、清理合并一批、规范整治一批”要求，对排查出的排污口梳理问题清单编制整治方案，制定“一口一策”整治表，实施分类整治。</w:t>
                  </w:r>
                </w:p>
              </w:tc>
              <w:tc>
                <w:tcPr>
                  <w:tcW w:w="824" w:type="pct"/>
                  <w:tcBorders>
                    <w:top w:val="single" w:color="auto" w:sz="4" w:space="0"/>
                    <w:left w:val="single" w:color="auto" w:sz="4" w:space="0"/>
                    <w:bottom w:val="single" w:color="auto" w:sz="4" w:space="0"/>
                    <w:right w:val="single" w:color="auto" w:sz="4" w:space="0"/>
                  </w:tcBorders>
                  <w:vAlign w:val="center"/>
                </w:tcPr>
                <w:p w14:paraId="3CD2242A">
                  <w:pPr>
                    <w:spacing w:line="240" w:lineRule="auto"/>
                    <w:ind w:firstLine="0" w:firstLineChars="0"/>
                    <w:rPr>
                      <w:rFonts w:hint="default" w:eastAsia="宋体"/>
                      <w:color w:val="auto"/>
                      <w:sz w:val="21"/>
                      <w:szCs w:val="21"/>
                      <w:u w:val="none"/>
                      <w:lang w:val="en-US" w:eastAsia="zh-CN"/>
                    </w:rPr>
                  </w:pPr>
                  <w:r>
                    <w:rPr>
                      <w:rFonts w:hint="eastAsia"/>
                      <w:color w:val="auto"/>
                      <w:sz w:val="21"/>
                      <w:szCs w:val="21"/>
                      <w:u w:val="none"/>
                      <w:lang w:val="en-US" w:eastAsia="zh-CN"/>
                    </w:rPr>
                    <w:t>项目综合生产废水和生活污水经厂区污水处理站处理后排入南乐县污水处理厂</w:t>
                  </w:r>
                </w:p>
              </w:tc>
            </w:tr>
            <w:tr w14:paraId="1EE6F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67" w:type="pct"/>
                  <w:tcBorders>
                    <w:top w:val="single" w:color="auto" w:sz="4" w:space="0"/>
                    <w:left w:val="single" w:color="auto" w:sz="4" w:space="0"/>
                    <w:bottom w:val="single" w:color="auto" w:sz="4" w:space="0"/>
                    <w:right w:val="single" w:color="auto" w:sz="4" w:space="0"/>
                  </w:tcBorders>
                  <w:vAlign w:val="center"/>
                </w:tcPr>
                <w:p w14:paraId="4A50DBD3">
                  <w:pPr>
                    <w:spacing w:line="240" w:lineRule="auto"/>
                    <w:ind w:firstLine="0" w:firstLineChars="0"/>
                    <w:jc w:val="center"/>
                    <w:rPr>
                      <w:color w:val="auto"/>
                      <w:sz w:val="21"/>
                      <w:szCs w:val="21"/>
                      <w:u w:val="none"/>
                    </w:rPr>
                  </w:pPr>
                  <w:r>
                    <w:rPr>
                      <w:rFonts w:hint="eastAsia"/>
                      <w:color w:val="auto"/>
                      <w:sz w:val="21"/>
                      <w:szCs w:val="21"/>
                      <w:u w:val="none"/>
                    </w:rPr>
                    <w:t>严格入河排污口监督管理</w:t>
                  </w:r>
                </w:p>
              </w:tc>
              <w:tc>
                <w:tcPr>
                  <w:tcW w:w="3707" w:type="pct"/>
                  <w:tcBorders>
                    <w:top w:val="single" w:color="auto" w:sz="4" w:space="0"/>
                    <w:left w:val="single" w:color="auto" w:sz="4" w:space="0"/>
                    <w:bottom w:val="single" w:color="auto" w:sz="4" w:space="0"/>
                    <w:right w:val="single" w:color="auto" w:sz="4" w:space="0"/>
                  </w:tcBorders>
                  <w:vAlign w:val="center"/>
                </w:tcPr>
                <w:p w14:paraId="19CE959A">
                  <w:pPr>
                    <w:spacing w:line="240" w:lineRule="auto"/>
                    <w:ind w:firstLine="0" w:firstLineChars="0"/>
                    <w:jc w:val="left"/>
                    <w:rPr>
                      <w:color w:val="auto"/>
                      <w:sz w:val="21"/>
                      <w:szCs w:val="21"/>
                      <w:u w:val="none"/>
                    </w:rPr>
                  </w:pPr>
                  <w:r>
                    <w:rPr>
                      <w:rFonts w:hint="eastAsia"/>
                      <w:color w:val="auto"/>
                      <w:sz w:val="21"/>
                      <w:szCs w:val="21"/>
                      <w:u w:val="none"/>
                    </w:rPr>
                    <w:t>按照《河南省入河排污口设置审批权限划分方案》《濮阳市入河排污口排查整治和监督管理工作实施方案》要求，全面规范排污口设置审批，严把设置审批工作质量，确保入河排污口设置科学、合理。加强日常监督与执法监管，根据排污口类型、责任主体及部门职责等，落实排污口监督管理责任，定期开展自查。生态环境部门会同相关部门加大环境执法力度，督促入河排污口设置单位依法履行设置审批、自行监测、信息公开等环境管理要求，严厉打击偷排直排、借道排污、私设排污口等违法行为;按时报送入河排污口排查整治、设置审批、日常监督管理等信息和年度监督管理工作情况。</w:t>
                  </w:r>
                </w:p>
              </w:tc>
              <w:tc>
                <w:tcPr>
                  <w:tcW w:w="824" w:type="pct"/>
                  <w:tcBorders>
                    <w:top w:val="single" w:color="auto" w:sz="4" w:space="0"/>
                    <w:left w:val="single" w:color="auto" w:sz="4" w:space="0"/>
                    <w:bottom w:val="single" w:color="auto" w:sz="4" w:space="0"/>
                    <w:right w:val="single" w:color="auto" w:sz="4" w:space="0"/>
                  </w:tcBorders>
                  <w:vAlign w:val="center"/>
                </w:tcPr>
                <w:p w14:paraId="605B007F">
                  <w:pPr>
                    <w:spacing w:line="240" w:lineRule="auto"/>
                    <w:ind w:firstLine="0" w:firstLineChars="0"/>
                    <w:rPr>
                      <w:color w:val="auto"/>
                      <w:sz w:val="21"/>
                      <w:szCs w:val="21"/>
                      <w:u w:val="none"/>
                    </w:rPr>
                  </w:pPr>
                  <w:r>
                    <w:rPr>
                      <w:rFonts w:hint="eastAsia"/>
                      <w:color w:val="auto"/>
                      <w:sz w:val="21"/>
                      <w:szCs w:val="21"/>
                      <w:u w:val="none"/>
                      <w:lang w:val="en-US" w:eastAsia="zh-CN"/>
                    </w:rPr>
                    <w:t>项目综合生产废水和生活污水经厂区污水处理站处理后排入南乐县污水处理厂</w:t>
                  </w:r>
                </w:p>
              </w:tc>
            </w:tr>
            <w:tr w14:paraId="20CCD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67" w:type="pct"/>
                  <w:tcBorders>
                    <w:top w:val="single" w:color="auto" w:sz="4" w:space="0"/>
                    <w:left w:val="single" w:color="auto" w:sz="4" w:space="0"/>
                    <w:bottom w:val="single" w:color="auto" w:sz="4" w:space="0"/>
                    <w:right w:val="single" w:color="auto" w:sz="4" w:space="0"/>
                  </w:tcBorders>
                  <w:vAlign w:val="center"/>
                </w:tcPr>
                <w:p w14:paraId="38E16997">
                  <w:pPr>
                    <w:spacing w:line="240" w:lineRule="auto"/>
                    <w:ind w:firstLine="0" w:firstLineChars="0"/>
                    <w:jc w:val="center"/>
                    <w:rPr>
                      <w:color w:val="auto"/>
                      <w:sz w:val="21"/>
                      <w:szCs w:val="21"/>
                      <w:u w:val="none"/>
                    </w:rPr>
                  </w:pPr>
                  <w:r>
                    <w:rPr>
                      <w:rFonts w:hint="eastAsia"/>
                      <w:color w:val="auto"/>
                      <w:sz w:val="21"/>
                      <w:szCs w:val="21"/>
                      <w:u w:val="none"/>
                    </w:rPr>
                    <w:t>严格防范水生态环境风险。</w:t>
                  </w:r>
                </w:p>
              </w:tc>
              <w:tc>
                <w:tcPr>
                  <w:tcW w:w="3707" w:type="pct"/>
                  <w:tcBorders>
                    <w:top w:val="single" w:color="auto" w:sz="4" w:space="0"/>
                    <w:left w:val="single" w:color="auto" w:sz="4" w:space="0"/>
                    <w:bottom w:val="single" w:color="auto" w:sz="4" w:space="0"/>
                    <w:right w:val="single" w:color="auto" w:sz="4" w:space="0"/>
                  </w:tcBorders>
                  <w:vAlign w:val="center"/>
                </w:tcPr>
                <w:p w14:paraId="33176D4D">
                  <w:pPr>
                    <w:spacing w:line="240" w:lineRule="auto"/>
                    <w:ind w:firstLine="0" w:firstLineChars="0"/>
                    <w:jc w:val="left"/>
                    <w:rPr>
                      <w:color w:val="auto"/>
                      <w:sz w:val="21"/>
                      <w:szCs w:val="21"/>
                      <w:u w:val="none"/>
                    </w:rPr>
                  </w:pPr>
                  <w:r>
                    <w:rPr>
                      <w:rFonts w:hint="eastAsia"/>
                      <w:color w:val="auto"/>
                      <w:sz w:val="21"/>
                      <w:szCs w:val="21"/>
                      <w:u w:val="none"/>
                    </w:rPr>
                    <w:t>以涉危涉重企业、工业园区等为重点，强化应急设施建设。完善上下游、跨区域的应急联动机制。进一步加强市级以上地表水型饮用水水源地、跨省界河流以及其他敏感水体风险防控，编制重点河流“一河一策一图”应急处置预案，强化重点区域污染监控预警，提高水环境风险防控和应急处置能力。加强汛期有关部门联防联控，防范汛期水环境风险。</w:t>
                  </w:r>
                </w:p>
              </w:tc>
              <w:tc>
                <w:tcPr>
                  <w:tcW w:w="824" w:type="pct"/>
                  <w:tcBorders>
                    <w:top w:val="single" w:color="auto" w:sz="4" w:space="0"/>
                    <w:left w:val="single" w:color="auto" w:sz="4" w:space="0"/>
                    <w:bottom w:val="single" w:color="auto" w:sz="4" w:space="0"/>
                    <w:right w:val="single" w:color="auto" w:sz="4" w:space="0"/>
                  </w:tcBorders>
                  <w:vAlign w:val="center"/>
                </w:tcPr>
                <w:p w14:paraId="77A7071B">
                  <w:pPr>
                    <w:spacing w:line="240" w:lineRule="auto"/>
                    <w:ind w:firstLine="0" w:firstLineChars="0"/>
                    <w:jc w:val="center"/>
                    <w:rPr>
                      <w:color w:val="auto"/>
                      <w:sz w:val="21"/>
                      <w:szCs w:val="21"/>
                      <w:u w:val="none"/>
                    </w:rPr>
                  </w:pPr>
                  <w:r>
                    <w:rPr>
                      <w:rFonts w:hint="eastAsia"/>
                      <w:color w:val="auto"/>
                      <w:sz w:val="21"/>
                      <w:szCs w:val="21"/>
                      <w:u w:val="none"/>
                    </w:rPr>
                    <w:t>项目建成后按要求编制突发环境事件应急预案</w:t>
                  </w:r>
                </w:p>
              </w:tc>
            </w:tr>
            <w:tr w14:paraId="1D471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67" w:type="pct"/>
                  <w:tcBorders>
                    <w:top w:val="single" w:color="auto" w:sz="4" w:space="0"/>
                    <w:left w:val="single" w:color="auto" w:sz="4" w:space="0"/>
                    <w:bottom w:val="single" w:color="auto" w:sz="4" w:space="0"/>
                    <w:right w:val="single" w:color="auto" w:sz="4" w:space="0"/>
                  </w:tcBorders>
                  <w:vAlign w:val="center"/>
                </w:tcPr>
                <w:p w14:paraId="3E7DFB59">
                  <w:pPr>
                    <w:spacing w:line="240" w:lineRule="auto"/>
                    <w:ind w:firstLine="0" w:firstLineChars="0"/>
                    <w:jc w:val="center"/>
                    <w:rPr>
                      <w:color w:val="auto"/>
                      <w:sz w:val="21"/>
                      <w:szCs w:val="21"/>
                      <w:u w:val="none"/>
                    </w:rPr>
                  </w:pPr>
                  <w:r>
                    <w:rPr>
                      <w:rFonts w:hint="eastAsia"/>
                      <w:color w:val="auto"/>
                      <w:sz w:val="21"/>
                      <w:szCs w:val="21"/>
                      <w:u w:val="none"/>
                    </w:rPr>
                    <w:t>推动实施重金属总量减排</w:t>
                  </w:r>
                </w:p>
              </w:tc>
              <w:tc>
                <w:tcPr>
                  <w:tcW w:w="3707" w:type="pct"/>
                  <w:tcBorders>
                    <w:top w:val="single" w:color="auto" w:sz="4" w:space="0"/>
                    <w:left w:val="single" w:color="auto" w:sz="4" w:space="0"/>
                    <w:bottom w:val="single" w:color="auto" w:sz="4" w:space="0"/>
                    <w:right w:val="single" w:color="auto" w:sz="4" w:space="0"/>
                  </w:tcBorders>
                  <w:vAlign w:val="center"/>
                </w:tcPr>
                <w:p w14:paraId="57FC3E05">
                  <w:pPr>
                    <w:spacing w:line="240" w:lineRule="auto"/>
                    <w:ind w:firstLine="0" w:firstLineChars="0"/>
                    <w:jc w:val="left"/>
                    <w:rPr>
                      <w:color w:val="auto"/>
                      <w:sz w:val="21"/>
                      <w:szCs w:val="21"/>
                      <w:u w:val="none"/>
                    </w:rPr>
                  </w:pPr>
                  <w:r>
                    <w:rPr>
                      <w:rFonts w:hint="eastAsia"/>
                      <w:color w:val="auto"/>
                      <w:sz w:val="21"/>
                      <w:szCs w:val="21"/>
                      <w:u w:val="none"/>
                    </w:rPr>
                    <w:t>实施《河南省2024年重金属污染防控实施方案》，加强重点行业和重点企业重金属污染防治，严格落实重金属排放“减量替代”要求。深入挖掘减排潜力，加快重金属提标改造项目的实施，削减污染“存量”，对“十四五”重金属总量减排情况进行全面核查核算。</w:t>
                  </w:r>
                </w:p>
              </w:tc>
              <w:tc>
                <w:tcPr>
                  <w:tcW w:w="824" w:type="pct"/>
                  <w:tcBorders>
                    <w:top w:val="single" w:color="auto" w:sz="4" w:space="0"/>
                    <w:left w:val="single" w:color="auto" w:sz="4" w:space="0"/>
                    <w:bottom w:val="single" w:color="auto" w:sz="4" w:space="0"/>
                    <w:right w:val="single" w:color="auto" w:sz="4" w:space="0"/>
                  </w:tcBorders>
                  <w:vAlign w:val="center"/>
                </w:tcPr>
                <w:p w14:paraId="49E63C49">
                  <w:pPr>
                    <w:spacing w:line="240" w:lineRule="auto"/>
                    <w:ind w:firstLine="0" w:firstLineChars="0"/>
                    <w:jc w:val="center"/>
                    <w:rPr>
                      <w:color w:val="auto"/>
                      <w:sz w:val="21"/>
                      <w:szCs w:val="21"/>
                      <w:u w:val="none"/>
                    </w:rPr>
                  </w:pPr>
                  <w:r>
                    <w:rPr>
                      <w:rFonts w:hint="eastAsia"/>
                      <w:color w:val="auto"/>
                      <w:sz w:val="21"/>
                      <w:szCs w:val="21"/>
                      <w:u w:val="none"/>
                    </w:rPr>
                    <w:t>项目不涉及重金属</w:t>
                  </w:r>
                </w:p>
              </w:tc>
            </w:tr>
            <w:tr w14:paraId="6EA7E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67" w:type="pct"/>
                  <w:tcBorders>
                    <w:top w:val="single" w:color="auto" w:sz="4" w:space="0"/>
                    <w:left w:val="single" w:color="auto" w:sz="4" w:space="0"/>
                    <w:bottom w:val="single" w:color="auto" w:sz="4" w:space="0"/>
                    <w:right w:val="single" w:color="auto" w:sz="4" w:space="0"/>
                  </w:tcBorders>
                  <w:vAlign w:val="center"/>
                </w:tcPr>
                <w:p w14:paraId="5E61C5ED">
                  <w:pPr>
                    <w:spacing w:line="240" w:lineRule="auto"/>
                    <w:ind w:firstLine="0" w:firstLineChars="0"/>
                    <w:jc w:val="center"/>
                    <w:rPr>
                      <w:color w:val="auto"/>
                      <w:sz w:val="21"/>
                      <w:szCs w:val="21"/>
                      <w:u w:val="none"/>
                    </w:rPr>
                  </w:pPr>
                  <w:r>
                    <w:rPr>
                      <w:rFonts w:hint="eastAsia"/>
                      <w:color w:val="auto"/>
                      <w:sz w:val="21"/>
                      <w:szCs w:val="21"/>
                      <w:u w:val="none"/>
                    </w:rPr>
                    <w:t>高标准推进“无废城市”建设</w:t>
                  </w:r>
                </w:p>
              </w:tc>
              <w:tc>
                <w:tcPr>
                  <w:tcW w:w="3707" w:type="pct"/>
                  <w:tcBorders>
                    <w:top w:val="single" w:color="auto" w:sz="4" w:space="0"/>
                    <w:left w:val="single" w:color="auto" w:sz="4" w:space="0"/>
                    <w:bottom w:val="single" w:color="auto" w:sz="4" w:space="0"/>
                    <w:right w:val="single" w:color="auto" w:sz="4" w:space="0"/>
                  </w:tcBorders>
                  <w:vAlign w:val="center"/>
                </w:tcPr>
                <w:p w14:paraId="30CEAD7F">
                  <w:pPr>
                    <w:spacing w:line="240" w:lineRule="auto"/>
                    <w:ind w:firstLine="0" w:firstLineChars="0"/>
                    <w:jc w:val="left"/>
                    <w:rPr>
                      <w:color w:val="auto"/>
                      <w:sz w:val="21"/>
                      <w:szCs w:val="21"/>
                      <w:u w:val="none"/>
                    </w:rPr>
                  </w:pPr>
                  <w:r>
                    <w:rPr>
                      <w:rFonts w:hint="eastAsia"/>
                      <w:color w:val="auto"/>
                      <w:sz w:val="21"/>
                      <w:szCs w:val="21"/>
                      <w:u w:val="none"/>
                    </w:rPr>
                    <w:t>稳步推进“无废城市建设，推动建设任务和工程项目取得明显进展，在固体废物重点领域和关键环节初步形成一批经验模式。指导积极性高、有意向的县(区)开展“无废城市”建设。开展“无废企业”试点建设，深入推进“无废细胞”建设。</w:t>
                  </w:r>
                </w:p>
              </w:tc>
              <w:tc>
                <w:tcPr>
                  <w:tcW w:w="824" w:type="pct"/>
                  <w:tcBorders>
                    <w:top w:val="single" w:color="auto" w:sz="4" w:space="0"/>
                    <w:left w:val="single" w:color="auto" w:sz="4" w:space="0"/>
                    <w:right w:val="single" w:color="auto" w:sz="4" w:space="0"/>
                  </w:tcBorders>
                  <w:vAlign w:val="center"/>
                </w:tcPr>
                <w:p w14:paraId="4C89942E">
                  <w:pPr>
                    <w:spacing w:line="240" w:lineRule="auto"/>
                    <w:ind w:firstLine="0" w:firstLineChars="0"/>
                    <w:jc w:val="center"/>
                    <w:rPr>
                      <w:color w:val="auto"/>
                      <w:sz w:val="21"/>
                      <w:szCs w:val="21"/>
                      <w:u w:val="none"/>
                    </w:rPr>
                  </w:pPr>
                  <w:r>
                    <w:rPr>
                      <w:rFonts w:hint="eastAsia"/>
                      <w:color w:val="auto"/>
                      <w:sz w:val="21"/>
                      <w:szCs w:val="21"/>
                      <w:u w:val="none"/>
                    </w:rPr>
                    <w:t>项目各固体废物均得到合理有效处置</w:t>
                  </w:r>
                </w:p>
              </w:tc>
            </w:tr>
          </w:tbl>
          <w:p w14:paraId="446D2786">
            <w:pPr>
              <w:keepNext w:val="0"/>
              <w:keepLines w:val="0"/>
              <w:pageBreakBefore w:val="0"/>
              <w:widowControl w:val="0"/>
              <w:kinsoku/>
              <w:wordWrap w:val="0"/>
              <w:overflowPunct/>
              <w:topLinePunct w:val="0"/>
              <w:autoSpaceDE/>
              <w:autoSpaceDN/>
              <w:bidi w:val="0"/>
              <w:adjustRightInd/>
              <w:snapToGrid/>
              <w:ind w:firstLine="0" w:firstLineChars="0"/>
              <w:jc w:val="left"/>
              <w:textAlignment w:val="auto"/>
              <w:rPr>
                <w:b/>
                <w:bCs/>
                <w:color w:val="auto"/>
              </w:rPr>
            </w:pPr>
            <w:r>
              <w:rPr>
                <w:rFonts w:hint="eastAsia"/>
                <w:b/>
                <w:bCs/>
                <w:color w:val="auto"/>
              </w:rPr>
              <w:t>七、与</w:t>
            </w:r>
            <w:r>
              <w:rPr>
                <w:rFonts w:hint="eastAsia"/>
                <w:b/>
                <w:bCs/>
                <w:color w:val="auto"/>
                <w:lang w:eastAsia="zh-CN"/>
              </w:rPr>
              <w:t>《河南省重污染天气通用行业应急减排措施制定技术指南（2024年修订稿）》</w:t>
            </w:r>
            <w:r>
              <w:rPr>
                <w:rFonts w:hint="eastAsia"/>
                <w:b/>
                <w:bCs/>
                <w:color w:val="auto"/>
              </w:rPr>
              <w:t>要求相符性</w:t>
            </w:r>
          </w:p>
          <w:p w14:paraId="2A32DD06">
            <w:pPr>
              <w:ind w:firstLine="480"/>
              <w:rPr>
                <w:color w:val="auto"/>
              </w:rPr>
            </w:pPr>
            <w:r>
              <w:rPr>
                <w:rFonts w:hint="eastAsia"/>
                <w:color w:val="auto"/>
              </w:rPr>
              <w:t>本项目与</w:t>
            </w:r>
            <w:r>
              <w:rPr>
                <w:rFonts w:hint="eastAsia"/>
                <w:color w:val="auto"/>
                <w:lang w:eastAsia="zh-CN"/>
              </w:rPr>
              <w:t>《河南省重污染天气通用行业应急减排措施制定技术指南（2024年修订稿）》</w:t>
            </w:r>
            <w:r>
              <w:rPr>
                <w:rFonts w:hint="eastAsia"/>
                <w:color w:val="auto"/>
              </w:rPr>
              <w:t>要求相符性见下表。</w:t>
            </w:r>
          </w:p>
          <w:p w14:paraId="1CECE323">
            <w:pPr>
              <w:rPr>
                <w:color w:val="auto"/>
              </w:rPr>
            </w:pPr>
          </w:p>
          <w:p w14:paraId="6DBE2C0B">
            <w:pPr>
              <w:pStyle w:val="19"/>
              <w:rPr>
                <w:color w:val="auto"/>
              </w:rPr>
            </w:pPr>
          </w:p>
          <w:p w14:paraId="3F8A5148">
            <w:pPr>
              <w:rPr>
                <w:color w:val="auto"/>
              </w:rPr>
            </w:pPr>
          </w:p>
          <w:p w14:paraId="2BC2C4F7">
            <w:pPr>
              <w:pStyle w:val="19"/>
              <w:rPr>
                <w:color w:val="auto"/>
              </w:rPr>
            </w:pPr>
          </w:p>
          <w:p w14:paraId="0533C3F6">
            <w:pPr>
              <w:rPr>
                <w:color w:val="auto"/>
              </w:rPr>
            </w:pPr>
          </w:p>
          <w:p w14:paraId="2706DFF1">
            <w:pPr>
              <w:pStyle w:val="19"/>
              <w:rPr>
                <w:color w:val="auto"/>
              </w:rPr>
            </w:pPr>
          </w:p>
          <w:p w14:paraId="2F41B29B">
            <w:pPr>
              <w:rPr>
                <w:color w:val="auto"/>
              </w:rPr>
            </w:pPr>
          </w:p>
          <w:p w14:paraId="3FAAB45A">
            <w:pPr>
              <w:pStyle w:val="19"/>
              <w:rPr>
                <w:color w:val="auto"/>
              </w:rPr>
            </w:pPr>
          </w:p>
          <w:p w14:paraId="62A76C51">
            <w:pPr>
              <w:rPr>
                <w:color w:val="auto"/>
              </w:rPr>
            </w:pPr>
          </w:p>
          <w:p w14:paraId="6DEB0F73">
            <w:pPr>
              <w:pStyle w:val="19"/>
              <w:rPr>
                <w:color w:val="auto"/>
              </w:rPr>
            </w:pPr>
          </w:p>
          <w:p w14:paraId="26DA8E6C"/>
          <w:p w14:paraId="35CBDB76">
            <w:pPr>
              <w:pStyle w:val="19"/>
            </w:pPr>
          </w:p>
          <w:p w14:paraId="43710A49"/>
          <w:p w14:paraId="4D1D3C98">
            <w:pPr>
              <w:pStyle w:val="19"/>
            </w:pPr>
          </w:p>
          <w:p w14:paraId="640CC715"/>
          <w:p w14:paraId="6510BD6F">
            <w:pPr>
              <w:rPr>
                <w:color w:val="auto"/>
              </w:rPr>
            </w:pPr>
          </w:p>
          <w:p w14:paraId="6FE89135">
            <w:pPr>
              <w:pStyle w:val="19"/>
            </w:pPr>
          </w:p>
        </w:tc>
      </w:tr>
    </w:tbl>
    <w:p w14:paraId="1D3966AD">
      <w:pPr>
        <w:widowControl/>
        <w:spacing w:line="240" w:lineRule="auto"/>
        <w:ind w:firstLine="0" w:firstLineChars="0"/>
        <w:jc w:val="left"/>
        <w:rPr>
          <w:rFonts w:eastAsia="黑体"/>
          <w:color w:val="auto"/>
          <w:sz w:val="30"/>
        </w:rPr>
        <w:sectPr>
          <w:footerReference r:id="rId11" w:type="default"/>
          <w:pgSz w:w="11906" w:h="16838"/>
          <w:pgMar w:top="1418" w:right="1418" w:bottom="1418" w:left="1588" w:header="1134" w:footer="1134" w:gutter="0"/>
          <w:pgBorders>
            <w:top w:val="none" w:sz="0" w:space="0"/>
            <w:left w:val="none" w:sz="0" w:space="0"/>
            <w:bottom w:val="none" w:sz="0" w:space="0"/>
            <w:right w:val="none" w:sz="0" w:space="0"/>
          </w:pgBorders>
          <w:pgNumType w:start="1"/>
          <w:cols w:space="720" w:num="1"/>
          <w:docGrid w:linePitch="326" w:charSpace="0"/>
        </w:sectPr>
      </w:pPr>
    </w:p>
    <w:p w14:paraId="74780A9D">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本项目与</w:t>
      </w:r>
      <w:r>
        <w:rPr>
          <w:rFonts w:hint="eastAsia" w:ascii="Times New Roman" w:hAnsi="Times New Roman" w:eastAsia="宋体" w:cs="Times New Roman"/>
          <w:b/>
          <w:bCs/>
          <w:color w:val="000000" w:themeColor="text1"/>
          <w:sz w:val="21"/>
          <w:szCs w:val="21"/>
          <w:lang w:eastAsia="zh-CN"/>
          <w14:textFill>
            <w14:solidFill>
              <w14:schemeClr w14:val="tx1"/>
            </w14:solidFill>
          </w14:textFill>
        </w:rPr>
        <w:t>《河南省重污染天气通用行业应急减排措施制定技术指南（2024 年修订稿）》</w:t>
      </w:r>
      <w:r>
        <w:rPr>
          <w:rFonts w:hint="eastAsia" w:ascii="Times New Roman" w:hAnsi="Times New Roman" w:eastAsia="宋体" w:cs="Times New Roman"/>
          <w:b/>
          <w:bCs/>
          <w:color w:val="000000" w:themeColor="text1"/>
          <w:sz w:val="21"/>
          <w:szCs w:val="21"/>
          <w14:textFill>
            <w14:solidFill>
              <w14:schemeClr w14:val="tx1"/>
            </w14:solidFill>
          </w14:textFill>
        </w:rPr>
        <w:t>要求相符性情况一览表</w:t>
      </w:r>
    </w:p>
    <w:tbl>
      <w:tblPr>
        <w:tblStyle w:val="20"/>
        <w:tblW w:w="45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7"/>
        <w:gridCol w:w="312"/>
        <w:gridCol w:w="369"/>
        <w:gridCol w:w="3970"/>
        <w:gridCol w:w="3952"/>
        <w:gridCol w:w="2850"/>
        <w:gridCol w:w="597"/>
      </w:tblGrid>
      <w:tr w14:paraId="65EA2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7" w:type="pct"/>
            <w:gridSpan w:val="2"/>
            <w:tcMar>
              <w:top w:w="85" w:type="dxa"/>
              <w:left w:w="85" w:type="dxa"/>
              <w:bottom w:w="85" w:type="dxa"/>
              <w:right w:w="85" w:type="dxa"/>
            </w:tcMar>
            <w:vAlign w:val="center"/>
          </w:tcPr>
          <w:p w14:paraId="2606EE15">
            <w:pPr>
              <w:spacing w:line="240" w:lineRule="auto"/>
              <w:ind w:firstLine="0" w:firstLineChars="0"/>
              <w:jc w:val="center"/>
              <w:rPr>
                <w:color w:val="auto"/>
                <w:sz w:val="21"/>
                <w:szCs w:val="21"/>
              </w:rPr>
            </w:pPr>
            <w:r>
              <w:rPr>
                <w:rFonts w:hint="eastAsia"/>
                <w:color w:val="auto"/>
                <w:sz w:val="21"/>
                <w:szCs w:val="21"/>
                <w:lang w:val="en-US" w:eastAsia="zh-CN"/>
              </w:rPr>
              <w:t>引领性</w:t>
            </w:r>
            <w:r>
              <w:rPr>
                <w:rFonts w:hint="eastAsia"/>
                <w:color w:val="auto"/>
                <w:sz w:val="21"/>
                <w:szCs w:val="21"/>
              </w:rPr>
              <w:t>指标</w:t>
            </w:r>
          </w:p>
        </w:tc>
        <w:tc>
          <w:tcPr>
            <w:tcW w:w="1708" w:type="pct"/>
            <w:gridSpan w:val="2"/>
            <w:tcMar>
              <w:top w:w="85" w:type="dxa"/>
              <w:left w:w="85" w:type="dxa"/>
              <w:bottom w:w="85" w:type="dxa"/>
              <w:right w:w="85" w:type="dxa"/>
            </w:tcMar>
            <w:vAlign w:val="center"/>
          </w:tcPr>
          <w:p w14:paraId="58F3D792">
            <w:pPr>
              <w:spacing w:line="240" w:lineRule="auto"/>
              <w:ind w:firstLine="0" w:firstLineChars="0"/>
              <w:jc w:val="center"/>
              <w:rPr>
                <w:color w:val="auto"/>
                <w:sz w:val="21"/>
                <w:szCs w:val="21"/>
              </w:rPr>
            </w:pPr>
            <w:r>
              <w:rPr>
                <w:rFonts w:hint="eastAsia"/>
                <w:color w:val="auto"/>
                <w:sz w:val="21"/>
                <w:szCs w:val="21"/>
              </w:rPr>
              <w:t>通用涉PM企业绩效引领性指标</w:t>
            </w:r>
          </w:p>
        </w:tc>
        <w:tc>
          <w:tcPr>
            <w:tcW w:w="1556" w:type="pct"/>
            <w:tcMar>
              <w:top w:w="85" w:type="dxa"/>
              <w:left w:w="85" w:type="dxa"/>
              <w:bottom w:w="85" w:type="dxa"/>
              <w:right w:w="85" w:type="dxa"/>
            </w:tcMar>
            <w:vAlign w:val="center"/>
          </w:tcPr>
          <w:p w14:paraId="524D4B94">
            <w:pPr>
              <w:spacing w:line="240" w:lineRule="auto"/>
              <w:ind w:firstLine="0" w:firstLineChars="0"/>
              <w:jc w:val="center"/>
              <w:rPr>
                <w:rFonts w:hint="eastAsia"/>
                <w:color w:val="auto"/>
                <w:sz w:val="21"/>
                <w:szCs w:val="21"/>
              </w:rPr>
            </w:pPr>
            <w:r>
              <w:rPr>
                <w:rFonts w:hint="eastAsia"/>
                <w:color w:val="auto"/>
                <w:sz w:val="21"/>
                <w:szCs w:val="21"/>
              </w:rPr>
              <w:t>通用涉VOCs企业绩效引领性指标</w:t>
            </w:r>
          </w:p>
        </w:tc>
        <w:tc>
          <w:tcPr>
            <w:tcW w:w="1122" w:type="pct"/>
            <w:tcMar>
              <w:top w:w="85" w:type="dxa"/>
              <w:left w:w="85" w:type="dxa"/>
              <w:bottom w:w="85" w:type="dxa"/>
              <w:right w:w="85" w:type="dxa"/>
            </w:tcMar>
            <w:vAlign w:val="center"/>
          </w:tcPr>
          <w:p w14:paraId="4EF4F8CA">
            <w:pPr>
              <w:spacing w:line="240" w:lineRule="auto"/>
              <w:ind w:firstLine="0" w:firstLineChars="0"/>
              <w:jc w:val="center"/>
              <w:rPr>
                <w:color w:val="auto"/>
                <w:sz w:val="21"/>
                <w:szCs w:val="21"/>
              </w:rPr>
            </w:pPr>
            <w:r>
              <w:rPr>
                <w:color w:val="auto"/>
                <w:sz w:val="21"/>
                <w:szCs w:val="21"/>
              </w:rPr>
              <w:t>本项目</w:t>
            </w:r>
          </w:p>
        </w:tc>
        <w:tc>
          <w:tcPr>
            <w:tcW w:w="234" w:type="pct"/>
            <w:vAlign w:val="center"/>
          </w:tcPr>
          <w:p w14:paraId="0C85D4BC">
            <w:pPr>
              <w:spacing w:line="240" w:lineRule="auto"/>
              <w:ind w:firstLine="0" w:firstLineChars="0"/>
              <w:jc w:val="center"/>
              <w:rPr>
                <w:color w:val="auto"/>
                <w:sz w:val="21"/>
                <w:szCs w:val="21"/>
              </w:rPr>
            </w:pPr>
            <w:r>
              <w:rPr>
                <w:rFonts w:hint="eastAsia"/>
                <w:color w:val="auto"/>
                <w:sz w:val="21"/>
                <w:szCs w:val="21"/>
              </w:rPr>
              <w:t>相符性</w:t>
            </w:r>
          </w:p>
        </w:tc>
      </w:tr>
      <w:tr w14:paraId="67F29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7" w:type="pct"/>
            <w:gridSpan w:val="2"/>
            <w:tcMar>
              <w:top w:w="85" w:type="dxa"/>
              <w:left w:w="85" w:type="dxa"/>
              <w:bottom w:w="85" w:type="dxa"/>
              <w:right w:w="85" w:type="dxa"/>
            </w:tcMar>
            <w:vAlign w:val="center"/>
          </w:tcPr>
          <w:p w14:paraId="36EF2096">
            <w:pPr>
              <w:spacing w:line="240" w:lineRule="auto"/>
              <w:ind w:firstLine="0" w:firstLineChars="0"/>
              <w:jc w:val="center"/>
              <w:rPr>
                <w:color w:val="auto"/>
                <w:sz w:val="21"/>
                <w:szCs w:val="21"/>
              </w:rPr>
            </w:pPr>
            <w:r>
              <w:rPr>
                <w:rFonts w:hint="eastAsia"/>
                <w:color w:val="auto"/>
                <w:sz w:val="21"/>
                <w:szCs w:val="21"/>
              </w:rPr>
              <w:t>生产工艺和装备</w:t>
            </w:r>
          </w:p>
        </w:tc>
        <w:tc>
          <w:tcPr>
            <w:tcW w:w="3265" w:type="pct"/>
            <w:gridSpan w:val="3"/>
            <w:tcMar>
              <w:top w:w="85" w:type="dxa"/>
              <w:left w:w="85" w:type="dxa"/>
              <w:bottom w:w="85" w:type="dxa"/>
              <w:right w:w="85" w:type="dxa"/>
            </w:tcMar>
            <w:vAlign w:val="center"/>
          </w:tcPr>
          <w:p w14:paraId="21766B42">
            <w:pPr>
              <w:spacing w:line="240" w:lineRule="auto"/>
              <w:ind w:firstLine="0" w:firstLineChars="0"/>
              <w:rPr>
                <w:rFonts w:hint="eastAsia"/>
                <w:color w:val="auto"/>
                <w:sz w:val="21"/>
                <w:szCs w:val="21"/>
              </w:rPr>
            </w:pPr>
            <w:r>
              <w:rPr>
                <w:rFonts w:hint="eastAsia"/>
                <w:color w:val="auto"/>
                <w:sz w:val="21"/>
                <w:szCs w:val="21"/>
              </w:rPr>
              <w:t>不属于《产业结构调整指导目录（（2024年版））》淘汰类，不属于省级和市级政府部门明确列入已经限期淘汰类项目</w:t>
            </w:r>
          </w:p>
        </w:tc>
        <w:tc>
          <w:tcPr>
            <w:tcW w:w="1122" w:type="pct"/>
            <w:tcMar>
              <w:top w:w="85" w:type="dxa"/>
              <w:left w:w="85" w:type="dxa"/>
              <w:bottom w:w="85" w:type="dxa"/>
              <w:right w:w="85" w:type="dxa"/>
            </w:tcMar>
            <w:vAlign w:val="center"/>
          </w:tcPr>
          <w:p w14:paraId="44EADA32">
            <w:pPr>
              <w:spacing w:line="240" w:lineRule="auto"/>
              <w:ind w:firstLine="0" w:firstLineChars="0"/>
              <w:rPr>
                <w:color w:val="auto"/>
                <w:sz w:val="21"/>
                <w:szCs w:val="21"/>
              </w:rPr>
            </w:pPr>
            <w:r>
              <w:rPr>
                <w:rFonts w:hint="eastAsia"/>
                <w:color w:val="auto"/>
                <w:sz w:val="21"/>
                <w:szCs w:val="21"/>
              </w:rPr>
              <w:t>项目属于C</w:t>
            </w:r>
            <w:r>
              <w:rPr>
                <w:rFonts w:hint="eastAsia"/>
                <w:color w:val="auto"/>
                <w:sz w:val="21"/>
                <w:szCs w:val="21"/>
                <w:lang w:val="en-US" w:eastAsia="zh-CN"/>
              </w:rPr>
              <w:t>2730中药饮片加工、C2740中成药生产</w:t>
            </w:r>
            <w:r>
              <w:rPr>
                <w:color w:val="auto"/>
                <w:sz w:val="21"/>
                <w:szCs w:val="21"/>
              </w:rPr>
              <w:t>，对照《产业结构调整指导目录》（20</w:t>
            </w:r>
            <w:r>
              <w:rPr>
                <w:rFonts w:hint="eastAsia"/>
                <w:color w:val="auto"/>
                <w:sz w:val="21"/>
                <w:szCs w:val="21"/>
              </w:rPr>
              <w:t>24</w:t>
            </w:r>
            <w:r>
              <w:rPr>
                <w:color w:val="auto"/>
                <w:sz w:val="21"/>
                <w:szCs w:val="21"/>
              </w:rPr>
              <w:t>年），本项目</w:t>
            </w:r>
            <w:r>
              <w:rPr>
                <w:rFonts w:hint="eastAsia"/>
                <w:color w:val="auto"/>
                <w:sz w:val="21"/>
                <w:szCs w:val="21"/>
              </w:rPr>
              <w:t>不属于淘汰类、限制类、鼓励类，</w:t>
            </w:r>
            <w:r>
              <w:rPr>
                <w:color w:val="auto"/>
                <w:sz w:val="21"/>
                <w:szCs w:val="21"/>
              </w:rPr>
              <w:t>属于</w:t>
            </w:r>
            <w:r>
              <w:rPr>
                <w:rFonts w:hint="eastAsia"/>
                <w:color w:val="auto"/>
                <w:sz w:val="21"/>
                <w:szCs w:val="21"/>
              </w:rPr>
              <w:t>允许类。</w:t>
            </w:r>
            <w:r>
              <w:rPr>
                <w:color w:val="auto"/>
                <w:sz w:val="21"/>
                <w:szCs w:val="21"/>
              </w:rPr>
              <w:t>本项目已在</w:t>
            </w:r>
            <w:r>
              <w:rPr>
                <w:rFonts w:hint="eastAsia"/>
                <w:color w:val="auto"/>
                <w:sz w:val="21"/>
                <w:szCs w:val="21"/>
              </w:rPr>
              <w:t>南乐县行政审批和政务信息管理局</w:t>
            </w:r>
            <w:r>
              <w:rPr>
                <w:color w:val="auto"/>
                <w:sz w:val="21"/>
                <w:szCs w:val="21"/>
              </w:rPr>
              <w:t>备案（</w:t>
            </w:r>
            <w:r>
              <w:rPr>
                <w:rFonts w:hint="eastAsia"/>
                <w:color w:val="auto"/>
                <w:sz w:val="21"/>
                <w:szCs w:val="21"/>
              </w:rPr>
              <w:t>2408-410923-04-01-671066</w:t>
            </w:r>
            <w:r>
              <w:rPr>
                <w:color w:val="auto"/>
                <w:sz w:val="21"/>
                <w:szCs w:val="21"/>
              </w:rPr>
              <w:t>）</w:t>
            </w:r>
          </w:p>
        </w:tc>
        <w:tc>
          <w:tcPr>
            <w:tcW w:w="234" w:type="pct"/>
            <w:vAlign w:val="center"/>
          </w:tcPr>
          <w:p w14:paraId="445879DC">
            <w:pPr>
              <w:spacing w:line="240" w:lineRule="auto"/>
              <w:ind w:firstLine="0" w:firstLineChars="0"/>
              <w:jc w:val="center"/>
              <w:rPr>
                <w:color w:val="auto"/>
                <w:sz w:val="21"/>
                <w:szCs w:val="21"/>
              </w:rPr>
            </w:pPr>
            <w:r>
              <w:rPr>
                <w:rFonts w:hint="eastAsia"/>
                <w:color w:val="auto"/>
                <w:sz w:val="21"/>
                <w:szCs w:val="21"/>
              </w:rPr>
              <w:t>相符</w:t>
            </w:r>
          </w:p>
        </w:tc>
      </w:tr>
      <w:tr w14:paraId="68DA5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7" w:type="pct"/>
            <w:gridSpan w:val="2"/>
            <w:tcMar>
              <w:top w:w="85" w:type="dxa"/>
              <w:left w:w="85" w:type="dxa"/>
              <w:bottom w:w="85" w:type="dxa"/>
              <w:right w:w="85" w:type="dxa"/>
            </w:tcMar>
            <w:vAlign w:val="center"/>
          </w:tcPr>
          <w:p w14:paraId="24B33A68">
            <w:pPr>
              <w:spacing w:line="240" w:lineRule="auto"/>
              <w:ind w:firstLine="0" w:firstLineChars="0"/>
              <w:jc w:val="center"/>
              <w:rPr>
                <w:color w:val="auto"/>
                <w:sz w:val="21"/>
                <w:szCs w:val="21"/>
              </w:rPr>
            </w:pPr>
            <w:r>
              <w:rPr>
                <w:rFonts w:hint="eastAsia"/>
                <w:color w:val="auto"/>
                <w:sz w:val="21"/>
                <w:szCs w:val="21"/>
              </w:rPr>
              <w:t>物料装卸</w:t>
            </w:r>
          </w:p>
        </w:tc>
        <w:tc>
          <w:tcPr>
            <w:tcW w:w="1708" w:type="pct"/>
            <w:gridSpan w:val="2"/>
            <w:tcMar>
              <w:top w:w="85" w:type="dxa"/>
              <w:left w:w="85" w:type="dxa"/>
              <w:bottom w:w="85" w:type="dxa"/>
              <w:right w:w="85" w:type="dxa"/>
            </w:tcMar>
            <w:vAlign w:val="center"/>
          </w:tcPr>
          <w:p w14:paraId="18CE48DA">
            <w:pPr>
              <w:spacing w:line="240" w:lineRule="auto"/>
              <w:ind w:firstLine="0" w:firstLineChars="0"/>
              <w:rPr>
                <w:rFonts w:hint="eastAsia"/>
                <w:color w:val="auto"/>
                <w:sz w:val="21"/>
                <w:szCs w:val="21"/>
              </w:rPr>
            </w:pPr>
            <w:r>
              <w:rPr>
                <w:rFonts w:hint="eastAsia"/>
                <w:color w:val="auto"/>
                <w:sz w:val="21"/>
                <w:szCs w:val="21"/>
              </w:rPr>
              <w:t>1.车辆运输的物料应采取封闭措施。粉状、粒状、块状散装物料在封闭料场内装卸，装卸过程中产尘点应设置集气除尘装置，料堆应采取有效抑尘措施；</w:t>
            </w:r>
          </w:p>
          <w:p w14:paraId="442B3ADF">
            <w:pPr>
              <w:spacing w:line="240" w:lineRule="auto"/>
              <w:ind w:firstLine="0" w:firstLineChars="0"/>
              <w:rPr>
                <w:color w:val="auto"/>
                <w:sz w:val="21"/>
                <w:szCs w:val="21"/>
              </w:rPr>
            </w:pPr>
            <w:r>
              <w:rPr>
                <w:rFonts w:hint="eastAsia"/>
                <w:color w:val="auto"/>
                <w:sz w:val="21"/>
                <w:szCs w:val="21"/>
              </w:rPr>
              <w:t>2.不易产尘的袋装物料宜在料棚中装卸，如需露天装卸应采取防止破袋及粉尘外逸措施。</w:t>
            </w:r>
          </w:p>
        </w:tc>
        <w:tc>
          <w:tcPr>
            <w:tcW w:w="1556" w:type="pct"/>
            <w:tcMar>
              <w:top w:w="85" w:type="dxa"/>
              <w:left w:w="85" w:type="dxa"/>
              <w:bottom w:w="85" w:type="dxa"/>
              <w:right w:w="85" w:type="dxa"/>
            </w:tcMar>
            <w:vAlign w:val="center"/>
          </w:tcPr>
          <w:p w14:paraId="6B6F3F8E">
            <w:pPr>
              <w:spacing w:line="240" w:lineRule="auto"/>
              <w:ind w:firstLine="0" w:firstLineChars="0"/>
              <w:rPr>
                <w:rFonts w:hint="eastAsia" w:eastAsia="宋体"/>
                <w:color w:val="auto"/>
                <w:sz w:val="21"/>
                <w:szCs w:val="21"/>
                <w:lang w:val="en-US" w:eastAsia="zh-CN"/>
              </w:rPr>
            </w:pPr>
            <w:r>
              <w:rPr>
                <w:rFonts w:hint="eastAsia"/>
                <w:color w:val="auto"/>
                <w:sz w:val="21"/>
                <w:szCs w:val="21"/>
                <w:lang w:val="en-US" w:eastAsia="zh-CN"/>
              </w:rPr>
              <w:t>/</w:t>
            </w:r>
          </w:p>
        </w:tc>
        <w:tc>
          <w:tcPr>
            <w:tcW w:w="1122" w:type="pct"/>
            <w:tcMar>
              <w:top w:w="85" w:type="dxa"/>
              <w:left w:w="85" w:type="dxa"/>
              <w:bottom w:w="85" w:type="dxa"/>
              <w:right w:w="85" w:type="dxa"/>
            </w:tcMar>
            <w:vAlign w:val="center"/>
          </w:tcPr>
          <w:p w14:paraId="7C7B35A1">
            <w:pPr>
              <w:spacing w:line="240" w:lineRule="auto"/>
              <w:ind w:firstLine="0" w:firstLineChars="0"/>
              <w:rPr>
                <w:color w:val="auto"/>
                <w:sz w:val="21"/>
                <w:szCs w:val="21"/>
              </w:rPr>
            </w:pPr>
            <w:r>
              <w:rPr>
                <w:rFonts w:hint="eastAsia"/>
                <w:color w:val="auto"/>
                <w:sz w:val="21"/>
                <w:szCs w:val="21"/>
              </w:rPr>
              <w:t>项目</w:t>
            </w:r>
            <w:r>
              <w:rPr>
                <w:rFonts w:hint="eastAsia"/>
                <w:color w:val="auto"/>
                <w:sz w:val="21"/>
                <w:szCs w:val="21"/>
                <w:lang w:val="en-US" w:eastAsia="zh-CN"/>
              </w:rPr>
              <w:t>原辅料和产品均为袋装，厂区设置有成品库和原料库，卸料时不会产生粉尘，采用汽车运输；质检工序涉及的有机试剂全部为瓶装</w:t>
            </w:r>
            <w:r>
              <w:rPr>
                <w:rFonts w:hint="eastAsia"/>
                <w:color w:val="auto"/>
                <w:sz w:val="21"/>
                <w:szCs w:val="21"/>
              </w:rPr>
              <w:t>。</w:t>
            </w:r>
          </w:p>
        </w:tc>
        <w:tc>
          <w:tcPr>
            <w:tcW w:w="234" w:type="pct"/>
            <w:vAlign w:val="center"/>
          </w:tcPr>
          <w:p w14:paraId="542BCFE4">
            <w:pPr>
              <w:spacing w:line="240" w:lineRule="auto"/>
              <w:ind w:firstLine="0" w:firstLineChars="0"/>
              <w:jc w:val="center"/>
              <w:rPr>
                <w:color w:val="auto"/>
                <w:sz w:val="21"/>
                <w:szCs w:val="21"/>
              </w:rPr>
            </w:pPr>
            <w:r>
              <w:rPr>
                <w:rFonts w:hint="eastAsia"/>
                <w:color w:val="auto"/>
                <w:sz w:val="21"/>
                <w:szCs w:val="21"/>
              </w:rPr>
              <w:t>相符</w:t>
            </w:r>
          </w:p>
        </w:tc>
      </w:tr>
      <w:tr w14:paraId="621A0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77" w:type="pct"/>
            <w:gridSpan w:val="2"/>
            <w:tcMar>
              <w:top w:w="85" w:type="dxa"/>
              <w:left w:w="85" w:type="dxa"/>
              <w:bottom w:w="85" w:type="dxa"/>
              <w:right w:w="85" w:type="dxa"/>
            </w:tcMar>
            <w:vAlign w:val="center"/>
          </w:tcPr>
          <w:p w14:paraId="3009058A">
            <w:pPr>
              <w:spacing w:line="240" w:lineRule="auto"/>
              <w:ind w:firstLine="0" w:firstLineChars="0"/>
              <w:jc w:val="center"/>
              <w:rPr>
                <w:color w:val="auto"/>
                <w:sz w:val="21"/>
                <w:szCs w:val="21"/>
              </w:rPr>
            </w:pPr>
            <w:r>
              <w:rPr>
                <w:rFonts w:hint="eastAsia"/>
                <w:color w:val="auto"/>
                <w:sz w:val="21"/>
                <w:szCs w:val="21"/>
              </w:rPr>
              <w:t>物料储存</w:t>
            </w:r>
          </w:p>
        </w:tc>
        <w:tc>
          <w:tcPr>
            <w:tcW w:w="1708" w:type="pct"/>
            <w:gridSpan w:val="2"/>
            <w:tcMar>
              <w:top w:w="85" w:type="dxa"/>
              <w:left w:w="85" w:type="dxa"/>
              <w:bottom w:w="85" w:type="dxa"/>
              <w:right w:w="85" w:type="dxa"/>
            </w:tcMar>
            <w:vAlign w:val="center"/>
          </w:tcPr>
          <w:p w14:paraId="4AE8E9ED">
            <w:pPr>
              <w:spacing w:line="240" w:lineRule="auto"/>
              <w:ind w:firstLine="0" w:firstLineChars="0"/>
              <w:rPr>
                <w:rFonts w:hint="eastAsia"/>
                <w:color w:val="auto"/>
                <w:sz w:val="21"/>
                <w:szCs w:val="21"/>
              </w:rPr>
            </w:pPr>
            <w:r>
              <w:rPr>
                <w:rFonts w:hint="eastAsia"/>
                <w:color w:val="auto"/>
                <w:sz w:val="21"/>
                <w:szCs w:val="21"/>
              </w:rPr>
              <w:t>1.一般物料。粉状物料应储存于密闭/封闭料仓中；粒状、块状物料应储存于封闭料场中，并采取喷淋、清扫或其他有效抑尘措施；袋装物料应储存于封闭/半封闭料场中。封闭料场顶棚和四周围墙完整，料场内地面全部硬化，料场货物进出大门为硬质材料门或自动感应门，在确保安全的情况下，所有门窗保持常闭状态。不产尘物料（如钢材、管件）及产品如露天储存应在规定的存储区域码放整齐；</w:t>
            </w:r>
          </w:p>
          <w:p w14:paraId="78F2DF59">
            <w:pPr>
              <w:spacing w:line="240" w:lineRule="auto"/>
              <w:ind w:firstLine="0" w:firstLineChars="0"/>
              <w:rPr>
                <w:color w:val="auto"/>
                <w:sz w:val="21"/>
                <w:szCs w:val="21"/>
              </w:rPr>
            </w:pPr>
            <w:r>
              <w:rPr>
                <w:rFonts w:hint="eastAsia"/>
                <w:color w:val="auto"/>
                <w:sz w:val="21"/>
                <w:szCs w:val="21"/>
              </w:rPr>
              <w:t>2.危险废物。应有符合规范要求的危险废物储存间，危险废物储存间门口应张贴标准规范的危险废物标识和危废信存息板，建立台账并挂于危废间内，危险废物管理台账和危险废物转移情况信息表保存5年以上。危废间内禁止存放除危险废物和应急工具外的其他物品。涉大气污染物排放的，应设置对应污染治理设施。</w:t>
            </w:r>
          </w:p>
        </w:tc>
        <w:tc>
          <w:tcPr>
            <w:tcW w:w="1556" w:type="pct"/>
            <w:shd w:val="clear" w:color="auto" w:fill="auto"/>
            <w:tcMar>
              <w:top w:w="85" w:type="dxa"/>
              <w:left w:w="85" w:type="dxa"/>
              <w:bottom w:w="85" w:type="dxa"/>
              <w:right w:w="85" w:type="dxa"/>
            </w:tcMar>
            <w:vAlign w:val="center"/>
          </w:tcPr>
          <w:p w14:paraId="56E25F28">
            <w:pPr>
              <w:spacing w:line="240" w:lineRule="auto"/>
              <w:ind w:firstLine="0" w:firstLineChars="0"/>
              <w:rPr>
                <w:rFonts w:hint="eastAsia"/>
                <w:color w:val="auto"/>
                <w:sz w:val="21"/>
                <w:szCs w:val="21"/>
              </w:rPr>
            </w:pPr>
            <w:r>
              <w:rPr>
                <w:rFonts w:hint="eastAsia"/>
                <w:color w:val="auto"/>
                <w:sz w:val="21"/>
                <w:szCs w:val="21"/>
              </w:rPr>
              <w:t>1.涂料、稀释剂、清洗剂等原辅材料密闭存储；</w:t>
            </w:r>
          </w:p>
          <w:p w14:paraId="560B8272">
            <w:pPr>
              <w:spacing w:line="240" w:lineRule="auto"/>
              <w:ind w:firstLine="0" w:firstLineChars="0"/>
              <w:rPr>
                <w:rFonts w:hint="eastAsia"/>
                <w:color w:val="auto"/>
                <w:sz w:val="21"/>
                <w:szCs w:val="21"/>
              </w:rPr>
            </w:pPr>
            <w:r>
              <w:rPr>
                <w:rFonts w:hint="eastAsia"/>
                <w:color w:val="auto"/>
                <w:sz w:val="21"/>
                <w:szCs w:val="21"/>
              </w:rPr>
              <w:t>2.盛装过VOCs物料的包装容器、含VOCs废料（渣、液））、废吸附剂等通过加盖、封装等方式密闭储存；</w:t>
            </w:r>
          </w:p>
          <w:p w14:paraId="4BF24CF8">
            <w:pPr>
              <w:spacing w:line="240" w:lineRule="auto"/>
              <w:ind w:firstLine="0" w:firstLineChars="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3.生产车间内涉VOCs物料应密闭储存。</w:t>
            </w:r>
          </w:p>
        </w:tc>
        <w:tc>
          <w:tcPr>
            <w:tcW w:w="1122" w:type="pct"/>
            <w:tcMar>
              <w:top w:w="85" w:type="dxa"/>
              <w:left w:w="85" w:type="dxa"/>
              <w:bottom w:w="85" w:type="dxa"/>
              <w:right w:w="85" w:type="dxa"/>
            </w:tcMar>
            <w:vAlign w:val="center"/>
          </w:tcPr>
          <w:p w14:paraId="3B4DE092">
            <w:pPr>
              <w:spacing w:line="240" w:lineRule="auto"/>
              <w:ind w:firstLine="0" w:firstLineChars="0"/>
              <w:rPr>
                <w:rFonts w:hint="eastAsia"/>
                <w:color w:val="auto"/>
                <w:sz w:val="21"/>
                <w:szCs w:val="21"/>
                <w:lang w:val="en-US" w:eastAsia="zh-CN"/>
              </w:rPr>
            </w:pPr>
            <w:r>
              <w:rPr>
                <w:rFonts w:hint="eastAsia"/>
                <w:color w:val="auto"/>
                <w:sz w:val="21"/>
                <w:szCs w:val="21"/>
                <w:lang w:val="en-US" w:eastAsia="zh-CN"/>
              </w:rPr>
              <w:t>项目厂区设置有成品库和原料库，所有原辅料和产品均储存于封闭仓库内，无露天料场；</w:t>
            </w:r>
          </w:p>
          <w:p w14:paraId="07DF3BEA">
            <w:pPr>
              <w:spacing w:line="240" w:lineRule="auto"/>
              <w:ind w:firstLine="0" w:firstLineChars="0"/>
              <w:rPr>
                <w:rFonts w:hint="eastAsia"/>
                <w:color w:val="auto"/>
                <w:sz w:val="21"/>
                <w:szCs w:val="21"/>
                <w:lang w:val="en-US" w:eastAsia="zh-CN"/>
              </w:rPr>
            </w:pPr>
            <w:r>
              <w:rPr>
                <w:rFonts w:hint="eastAsia"/>
                <w:color w:val="auto"/>
                <w:sz w:val="21"/>
                <w:szCs w:val="21"/>
                <w:lang w:val="en-US" w:eastAsia="zh-CN"/>
              </w:rPr>
              <w:t>质检工序涉及的有机试剂均储存在专门仓库内；</w:t>
            </w:r>
          </w:p>
          <w:p w14:paraId="5950DDD4">
            <w:pPr>
              <w:spacing w:line="240" w:lineRule="auto"/>
              <w:ind w:firstLine="0" w:firstLineChars="0"/>
              <w:rPr>
                <w:rFonts w:hint="default" w:eastAsia="宋体"/>
                <w:color w:val="auto"/>
                <w:sz w:val="21"/>
                <w:szCs w:val="21"/>
                <w:lang w:val="en-US" w:eastAsia="zh-CN"/>
              </w:rPr>
            </w:pPr>
            <w:r>
              <w:rPr>
                <w:rFonts w:hint="eastAsia"/>
                <w:color w:val="auto"/>
                <w:sz w:val="21"/>
                <w:szCs w:val="21"/>
                <w:lang w:val="en-US" w:eastAsia="zh-CN"/>
              </w:rPr>
              <w:t>项目产生的危险固废暂存于危废暂存间，定期委托有资质单位处置，危废暂存间按照《危险废物贮存污染控制标准》（GB18597-2023）相关要求进行建设。</w:t>
            </w:r>
          </w:p>
        </w:tc>
        <w:tc>
          <w:tcPr>
            <w:tcW w:w="234" w:type="pct"/>
            <w:vAlign w:val="center"/>
          </w:tcPr>
          <w:p w14:paraId="53456CB6">
            <w:pPr>
              <w:spacing w:line="240" w:lineRule="auto"/>
              <w:ind w:firstLine="0" w:firstLineChars="0"/>
              <w:jc w:val="center"/>
              <w:rPr>
                <w:color w:val="auto"/>
                <w:sz w:val="21"/>
                <w:szCs w:val="21"/>
              </w:rPr>
            </w:pPr>
            <w:r>
              <w:rPr>
                <w:rFonts w:hint="eastAsia"/>
                <w:color w:val="auto"/>
                <w:sz w:val="21"/>
                <w:szCs w:val="21"/>
              </w:rPr>
              <w:t>相符</w:t>
            </w:r>
          </w:p>
        </w:tc>
      </w:tr>
      <w:tr w14:paraId="33D1C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7" w:type="pct"/>
            <w:gridSpan w:val="2"/>
            <w:tcMar>
              <w:top w:w="85" w:type="dxa"/>
              <w:left w:w="85" w:type="dxa"/>
              <w:bottom w:w="85" w:type="dxa"/>
              <w:right w:w="85" w:type="dxa"/>
            </w:tcMar>
            <w:vAlign w:val="center"/>
          </w:tcPr>
          <w:p w14:paraId="7771B713">
            <w:pPr>
              <w:spacing w:line="240" w:lineRule="auto"/>
              <w:ind w:firstLine="0" w:firstLineChars="0"/>
              <w:jc w:val="center"/>
              <w:rPr>
                <w:color w:val="auto"/>
                <w:sz w:val="21"/>
                <w:szCs w:val="21"/>
              </w:rPr>
            </w:pPr>
            <w:r>
              <w:rPr>
                <w:rFonts w:hint="eastAsia"/>
                <w:color w:val="auto"/>
                <w:sz w:val="21"/>
                <w:szCs w:val="21"/>
              </w:rPr>
              <w:t>物料转移和输送</w:t>
            </w:r>
          </w:p>
        </w:tc>
        <w:tc>
          <w:tcPr>
            <w:tcW w:w="1708" w:type="pct"/>
            <w:gridSpan w:val="2"/>
            <w:tcMar>
              <w:top w:w="85" w:type="dxa"/>
              <w:left w:w="85" w:type="dxa"/>
              <w:bottom w:w="85" w:type="dxa"/>
              <w:right w:w="85" w:type="dxa"/>
            </w:tcMar>
            <w:vAlign w:val="center"/>
          </w:tcPr>
          <w:p w14:paraId="4DA1E4A3">
            <w:pPr>
              <w:spacing w:line="240" w:lineRule="auto"/>
              <w:ind w:firstLine="0" w:firstLineChars="0"/>
              <w:rPr>
                <w:rFonts w:hint="eastAsia"/>
                <w:color w:val="auto"/>
                <w:sz w:val="21"/>
                <w:szCs w:val="21"/>
              </w:rPr>
            </w:pPr>
            <w:r>
              <w:rPr>
                <w:rFonts w:hint="eastAsia"/>
                <w:color w:val="auto"/>
                <w:sz w:val="21"/>
                <w:szCs w:val="21"/>
              </w:rPr>
              <w:t>1.粉状、粒状等易产尘物料厂内转移、输送过程应采用气力输送、密闭输送，块状和粘湿粉状物料采用封闭输送；</w:t>
            </w:r>
          </w:p>
          <w:p w14:paraId="13013C5C">
            <w:pPr>
              <w:spacing w:line="240" w:lineRule="auto"/>
              <w:ind w:firstLine="0" w:firstLineChars="0"/>
              <w:rPr>
                <w:color w:val="auto"/>
                <w:sz w:val="21"/>
                <w:szCs w:val="21"/>
              </w:rPr>
            </w:pPr>
            <w:r>
              <w:rPr>
                <w:rFonts w:hint="eastAsia"/>
                <w:color w:val="auto"/>
                <w:sz w:val="21"/>
                <w:szCs w:val="21"/>
              </w:rPr>
              <w:t>2.</w:t>
            </w:r>
            <w:r>
              <w:rPr>
                <w:rFonts w:hint="eastAsia"/>
                <w:color w:val="auto"/>
                <w:sz w:val="21"/>
                <w:szCs w:val="21"/>
                <w:lang w:val="en-US" w:eastAsia="zh-CN"/>
              </w:rPr>
              <w:t>无</w:t>
            </w:r>
            <w:r>
              <w:rPr>
                <w:rFonts w:hint="eastAsia"/>
                <w:color w:val="auto"/>
                <w:sz w:val="21"/>
                <w:szCs w:val="21"/>
              </w:rPr>
              <w:t>法封闭的产尘点（物料转载、下料口等）应采取集气除尘措施，或有效抑尘措施。</w:t>
            </w:r>
          </w:p>
        </w:tc>
        <w:tc>
          <w:tcPr>
            <w:tcW w:w="1556" w:type="pct"/>
            <w:shd w:val="clear" w:color="auto" w:fill="auto"/>
            <w:tcMar>
              <w:top w:w="85" w:type="dxa"/>
              <w:left w:w="85" w:type="dxa"/>
              <w:bottom w:w="85" w:type="dxa"/>
              <w:right w:w="85" w:type="dxa"/>
            </w:tcMar>
            <w:vAlign w:val="center"/>
          </w:tcPr>
          <w:p w14:paraId="1D4B73CE">
            <w:pPr>
              <w:spacing w:line="240" w:lineRule="auto"/>
              <w:ind w:firstLine="0" w:firstLineChars="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涉涉VOCs物料采用密闭管道或密闭容器等输送</w:t>
            </w:r>
            <w:r>
              <w:rPr>
                <w:rFonts w:hint="eastAsia"/>
                <w:color w:val="auto"/>
                <w:sz w:val="21"/>
                <w:szCs w:val="21"/>
                <w:lang w:val="en-US" w:eastAsia="zh-CN"/>
              </w:rPr>
              <w:t>.</w:t>
            </w:r>
          </w:p>
        </w:tc>
        <w:tc>
          <w:tcPr>
            <w:tcW w:w="1122" w:type="pct"/>
            <w:tcMar>
              <w:top w:w="85" w:type="dxa"/>
              <w:left w:w="85" w:type="dxa"/>
              <w:bottom w:w="85" w:type="dxa"/>
              <w:right w:w="85" w:type="dxa"/>
            </w:tcMar>
            <w:vAlign w:val="center"/>
          </w:tcPr>
          <w:p w14:paraId="3D3CC69C">
            <w:pPr>
              <w:spacing w:line="240" w:lineRule="auto"/>
              <w:ind w:firstLine="0" w:firstLineChars="0"/>
              <w:rPr>
                <w:rFonts w:hint="default"/>
                <w:color w:val="auto"/>
                <w:sz w:val="21"/>
                <w:szCs w:val="21"/>
                <w:lang w:val="en-US" w:eastAsia="zh-CN"/>
              </w:rPr>
            </w:pPr>
            <w:r>
              <w:rPr>
                <w:rFonts w:hint="eastAsia"/>
                <w:color w:val="auto"/>
                <w:sz w:val="21"/>
                <w:szCs w:val="21"/>
                <w:lang w:val="en-US" w:eastAsia="zh-CN"/>
              </w:rPr>
              <w:t>本项目生产过程中涉及粉状物料的在密闭的洁净车间内进行；所有产尘点均设置有集气罩，引至袋式除尘器进行处理；</w:t>
            </w:r>
          </w:p>
          <w:p w14:paraId="0C7A9F40">
            <w:pPr>
              <w:spacing w:line="240" w:lineRule="auto"/>
              <w:ind w:firstLine="0" w:firstLineChars="0"/>
              <w:rPr>
                <w:rFonts w:hint="default" w:eastAsia="宋体"/>
                <w:color w:val="auto"/>
                <w:sz w:val="21"/>
                <w:szCs w:val="21"/>
                <w:lang w:val="en-US" w:eastAsia="zh-CN"/>
              </w:rPr>
            </w:pPr>
            <w:r>
              <w:rPr>
                <w:rFonts w:hint="eastAsia"/>
                <w:color w:val="auto"/>
                <w:sz w:val="21"/>
                <w:szCs w:val="21"/>
                <w:lang w:val="en-US" w:eastAsia="zh-CN"/>
              </w:rPr>
              <w:t>不涉及</w:t>
            </w:r>
            <w:r>
              <w:rPr>
                <w:rFonts w:hint="eastAsia"/>
                <w:color w:val="auto"/>
                <w:sz w:val="21"/>
                <w:szCs w:val="21"/>
              </w:rPr>
              <w:t>VOCs</w:t>
            </w:r>
            <w:r>
              <w:rPr>
                <w:rFonts w:hint="eastAsia"/>
                <w:color w:val="auto"/>
                <w:sz w:val="21"/>
                <w:szCs w:val="21"/>
                <w:lang w:val="en-US" w:eastAsia="zh-CN"/>
              </w:rPr>
              <w:t>物料的输送。</w:t>
            </w:r>
          </w:p>
        </w:tc>
        <w:tc>
          <w:tcPr>
            <w:tcW w:w="234" w:type="pct"/>
            <w:vAlign w:val="center"/>
          </w:tcPr>
          <w:p w14:paraId="1F835022">
            <w:pPr>
              <w:spacing w:line="240" w:lineRule="auto"/>
              <w:ind w:firstLine="0" w:firstLineChars="0"/>
              <w:jc w:val="center"/>
              <w:rPr>
                <w:color w:val="auto"/>
                <w:sz w:val="21"/>
                <w:szCs w:val="21"/>
              </w:rPr>
            </w:pPr>
            <w:r>
              <w:rPr>
                <w:rFonts w:hint="eastAsia"/>
                <w:color w:val="auto"/>
                <w:sz w:val="21"/>
                <w:szCs w:val="21"/>
              </w:rPr>
              <w:t>相符</w:t>
            </w:r>
          </w:p>
        </w:tc>
      </w:tr>
      <w:tr w14:paraId="7984C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7" w:type="pct"/>
            <w:gridSpan w:val="2"/>
            <w:tcMar>
              <w:top w:w="85" w:type="dxa"/>
              <w:left w:w="85" w:type="dxa"/>
              <w:bottom w:w="85" w:type="dxa"/>
              <w:right w:w="85" w:type="dxa"/>
            </w:tcMar>
            <w:vAlign w:val="center"/>
          </w:tcPr>
          <w:p w14:paraId="6C76FAAD">
            <w:pPr>
              <w:spacing w:line="240" w:lineRule="auto"/>
              <w:ind w:firstLine="0" w:firstLineChars="0"/>
              <w:jc w:val="center"/>
              <w:rPr>
                <w:color w:val="auto"/>
                <w:sz w:val="21"/>
                <w:szCs w:val="21"/>
              </w:rPr>
            </w:pPr>
            <w:r>
              <w:rPr>
                <w:rFonts w:hint="eastAsia"/>
                <w:color w:val="auto"/>
                <w:sz w:val="21"/>
                <w:szCs w:val="21"/>
              </w:rPr>
              <w:t>工艺过程</w:t>
            </w:r>
          </w:p>
        </w:tc>
        <w:tc>
          <w:tcPr>
            <w:tcW w:w="1708" w:type="pct"/>
            <w:gridSpan w:val="2"/>
            <w:tcMar>
              <w:top w:w="85" w:type="dxa"/>
              <w:left w:w="85" w:type="dxa"/>
              <w:bottom w:w="85" w:type="dxa"/>
              <w:right w:w="85" w:type="dxa"/>
            </w:tcMar>
            <w:vAlign w:val="center"/>
          </w:tcPr>
          <w:p w14:paraId="29BED425">
            <w:pPr>
              <w:spacing w:line="240" w:lineRule="auto"/>
              <w:ind w:firstLine="0" w:firstLineChars="0"/>
              <w:rPr>
                <w:rFonts w:hint="eastAsia"/>
                <w:color w:val="auto"/>
                <w:sz w:val="21"/>
                <w:szCs w:val="21"/>
              </w:rPr>
            </w:pPr>
            <w:r>
              <w:rPr>
                <w:rFonts w:hint="eastAsia"/>
                <w:color w:val="auto"/>
                <w:sz w:val="21"/>
                <w:szCs w:val="21"/>
              </w:rPr>
              <w:t>1.各种物料破碎、筛分、配料、混料等过程应在封闭厂房内进行，并采取收尘/抑尘措施；</w:t>
            </w:r>
          </w:p>
          <w:p w14:paraId="2701260F">
            <w:pPr>
              <w:spacing w:line="240" w:lineRule="auto"/>
              <w:ind w:firstLine="0" w:firstLineChars="0"/>
              <w:rPr>
                <w:color w:val="auto"/>
                <w:sz w:val="21"/>
                <w:szCs w:val="21"/>
              </w:rPr>
            </w:pPr>
            <w:r>
              <w:rPr>
                <w:rFonts w:hint="eastAsia"/>
                <w:color w:val="auto"/>
                <w:sz w:val="21"/>
                <w:szCs w:val="21"/>
              </w:rPr>
              <w:t>2.破碎筛分设备在进、出料口和配料混料过程等产尘点应设置集气除尘设施。</w:t>
            </w:r>
          </w:p>
        </w:tc>
        <w:tc>
          <w:tcPr>
            <w:tcW w:w="1556" w:type="pct"/>
            <w:tcMar>
              <w:top w:w="85" w:type="dxa"/>
              <w:left w:w="85" w:type="dxa"/>
              <w:bottom w:w="85" w:type="dxa"/>
              <w:right w:w="85" w:type="dxa"/>
            </w:tcMar>
            <w:vAlign w:val="center"/>
          </w:tcPr>
          <w:p w14:paraId="306897AE">
            <w:pPr>
              <w:spacing w:line="240" w:lineRule="auto"/>
              <w:ind w:firstLine="0" w:firstLineChars="0"/>
              <w:rPr>
                <w:rFonts w:hint="eastAsia"/>
                <w:color w:val="auto"/>
                <w:sz w:val="21"/>
                <w:szCs w:val="21"/>
              </w:rPr>
            </w:pPr>
            <w:r>
              <w:rPr>
                <w:rFonts w:hint="eastAsia"/>
                <w:color w:val="auto"/>
                <w:sz w:val="21"/>
                <w:szCs w:val="21"/>
              </w:rPr>
              <w:t>1.原辅材料调配、使用（施胶、喷涂、干燥等））、回收等过程采用密闭设备或在密闭空间内操作；</w:t>
            </w:r>
          </w:p>
          <w:p w14:paraId="0FF82FBC">
            <w:pPr>
              <w:spacing w:line="240" w:lineRule="auto"/>
              <w:ind w:firstLine="0" w:firstLineChars="0"/>
              <w:rPr>
                <w:rFonts w:hint="eastAsia"/>
                <w:color w:val="auto"/>
                <w:sz w:val="21"/>
                <w:szCs w:val="21"/>
              </w:rPr>
            </w:pPr>
            <w:r>
              <w:rPr>
                <w:rFonts w:hint="eastAsia"/>
                <w:color w:val="auto"/>
                <w:sz w:val="21"/>
                <w:szCs w:val="21"/>
              </w:rPr>
              <w:t>2.涉涉VOCs原料装卸、储存、转移和输送、工艺过程等环节的废气全部收集引至VOCs处理系统</w:t>
            </w:r>
          </w:p>
        </w:tc>
        <w:tc>
          <w:tcPr>
            <w:tcW w:w="1122" w:type="pct"/>
            <w:tcMar>
              <w:top w:w="85" w:type="dxa"/>
              <w:left w:w="85" w:type="dxa"/>
              <w:bottom w:w="85" w:type="dxa"/>
              <w:right w:w="85" w:type="dxa"/>
            </w:tcMar>
            <w:vAlign w:val="center"/>
          </w:tcPr>
          <w:p w14:paraId="12CEFE47">
            <w:pPr>
              <w:spacing w:line="240" w:lineRule="auto"/>
              <w:ind w:firstLine="0" w:firstLineChars="0"/>
              <w:rPr>
                <w:rFonts w:hint="eastAsia"/>
                <w:color w:val="auto"/>
                <w:sz w:val="21"/>
                <w:szCs w:val="21"/>
                <w:lang w:val="en-US" w:eastAsia="zh-CN"/>
              </w:rPr>
            </w:pPr>
            <w:r>
              <w:rPr>
                <w:rFonts w:hint="eastAsia"/>
                <w:color w:val="auto"/>
                <w:sz w:val="21"/>
                <w:szCs w:val="21"/>
                <w:lang w:val="en-US" w:eastAsia="zh-CN"/>
              </w:rPr>
              <w:t>本项目生产过程中在封闭车间内进行；所有产尘点均设置有集气罩，引至袋式除尘器进行处理；</w:t>
            </w:r>
          </w:p>
          <w:p w14:paraId="717D9BC0">
            <w:pPr>
              <w:spacing w:line="240" w:lineRule="auto"/>
              <w:ind w:firstLine="0" w:firstLineChars="0"/>
              <w:rPr>
                <w:rFonts w:hint="default"/>
                <w:color w:val="auto"/>
                <w:sz w:val="21"/>
                <w:szCs w:val="21"/>
                <w:lang w:val="en-US" w:eastAsia="zh-CN"/>
              </w:rPr>
            </w:pPr>
            <w:r>
              <w:rPr>
                <w:rFonts w:hint="eastAsia"/>
                <w:color w:val="auto"/>
                <w:sz w:val="21"/>
                <w:szCs w:val="21"/>
                <w:lang w:val="en-US" w:eastAsia="zh-CN"/>
              </w:rPr>
              <w:t>不涉及</w:t>
            </w:r>
            <w:r>
              <w:rPr>
                <w:rFonts w:hint="eastAsia"/>
                <w:color w:val="auto"/>
                <w:sz w:val="21"/>
                <w:szCs w:val="21"/>
              </w:rPr>
              <w:t>VOCs</w:t>
            </w:r>
            <w:r>
              <w:rPr>
                <w:rFonts w:hint="eastAsia"/>
                <w:color w:val="auto"/>
                <w:sz w:val="21"/>
                <w:szCs w:val="21"/>
                <w:lang w:val="en-US" w:eastAsia="zh-CN"/>
              </w:rPr>
              <w:t>物料的调配使用等。</w:t>
            </w:r>
          </w:p>
        </w:tc>
        <w:tc>
          <w:tcPr>
            <w:tcW w:w="234" w:type="pct"/>
            <w:vAlign w:val="center"/>
          </w:tcPr>
          <w:p w14:paraId="252BB9DC">
            <w:pPr>
              <w:spacing w:line="240" w:lineRule="auto"/>
              <w:ind w:firstLine="0" w:firstLineChars="0"/>
              <w:jc w:val="center"/>
              <w:rPr>
                <w:color w:val="auto"/>
                <w:sz w:val="21"/>
                <w:szCs w:val="21"/>
              </w:rPr>
            </w:pPr>
            <w:r>
              <w:rPr>
                <w:rFonts w:hint="eastAsia"/>
                <w:color w:val="auto"/>
                <w:sz w:val="21"/>
                <w:szCs w:val="21"/>
              </w:rPr>
              <w:t>相符</w:t>
            </w:r>
          </w:p>
        </w:tc>
      </w:tr>
      <w:tr w14:paraId="2C7F0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7" w:type="pct"/>
            <w:gridSpan w:val="2"/>
            <w:tcMar>
              <w:top w:w="85" w:type="dxa"/>
              <w:left w:w="85" w:type="dxa"/>
              <w:bottom w:w="85" w:type="dxa"/>
              <w:right w:w="85" w:type="dxa"/>
            </w:tcMar>
            <w:vAlign w:val="center"/>
          </w:tcPr>
          <w:p w14:paraId="3FCE9AE5">
            <w:pPr>
              <w:spacing w:line="240" w:lineRule="auto"/>
              <w:ind w:firstLine="0" w:firstLineChars="0"/>
              <w:jc w:val="center"/>
              <w:rPr>
                <w:color w:val="auto"/>
                <w:sz w:val="21"/>
                <w:szCs w:val="21"/>
              </w:rPr>
            </w:pPr>
            <w:r>
              <w:rPr>
                <w:rFonts w:hint="eastAsia"/>
                <w:color w:val="auto"/>
                <w:sz w:val="21"/>
                <w:szCs w:val="21"/>
              </w:rPr>
              <w:t>成品包装</w:t>
            </w:r>
          </w:p>
        </w:tc>
        <w:tc>
          <w:tcPr>
            <w:tcW w:w="1708" w:type="pct"/>
            <w:gridSpan w:val="2"/>
            <w:tcMar>
              <w:top w:w="85" w:type="dxa"/>
              <w:left w:w="85" w:type="dxa"/>
              <w:bottom w:w="85" w:type="dxa"/>
              <w:right w:w="85" w:type="dxa"/>
            </w:tcMar>
            <w:vAlign w:val="center"/>
          </w:tcPr>
          <w:p w14:paraId="4A833AF8">
            <w:pPr>
              <w:spacing w:line="240" w:lineRule="auto"/>
              <w:ind w:firstLine="0" w:firstLineChars="0"/>
              <w:rPr>
                <w:rFonts w:hint="eastAsia"/>
                <w:color w:val="auto"/>
                <w:sz w:val="21"/>
                <w:szCs w:val="21"/>
              </w:rPr>
            </w:pPr>
            <w:r>
              <w:rPr>
                <w:rFonts w:hint="eastAsia"/>
                <w:color w:val="auto"/>
                <w:sz w:val="21"/>
                <w:szCs w:val="21"/>
              </w:rPr>
              <w:t>1.粉状、粒状产品包装卸料口应完全封闭，如不能封闭应采取局部集气除尘措施。卸料口地面应及时清扫，地面无明显积尘；</w:t>
            </w:r>
          </w:p>
          <w:p w14:paraId="1077C39F">
            <w:pPr>
              <w:spacing w:line="240" w:lineRule="auto"/>
              <w:ind w:firstLine="0" w:firstLineChars="0"/>
              <w:rPr>
                <w:rFonts w:hint="eastAsia"/>
                <w:color w:val="auto"/>
                <w:sz w:val="21"/>
                <w:szCs w:val="21"/>
              </w:rPr>
            </w:pPr>
            <w:r>
              <w:rPr>
                <w:rFonts w:hint="eastAsia"/>
                <w:color w:val="auto"/>
                <w:sz w:val="21"/>
                <w:szCs w:val="21"/>
              </w:rPr>
              <w:t>2.各生产工序的车间地面干净，无积料、积灰现象；</w:t>
            </w:r>
          </w:p>
          <w:p w14:paraId="3FEEA649">
            <w:pPr>
              <w:spacing w:line="240" w:lineRule="auto"/>
              <w:ind w:firstLine="0" w:firstLineChars="0"/>
              <w:rPr>
                <w:color w:val="auto"/>
                <w:sz w:val="21"/>
                <w:szCs w:val="21"/>
              </w:rPr>
            </w:pPr>
            <w:r>
              <w:rPr>
                <w:rFonts w:hint="eastAsia"/>
                <w:color w:val="auto"/>
                <w:sz w:val="21"/>
                <w:szCs w:val="21"/>
              </w:rPr>
              <w:t>3.生产车间不得有可见烟（粉）尘外逸。</w:t>
            </w:r>
          </w:p>
        </w:tc>
        <w:tc>
          <w:tcPr>
            <w:tcW w:w="1556" w:type="pct"/>
            <w:tcMar>
              <w:top w:w="85" w:type="dxa"/>
              <w:left w:w="85" w:type="dxa"/>
              <w:bottom w:w="85" w:type="dxa"/>
              <w:right w:w="85" w:type="dxa"/>
            </w:tcMar>
            <w:vAlign w:val="center"/>
          </w:tcPr>
          <w:p w14:paraId="7D0A86FF">
            <w:pPr>
              <w:spacing w:line="240" w:lineRule="auto"/>
              <w:ind w:firstLine="0" w:firstLineChars="0"/>
              <w:rPr>
                <w:rFonts w:hint="eastAsia" w:eastAsia="宋体"/>
                <w:color w:val="auto"/>
                <w:sz w:val="21"/>
                <w:szCs w:val="21"/>
                <w:lang w:val="en-US" w:eastAsia="zh-CN"/>
              </w:rPr>
            </w:pPr>
            <w:r>
              <w:rPr>
                <w:rFonts w:hint="eastAsia"/>
                <w:color w:val="auto"/>
                <w:sz w:val="21"/>
                <w:szCs w:val="21"/>
                <w:lang w:val="en-US" w:eastAsia="zh-CN"/>
              </w:rPr>
              <w:t>/</w:t>
            </w:r>
          </w:p>
        </w:tc>
        <w:tc>
          <w:tcPr>
            <w:tcW w:w="1122" w:type="pct"/>
            <w:tcMar>
              <w:top w:w="85" w:type="dxa"/>
              <w:left w:w="85" w:type="dxa"/>
              <w:bottom w:w="85" w:type="dxa"/>
              <w:right w:w="85" w:type="dxa"/>
            </w:tcMar>
            <w:vAlign w:val="center"/>
          </w:tcPr>
          <w:p w14:paraId="2B962CD2">
            <w:pPr>
              <w:spacing w:line="240" w:lineRule="auto"/>
              <w:ind w:firstLine="0" w:firstLineChars="0"/>
              <w:rPr>
                <w:rFonts w:hint="eastAsia" w:eastAsia="宋体"/>
                <w:color w:val="auto"/>
                <w:sz w:val="21"/>
                <w:szCs w:val="21"/>
                <w:lang w:val="en-US" w:eastAsia="zh-CN"/>
              </w:rPr>
            </w:pPr>
            <w:r>
              <w:rPr>
                <w:rFonts w:hint="eastAsia"/>
                <w:color w:val="auto"/>
                <w:sz w:val="21"/>
                <w:szCs w:val="21"/>
                <w:lang w:val="en-US" w:eastAsia="zh-CN"/>
              </w:rPr>
              <w:t>项目建成投产后应按照环评要求运行相关环保设施，保证</w:t>
            </w:r>
            <w:r>
              <w:rPr>
                <w:rFonts w:hint="eastAsia"/>
                <w:color w:val="auto"/>
                <w:sz w:val="21"/>
                <w:szCs w:val="21"/>
              </w:rPr>
              <w:t>各生产工序的车间地面干净，无积料、积灰现象</w:t>
            </w:r>
            <w:r>
              <w:rPr>
                <w:rFonts w:hint="eastAsia"/>
                <w:color w:val="auto"/>
                <w:sz w:val="21"/>
                <w:szCs w:val="21"/>
                <w:lang w:eastAsia="zh-CN"/>
              </w:rPr>
              <w:t>，</w:t>
            </w:r>
            <w:r>
              <w:rPr>
                <w:rFonts w:hint="eastAsia"/>
                <w:color w:val="auto"/>
                <w:sz w:val="21"/>
                <w:szCs w:val="21"/>
              </w:rPr>
              <w:t>生产车间</w:t>
            </w:r>
            <w:r>
              <w:rPr>
                <w:rFonts w:hint="eastAsia"/>
                <w:color w:val="auto"/>
                <w:sz w:val="21"/>
                <w:szCs w:val="21"/>
                <w:lang w:val="en-US" w:eastAsia="zh-CN"/>
              </w:rPr>
              <w:t>无</w:t>
            </w:r>
            <w:r>
              <w:rPr>
                <w:rFonts w:hint="eastAsia"/>
                <w:color w:val="auto"/>
                <w:sz w:val="21"/>
                <w:szCs w:val="21"/>
              </w:rPr>
              <w:t>可见烟（粉）尘外逸</w:t>
            </w:r>
          </w:p>
        </w:tc>
        <w:tc>
          <w:tcPr>
            <w:tcW w:w="234" w:type="pct"/>
            <w:vAlign w:val="center"/>
          </w:tcPr>
          <w:p w14:paraId="3B8D490C">
            <w:pPr>
              <w:spacing w:line="240" w:lineRule="auto"/>
              <w:ind w:firstLine="0" w:firstLineChars="0"/>
              <w:jc w:val="center"/>
              <w:rPr>
                <w:color w:val="auto"/>
                <w:sz w:val="21"/>
                <w:szCs w:val="21"/>
              </w:rPr>
            </w:pPr>
            <w:r>
              <w:rPr>
                <w:rFonts w:hint="eastAsia"/>
                <w:color w:val="auto"/>
                <w:sz w:val="21"/>
                <w:szCs w:val="21"/>
              </w:rPr>
              <w:t>相符</w:t>
            </w:r>
          </w:p>
        </w:tc>
      </w:tr>
      <w:tr w14:paraId="57379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7" w:type="pct"/>
            <w:gridSpan w:val="2"/>
            <w:tcMar>
              <w:top w:w="85" w:type="dxa"/>
              <w:left w:w="85" w:type="dxa"/>
              <w:bottom w:w="85" w:type="dxa"/>
              <w:right w:w="85" w:type="dxa"/>
            </w:tcMar>
            <w:vAlign w:val="center"/>
          </w:tcPr>
          <w:p w14:paraId="51BCB669">
            <w:pPr>
              <w:spacing w:line="240" w:lineRule="auto"/>
              <w:ind w:firstLine="0" w:firstLineChars="0"/>
              <w:jc w:val="center"/>
              <w:rPr>
                <w:color w:val="auto"/>
                <w:sz w:val="21"/>
                <w:szCs w:val="21"/>
              </w:rPr>
            </w:pPr>
            <w:r>
              <w:rPr>
                <w:rFonts w:hint="eastAsia"/>
                <w:color w:val="auto"/>
                <w:sz w:val="21"/>
                <w:szCs w:val="21"/>
              </w:rPr>
              <w:t>排放限值</w:t>
            </w:r>
          </w:p>
        </w:tc>
        <w:tc>
          <w:tcPr>
            <w:tcW w:w="1708" w:type="pct"/>
            <w:gridSpan w:val="2"/>
            <w:tcMar>
              <w:top w:w="85" w:type="dxa"/>
              <w:left w:w="85" w:type="dxa"/>
              <w:bottom w:w="85" w:type="dxa"/>
              <w:right w:w="85" w:type="dxa"/>
            </w:tcMar>
            <w:vAlign w:val="center"/>
          </w:tcPr>
          <w:p w14:paraId="17F90BA0">
            <w:pPr>
              <w:spacing w:line="240" w:lineRule="auto"/>
              <w:ind w:firstLine="0" w:firstLineChars="0"/>
              <w:rPr>
                <w:rFonts w:hint="eastAsia" w:eastAsia="宋体"/>
                <w:color w:val="auto"/>
                <w:sz w:val="21"/>
                <w:szCs w:val="21"/>
                <w:lang w:eastAsia="zh-CN"/>
              </w:rPr>
            </w:pPr>
            <w:r>
              <w:rPr>
                <w:rFonts w:hint="eastAsia"/>
                <w:color w:val="auto"/>
                <w:sz w:val="21"/>
                <w:szCs w:val="21"/>
              </w:rPr>
              <w:t>PM排放限值不高于10mg/m3；其他污染物排放浓度达到相关污染物排放标准</w:t>
            </w:r>
            <w:r>
              <w:rPr>
                <w:rFonts w:hint="eastAsia"/>
                <w:color w:val="auto"/>
                <w:sz w:val="21"/>
                <w:szCs w:val="21"/>
                <w:lang w:eastAsia="zh-CN"/>
              </w:rPr>
              <w:t>。</w:t>
            </w:r>
          </w:p>
        </w:tc>
        <w:tc>
          <w:tcPr>
            <w:tcW w:w="1556" w:type="pct"/>
            <w:tcMar>
              <w:top w:w="85" w:type="dxa"/>
              <w:left w:w="85" w:type="dxa"/>
              <w:bottom w:w="85" w:type="dxa"/>
              <w:right w:w="85" w:type="dxa"/>
            </w:tcMar>
            <w:vAlign w:val="center"/>
          </w:tcPr>
          <w:p w14:paraId="654A5272">
            <w:pPr>
              <w:spacing w:line="240" w:lineRule="auto"/>
              <w:ind w:firstLine="0" w:firstLineChars="0"/>
              <w:rPr>
                <w:rFonts w:hint="eastAsia"/>
                <w:color w:val="auto"/>
                <w:sz w:val="21"/>
                <w:szCs w:val="21"/>
              </w:rPr>
            </w:pPr>
            <w:r>
              <w:rPr>
                <w:rFonts w:hint="eastAsia"/>
                <w:color w:val="auto"/>
                <w:sz w:val="21"/>
                <w:szCs w:val="21"/>
              </w:rPr>
              <w:t>NMHC排放限值不高于30mg/m3；其他污染物排放浓度达到相关污染物排放标准。</w:t>
            </w:r>
          </w:p>
        </w:tc>
        <w:tc>
          <w:tcPr>
            <w:tcW w:w="1122" w:type="pct"/>
            <w:tcMar>
              <w:top w:w="85" w:type="dxa"/>
              <w:left w:w="85" w:type="dxa"/>
              <w:bottom w:w="85" w:type="dxa"/>
              <w:right w:w="85" w:type="dxa"/>
            </w:tcMar>
            <w:vAlign w:val="center"/>
          </w:tcPr>
          <w:p w14:paraId="1053E8C8">
            <w:pPr>
              <w:spacing w:line="240" w:lineRule="auto"/>
              <w:ind w:firstLine="0" w:firstLineChars="0"/>
              <w:rPr>
                <w:rFonts w:hint="eastAsia" w:eastAsia="宋体"/>
                <w:color w:val="auto"/>
                <w:sz w:val="21"/>
                <w:szCs w:val="21"/>
                <w:lang w:eastAsia="zh-CN"/>
              </w:rPr>
            </w:pPr>
            <w:r>
              <w:rPr>
                <w:rFonts w:hint="eastAsia"/>
                <w:color w:val="auto"/>
                <w:sz w:val="21"/>
                <w:szCs w:val="21"/>
              </w:rPr>
              <w:t>中药饮片车间干燥、炒制、粉碎、筛分粉尘</w:t>
            </w:r>
            <w:r>
              <w:rPr>
                <w:rFonts w:hint="eastAsia"/>
                <w:color w:val="auto"/>
                <w:sz w:val="21"/>
                <w:szCs w:val="21"/>
                <w:lang w:val="en-US" w:eastAsia="zh-CN"/>
              </w:rPr>
              <w:t>经袋式除尘器处理后</w:t>
            </w:r>
            <w:r>
              <w:rPr>
                <w:rFonts w:hint="eastAsia"/>
                <w:color w:val="auto"/>
                <w:sz w:val="21"/>
                <w:szCs w:val="21"/>
              </w:rPr>
              <w:t>能够满足颗粒物有组织排放限值为10mg/m</w:t>
            </w:r>
            <w:r>
              <w:rPr>
                <w:rFonts w:hint="eastAsia"/>
                <w:color w:val="auto"/>
                <w:sz w:val="21"/>
                <w:szCs w:val="21"/>
                <w:vertAlign w:val="superscript"/>
              </w:rPr>
              <w:t>3</w:t>
            </w:r>
            <w:r>
              <w:rPr>
                <w:rFonts w:hint="eastAsia"/>
                <w:color w:val="auto"/>
                <w:sz w:val="21"/>
                <w:szCs w:val="21"/>
                <w:lang w:val="en-US" w:eastAsia="zh-CN"/>
              </w:rPr>
              <w:t>的要求</w:t>
            </w:r>
            <w:r>
              <w:rPr>
                <w:rFonts w:hint="eastAsia"/>
                <w:color w:val="auto"/>
                <w:sz w:val="21"/>
                <w:szCs w:val="21"/>
                <w:lang w:eastAsia="zh-CN"/>
              </w:rPr>
              <w:t>；</w:t>
            </w:r>
          </w:p>
          <w:p w14:paraId="4F4FE2E7">
            <w:pPr>
              <w:spacing w:line="240" w:lineRule="auto"/>
              <w:ind w:firstLine="0" w:firstLineChars="0"/>
              <w:rPr>
                <w:rFonts w:hint="eastAsia" w:eastAsia="宋体"/>
                <w:color w:val="auto"/>
                <w:sz w:val="21"/>
                <w:szCs w:val="21"/>
                <w:lang w:eastAsia="zh-CN"/>
              </w:rPr>
            </w:pPr>
            <w:r>
              <w:rPr>
                <w:rFonts w:hint="eastAsia"/>
                <w:color w:val="auto"/>
                <w:sz w:val="21"/>
                <w:szCs w:val="21"/>
                <w:lang w:val="en-US" w:eastAsia="zh-CN"/>
              </w:rPr>
              <w:t>口服饮片车间、颗粒剂车间及制丸车间粉尘经袋式除尘器处理后</w:t>
            </w:r>
            <w:r>
              <w:rPr>
                <w:rFonts w:hint="eastAsia"/>
                <w:color w:val="auto"/>
                <w:sz w:val="21"/>
                <w:szCs w:val="21"/>
              </w:rPr>
              <w:t>能够满足颗粒物有组织排放限值为10mg/m</w:t>
            </w:r>
            <w:r>
              <w:rPr>
                <w:rFonts w:hint="eastAsia"/>
                <w:color w:val="auto"/>
                <w:sz w:val="21"/>
                <w:szCs w:val="21"/>
                <w:vertAlign w:val="superscript"/>
              </w:rPr>
              <w:t>3</w:t>
            </w:r>
            <w:r>
              <w:rPr>
                <w:rFonts w:hint="eastAsia"/>
                <w:color w:val="auto"/>
                <w:sz w:val="21"/>
                <w:szCs w:val="21"/>
                <w:lang w:val="en-US" w:eastAsia="zh-CN"/>
              </w:rPr>
              <w:t>的要求</w:t>
            </w:r>
            <w:r>
              <w:rPr>
                <w:rFonts w:hint="eastAsia"/>
                <w:color w:val="auto"/>
                <w:sz w:val="21"/>
                <w:szCs w:val="21"/>
                <w:lang w:eastAsia="zh-CN"/>
              </w:rPr>
              <w:t>；</w:t>
            </w:r>
          </w:p>
          <w:p w14:paraId="3FE49BAE">
            <w:pPr>
              <w:spacing w:line="240" w:lineRule="auto"/>
              <w:ind w:firstLine="0" w:firstLineChars="0"/>
              <w:rPr>
                <w:color w:val="auto"/>
                <w:sz w:val="21"/>
                <w:szCs w:val="21"/>
              </w:rPr>
            </w:pPr>
            <w:r>
              <w:rPr>
                <w:rFonts w:hint="eastAsia"/>
                <w:color w:val="auto"/>
                <w:sz w:val="21"/>
                <w:szCs w:val="21"/>
              </w:rPr>
              <w:t>实验废气经</w:t>
            </w:r>
            <w:r>
              <w:rPr>
                <w:rFonts w:hint="eastAsia"/>
                <w:color w:val="auto"/>
                <w:sz w:val="21"/>
                <w:szCs w:val="21"/>
                <w:lang w:val="en-US" w:eastAsia="zh-CN"/>
              </w:rPr>
              <w:t>通风橱</w:t>
            </w:r>
            <w:r>
              <w:rPr>
                <w:rFonts w:hint="eastAsia"/>
                <w:color w:val="auto"/>
                <w:sz w:val="21"/>
                <w:szCs w:val="21"/>
              </w:rPr>
              <w:t>收集</w:t>
            </w:r>
            <w:r>
              <w:rPr>
                <w:rFonts w:hint="eastAsia"/>
                <w:color w:val="auto"/>
                <w:sz w:val="21"/>
                <w:szCs w:val="21"/>
                <w:lang w:val="en-US" w:eastAsia="zh-CN"/>
              </w:rPr>
              <w:t>后引至</w:t>
            </w:r>
            <w:r>
              <w:rPr>
                <w:rFonts w:hint="eastAsia"/>
                <w:color w:val="auto"/>
                <w:sz w:val="21"/>
                <w:szCs w:val="21"/>
              </w:rPr>
              <w:t>1套二级活性炭吸附装置</w:t>
            </w:r>
            <w:r>
              <w:rPr>
                <w:rFonts w:hint="eastAsia"/>
                <w:color w:val="auto"/>
                <w:sz w:val="21"/>
                <w:szCs w:val="21"/>
                <w:lang w:val="en-US" w:eastAsia="zh-CN"/>
              </w:rPr>
              <w:t>处理后能够满足NMHC</w:t>
            </w:r>
            <w:r>
              <w:rPr>
                <w:rFonts w:hint="eastAsia"/>
                <w:color w:val="auto"/>
                <w:sz w:val="21"/>
                <w:szCs w:val="21"/>
              </w:rPr>
              <w:t>排放限值为</w:t>
            </w:r>
            <w:r>
              <w:rPr>
                <w:rFonts w:hint="eastAsia"/>
                <w:color w:val="auto"/>
                <w:sz w:val="21"/>
                <w:szCs w:val="21"/>
                <w:lang w:val="en-US" w:eastAsia="zh-CN"/>
              </w:rPr>
              <w:t>30</w:t>
            </w:r>
            <w:r>
              <w:rPr>
                <w:rFonts w:hint="eastAsia"/>
                <w:color w:val="auto"/>
                <w:sz w:val="21"/>
                <w:szCs w:val="21"/>
              </w:rPr>
              <w:t>mg/m</w:t>
            </w:r>
            <w:r>
              <w:rPr>
                <w:rFonts w:hint="eastAsia"/>
                <w:color w:val="auto"/>
                <w:sz w:val="21"/>
                <w:szCs w:val="21"/>
                <w:vertAlign w:val="superscript"/>
              </w:rPr>
              <w:t>3</w:t>
            </w:r>
            <w:r>
              <w:rPr>
                <w:rFonts w:hint="eastAsia"/>
                <w:color w:val="auto"/>
                <w:sz w:val="21"/>
                <w:szCs w:val="21"/>
                <w:lang w:val="en-US" w:eastAsia="zh-CN"/>
              </w:rPr>
              <w:t>的要求</w:t>
            </w:r>
            <w:r>
              <w:rPr>
                <w:rFonts w:hint="eastAsia"/>
                <w:color w:val="auto"/>
                <w:sz w:val="21"/>
                <w:szCs w:val="21"/>
                <w:lang w:eastAsia="zh-CN"/>
              </w:rPr>
              <w:t>；</w:t>
            </w:r>
          </w:p>
        </w:tc>
        <w:tc>
          <w:tcPr>
            <w:tcW w:w="234" w:type="pct"/>
            <w:vAlign w:val="center"/>
          </w:tcPr>
          <w:p w14:paraId="1BA3496C">
            <w:pPr>
              <w:spacing w:line="240" w:lineRule="auto"/>
              <w:ind w:firstLine="0" w:firstLineChars="0"/>
              <w:jc w:val="center"/>
              <w:rPr>
                <w:color w:val="auto"/>
                <w:sz w:val="21"/>
                <w:szCs w:val="21"/>
              </w:rPr>
            </w:pPr>
            <w:r>
              <w:rPr>
                <w:rFonts w:hint="eastAsia"/>
                <w:color w:val="auto"/>
                <w:sz w:val="21"/>
                <w:szCs w:val="21"/>
              </w:rPr>
              <w:t>相符</w:t>
            </w:r>
          </w:p>
        </w:tc>
      </w:tr>
      <w:tr w14:paraId="71B8C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7" w:type="pct"/>
            <w:gridSpan w:val="2"/>
            <w:tcMar>
              <w:top w:w="85" w:type="dxa"/>
              <w:left w:w="85" w:type="dxa"/>
              <w:bottom w:w="85" w:type="dxa"/>
              <w:right w:w="85" w:type="dxa"/>
            </w:tcMar>
            <w:vAlign w:val="center"/>
          </w:tcPr>
          <w:p w14:paraId="3506E6CE">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监测监控水平</w:t>
            </w:r>
          </w:p>
        </w:tc>
        <w:tc>
          <w:tcPr>
            <w:tcW w:w="1708" w:type="pct"/>
            <w:gridSpan w:val="2"/>
            <w:tcMar>
              <w:top w:w="85" w:type="dxa"/>
              <w:left w:w="85" w:type="dxa"/>
              <w:bottom w:w="85" w:type="dxa"/>
              <w:right w:w="85" w:type="dxa"/>
            </w:tcMar>
            <w:vAlign w:val="center"/>
          </w:tcPr>
          <w:p w14:paraId="099AD12F">
            <w:pPr>
              <w:spacing w:line="240" w:lineRule="auto"/>
              <w:ind w:firstLine="0" w:firstLineChars="0"/>
              <w:rPr>
                <w:rFonts w:hint="eastAsia" w:eastAsia="宋体"/>
                <w:color w:val="auto"/>
                <w:sz w:val="21"/>
                <w:szCs w:val="21"/>
                <w:lang w:val="en-US" w:eastAsia="zh-CN"/>
              </w:rPr>
            </w:pPr>
            <w:r>
              <w:rPr>
                <w:rFonts w:hint="eastAsia"/>
                <w:color w:val="auto"/>
                <w:sz w:val="21"/>
                <w:szCs w:val="21"/>
                <w:lang w:val="en-US" w:eastAsia="zh-CN"/>
              </w:rPr>
              <w:t>/</w:t>
            </w:r>
          </w:p>
        </w:tc>
        <w:tc>
          <w:tcPr>
            <w:tcW w:w="1556" w:type="pct"/>
            <w:tcMar>
              <w:top w:w="85" w:type="dxa"/>
              <w:left w:w="85" w:type="dxa"/>
              <w:bottom w:w="85" w:type="dxa"/>
              <w:right w:w="85" w:type="dxa"/>
            </w:tcMar>
            <w:vAlign w:val="center"/>
          </w:tcPr>
          <w:p w14:paraId="107CAEE0">
            <w:pPr>
              <w:spacing w:line="240" w:lineRule="auto"/>
              <w:ind w:firstLine="0" w:firstLineChars="0"/>
              <w:rPr>
                <w:rFonts w:hint="eastAsia"/>
                <w:color w:val="auto"/>
                <w:sz w:val="21"/>
                <w:szCs w:val="21"/>
              </w:rPr>
            </w:pPr>
            <w:r>
              <w:rPr>
                <w:rFonts w:hint="eastAsia"/>
                <w:color w:val="auto"/>
                <w:sz w:val="21"/>
                <w:szCs w:val="21"/>
              </w:rPr>
              <w:t>1.有组织排放口按排污许可、环境影响评价或环境现状评估等要求安装烟气排放自动监控设施（（CEMS）），并按要求与于省厅联网；重点排污单位风量大于10000m3/h的主要排放口安装NMHC在线监测设施（FID检测器）并按要求与省厅联网；；业其他企业NMHC初始排放速率大于2kg/h且排放口风量大于20000m3/h的废气排放口安装NMHC在线监测设施（（FID检测器）），并按要求与省厅联网；近在线监测数据至少保存最近12个月的1分钟均值、、36个月的1小时均值及及60个月的日均值和月均值。。（投产或安装时间不满一年以上的企业，以现有数据为准））；</w:t>
            </w:r>
          </w:p>
          <w:p w14:paraId="4A37694E">
            <w:pPr>
              <w:spacing w:line="240" w:lineRule="auto"/>
              <w:ind w:firstLine="0" w:firstLineChars="0"/>
              <w:rPr>
                <w:rFonts w:hint="eastAsia"/>
                <w:color w:val="auto"/>
                <w:sz w:val="21"/>
                <w:szCs w:val="21"/>
              </w:rPr>
            </w:pPr>
            <w:r>
              <w:rPr>
                <w:rFonts w:hint="eastAsia"/>
                <w:color w:val="auto"/>
                <w:sz w:val="21"/>
                <w:szCs w:val="21"/>
              </w:rPr>
              <w:t>2.按生态环境部门要求规范设置废气排放口标志牌、二维码标识和采样平台、采样孔；各废气排放口按照排污许可要求开展自行监测；</w:t>
            </w:r>
          </w:p>
          <w:p w14:paraId="0EC7783B">
            <w:pPr>
              <w:spacing w:line="240" w:lineRule="auto"/>
              <w:ind w:firstLine="0" w:firstLineChars="0"/>
              <w:rPr>
                <w:rFonts w:hint="eastAsia"/>
                <w:color w:val="auto"/>
                <w:sz w:val="21"/>
                <w:szCs w:val="21"/>
              </w:rPr>
            </w:pPr>
            <w:r>
              <w:rPr>
                <w:rFonts w:hint="eastAsia"/>
                <w:color w:val="auto"/>
                <w:sz w:val="21"/>
                <w:szCs w:val="21"/>
              </w:rPr>
              <w:t>3.未安装自动在线监控的企业，应在主要生产设备（投料口、卸料口等位置）安装视频监控设施，相关数据保存6个个月以上。</w:t>
            </w:r>
          </w:p>
        </w:tc>
        <w:tc>
          <w:tcPr>
            <w:tcW w:w="1122" w:type="pct"/>
            <w:tcMar>
              <w:top w:w="85" w:type="dxa"/>
              <w:left w:w="85" w:type="dxa"/>
              <w:bottom w:w="85" w:type="dxa"/>
              <w:right w:w="85" w:type="dxa"/>
            </w:tcMar>
            <w:vAlign w:val="center"/>
          </w:tcPr>
          <w:p w14:paraId="5E7099BE">
            <w:pPr>
              <w:spacing w:line="240" w:lineRule="auto"/>
              <w:ind w:firstLine="0" w:firstLineChars="0"/>
              <w:rPr>
                <w:rFonts w:hint="eastAsia" w:eastAsia="宋体"/>
                <w:color w:val="auto"/>
                <w:sz w:val="21"/>
                <w:szCs w:val="21"/>
                <w:lang w:val="en-US" w:eastAsia="zh-CN"/>
              </w:rPr>
            </w:pPr>
            <w:r>
              <w:rPr>
                <w:rFonts w:hint="eastAsia"/>
                <w:color w:val="auto"/>
                <w:sz w:val="21"/>
                <w:szCs w:val="21"/>
                <w:lang w:val="en-US" w:eastAsia="zh-CN"/>
              </w:rPr>
              <w:t>本项目VOCs为质检工序产生，产生量很少，无需安装</w:t>
            </w:r>
            <w:r>
              <w:rPr>
                <w:rFonts w:hint="eastAsia"/>
                <w:color w:val="auto"/>
                <w:sz w:val="21"/>
                <w:szCs w:val="21"/>
              </w:rPr>
              <w:t>CEMS</w:t>
            </w:r>
            <w:r>
              <w:rPr>
                <w:rFonts w:hint="eastAsia"/>
                <w:color w:val="auto"/>
                <w:sz w:val="21"/>
                <w:szCs w:val="21"/>
                <w:lang w:eastAsia="zh-CN"/>
              </w:rPr>
              <w:t>。</w:t>
            </w:r>
          </w:p>
        </w:tc>
        <w:tc>
          <w:tcPr>
            <w:tcW w:w="234" w:type="pct"/>
            <w:vAlign w:val="center"/>
          </w:tcPr>
          <w:p w14:paraId="04C2F708">
            <w:pPr>
              <w:spacing w:line="240" w:lineRule="auto"/>
              <w:ind w:firstLine="0" w:firstLineChars="0"/>
              <w:jc w:val="center"/>
              <w:rPr>
                <w:rFonts w:hint="eastAsia"/>
                <w:color w:val="auto"/>
                <w:sz w:val="21"/>
                <w:szCs w:val="21"/>
              </w:rPr>
            </w:pPr>
            <w:r>
              <w:rPr>
                <w:rFonts w:hint="eastAsia"/>
                <w:color w:val="auto"/>
                <w:sz w:val="21"/>
                <w:szCs w:val="21"/>
              </w:rPr>
              <w:t>相符</w:t>
            </w:r>
          </w:p>
        </w:tc>
      </w:tr>
      <w:tr w14:paraId="6C463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7" w:type="pct"/>
            <w:gridSpan w:val="2"/>
            <w:tcMar>
              <w:top w:w="85" w:type="dxa"/>
              <w:left w:w="85" w:type="dxa"/>
              <w:bottom w:w="85" w:type="dxa"/>
              <w:right w:w="85" w:type="dxa"/>
            </w:tcMar>
            <w:vAlign w:val="center"/>
          </w:tcPr>
          <w:p w14:paraId="38126F99">
            <w:pPr>
              <w:spacing w:line="240" w:lineRule="auto"/>
              <w:ind w:firstLine="0" w:firstLineChars="0"/>
              <w:jc w:val="center"/>
              <w:rPr>
                <w:color w:val="auto"/>
                <w:sz w:val="21"/>
                <w:szCs w:val="21"/>
              </w:rPr>
            </w:pPr>
            <w:r>
              <w:rPr>
                <w:rFonts w:hint="eastAsia"/>
                <w:color w:val="auto"/>
                <w:sz w:val="21"/>
                <w:szCs w:val="21"/>
              </w:rPr>
              <w:t>无组织管控</w:t>
            </w:r>
          </w:p>
        </w:tc>
        <w:tc>
          <w:tcPr>
            <w:tcW w:w="1708" w:type="pct"/>
            <w:gridSpan w:val="2"/>
            <w:tcMar>
              <w:top w:w="85" w:type="dxa"/>
              <w:left w:w="85" w:type="dxa"/>
              <w:bottom w:w="85" w:type="dxa"/>
              <w:right w:w="85" w:type="dxa"/>
            </w:tcMar>
            <w:vAlign w:val="center"/>
          </w:tcPr>
          <w:p w14:paraId="36BB6525">
            <w:pPr>
              <w:spacing w:line="240" w:lineRule="auto"/>
              <w:ind w:firstLine="0" w:firstLineChars="0"/>
              <w:rPr>
                <w:rFonts w:hint="eastAsia"/>
                <w:color w:val="auto"/>
                <w:sz w:val="21"/>
                <w:szCs w:val="21"/>
              </w:rPr>
            </w:pPr>
            <w:r>
              <w:rPr>
                <w:rFonts w:hint="eastAsia"/>
                <w:color w:val="auto"/>
                <w:sz w:val="21"/>
                <w:szCs w:val="21"/>
              </w:rPr>
              <w:t>1.除尘器应设置密闭灰仓并及时卸灰，除尘灰应通过气力输送、罐车、吨包袋等封闭方式卸灰，不得直接卸落到地面；</w:t>
            </w:r>
          </w:p>
          <w:p w14:paraId="0B8D19A4">
            <w:pPr>
              <w:spacing w:line="240" w:lineRule="auto"/>
              <w:ind w:firstLine="0" w:firstLineChars="0"/>
              <w:rPr>
                <w:rFonts w:hint="eastAsia"/>
                <w:color w:val="auto"/>
                <w:sz w:val="21"/>
                <w:szCs w:val="21"/>
              </w:rPr>
            </w:pPr>
            <w:r>
              <w:rPr>
                <w:rFonts w:hint="eastAsia"/>
                <w:color w:val="auto"/>
                <w:sz w:val="21"/>
                <w:szCs w:val="21"/>
              </w:rPr>
              <w:t>2.除尘灰如果转运应采用气力输送、封闭传送带方式，如果直接外运应采用罐车或袋装后运输，并在装车过程中采取抑尘措施，除尘灰在厂区内应密闭/封闭储存；</w:t>
            </w:r>
          </w:p>
          <w:p w14:paraId="1DAEAD0D">
            <w:pPr>
              <w:spacing w:line="240" w:lineRule="auto"/>
              <w:ind w:firstLine="0" w:firstLineChars="0"/>
              <w:rPr>
                <w:color w:val="auto"/>
                <w:sz w:val="21"/>
                <w:szCs w:val="21"/>
              </w:rPr>
            </w:pPr>
            <w:r>
              <w:rPr>
                <w:rFonts w:hint="eastAsia"/>
                <w:color w:val="auto"/>
                <w:sz w:val="21"/>
                <w:szCs w:val="21"/>
              </w:rPr>
              <w:t>3.脱硫石膏和脱硫废渣等固体废物在厂区内应封闭储存，在转运过程中应采取封闭抑尘措施并应封闭储存。</w:t>
            </w:r>
          </w:p>
        </w:tc>
        <w:tc>
          <w:tcPr>
            <w:tcW w:w="1556" w:type="pct"/>
            <w:tcMar>
              <w:top w:w="85" w:type="dxa"/>
              <w:left w:w="85" w:type="dxa"/>
              <w:bottom w:w="85" w:type="dxa"/>
              <w:right w:w="85" w:type="dxa"/>
            </w:tcMar>
            <w:vAlign w:val="center"/>
          </w:tcPr>
          <w:p w14:paraId="33DB6057">
            <w:pPr>
              <w:spacing w:line="240" w:lineRule="auto"/>
              <w:ind w:firstLine="0" w:firstLineChars="0"/>
              <w:rPr>
                <w:rFonts w:hint="eastAsia" w:eastAsia="宋体"/>
                <w:color w:val="auto"/>
                <w:sz w:val="21"/>
                <w:szCs w:val="21"/>
                <w:lang w:val="en-US" w:eastAsia="zh-CN"/>
              </w:rPr>
            </w:pPr>
            <w:r>
              <w:rPr>
                <w:rFonts w:hint="eastAsia"/>
                <w:color w:val="auto"/>
                <w:sz w:val="21"/>
                <w:szCs w:val="21"/>
                <w:lang w:val="en-US" w:eastAsia="zh-CN"/>
              </w:rPr>
              <w:t>/</w:t>
            </w:r>
          </w:p>
        </w:tc>
        <w:tc>
          <w:tcPr>
            <w:tcW w:w="1122" w:type="pct"/>
            <w:tcMar>
              <w:top w:w="85" w:type="dxa"/>
              <w:left w:w="85" w:type="dxa"/>
              <w:bottom w:w="85" w:type="dxa"/>
              <w:right w:w="85" w:type="dxa"/>
            </w:tcMar>
            <w:vAlign w:val="center"/>
          </w:tcPr>
          <w:p w14:paraId="7140D186">
            <w:pPr>
              <w:spacing w:line="240" w:lineRule="auto"/>
              <w:ind w:firstLine="0" w:firstLineChars="0"/>
              <w:rPr>
                <w:rFonts w:hint="default" w:eastAsia="宋体"/>
                <w:color w:val="auto"/>
                <w:sz w:val="21"/>
                <w:szCs w:val="21"/>
                <w:lang w:val="en-US" w:eastAsia="zh-CN"/>
              </w:rPr>
            </w:pPr>
            <w:r>
              <w:rPr>
                <w:rFonts w:hint="eastAsia"/>
                <w:color w:val="auto"/>
                <w:sz w:val="21"/>
                <w:szCs w:val="21"/>
                <w:lang w:val="en-US" w:eastAsia="zh-CN"/>
              </w:rPr>
              <w:t>项目.除尘器设置密闭灰仓并及时卸灰。</w:t>
            </w:r>
          </w:p>
        </w:tc>
        <w:tc>
          <w:tcPr>
            <w:tcW w:w="234" w:type="pct"/>
            <w:vAlign w:val="center"/>
          </w:tcPr>
          <w:p w14:paraId="579BDE9A">
            <w:pPr>
              <w:spacing w:line="240" w:lineRule="auto"/>
              <w:ind w:firstLine="0" w:firstLineChars="0"/>
              <w:jc w:val="center"/>
              <w:rPr>
                <w:color w:val="auto"/>
                <w:sz w:val="21"/>
                <w:szCs w:val="21"/>
              </w:rPr>
            </w:pPr>
            <w:r>
              <w:rPr>
                <w:rFonts w:hint="eastAsia"/>
                <w:color w:val="auto"/>
                <w:sz w:val="21"/>
                <w:szCs w:val="21"/>
              </w:rPr>
              <w:t>相符</w:t>
            </w:r>
          </w:p>
        </w:tc>
      </w:tr>
      <w:tr w14:paraId="4D840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7" w:type="pct"/>
            <w:gridSpan w:val="2"/>
            <w:tcMar>
              <w:top w:w="85" w:type="dxa"/>
              <w:left w:w="85" w:type="dxa"/>
              <w:bottom w:w="85" w:type="dxa"/>
              <w:right w:w="85" w:type="dxa"/>
            </w:tcMar>
            <w:vAlign w:val="center"/>
          </w:tcPr>
          <w:p w14:paraId="180ACF9B">
            <w:pPr>
              <w:spacing w:line="240" w:lineRule="auto"/>
              <w:ind w:firstLine="0" w:firstLineChars="0"/>
              <w:jc w:val="center"/>
              <w:rPr>
                <w:color w:val="auto"/>
                <w:sz w:val="21"/>
                <w:szCs w:val="21"/>
              </w:rPr>
            </w:pPr>
            <w:r>
              <w:rPr>
                <w:rFonts w:hint="eastAsia"/>
                <w:color w:val="auto"/>
                <w:sz w:val="21"/>
                <w:szCs w:val="21"/>
              </w:rPr>
              <w:t>视频监管</w:t>
            </w:r>
          </w:p>
        </w:tc>
        <w:tc>
          <w:tcPr>
            <w:tcW w:w="1708" w:type="pct"/>
            <w:gridSpan w:val="2"/>
            <w:tcMar>
              <w:top w:w="85" w:type="dxa"/>
              <w:left w:w="85" w:type="dxa"/>
              <w:bottom w:w="85" w:type="dxa"/>
              <w:right w:w="85" w:type="dxa"/>
            </w:tcMar>
            <w:vAlign w:val="center"/>
          </w:tcPr>
          <w:p w14:paraId="5D73676D">
            <w:pPr>
              <w:spacing w:line="240" w:lineRule="auto"/>
              <w:ind w:firstLine="0" w:firstLineChars="0"/>
              <w:rPr>
                <w:color w:val="auto"/>
                <w:sz w:val="21"/>
                <w:szCs w:val="21"/>
              </w:rPr>
            </w:pPr>
            <w:r>
              <w:rPr>
                <w:rFonts w:hint="eastAsia"/>
                <w:color w:val="auto"/>
                <w:sz w:val="21"/>
                <w:szCs w:val="21"/>
              </w:rPr>
              <w:t>未安装自动在线监控的企业，应在主要生产设备（投料口、卸料口等位置）安装视频监控设施，相关数据保存6个月以上。</w:t>
            </w:r>
          </w:p>
        </w:tc>
        <w:tc>
          <w:tcPr>
            <w:tcW w:w="1556" w:type="pct"/>
            <w:tcMar>
              <w:top w:w="85" w:type="dxa"/>
              <w:left w:w="85" w:type="dxa"/>
              <w:bottom w:w="85" w:type="dxa"/>
              <w:right w:w="85" w:type="dxa"/>
            </w:tcMar>
            <w:vAlign w:val="center"/>
          </w:tcPr>
          <w:p w14:paraId="616AE3E1">
            <w:pPr>
              <w:spacing w:line="240" w:lineRule="auto"/>
              <w:ind w:firstLine="0" w:firstLineChars="0"/>
              <w:rPr>
                <w:rFonts w:hint="eastAsia" w:eastAsia="宋体"/>
                <w:color w:val="auto"/>
                <w:sz w:val="21"/>
                <w:szCs w:val="21"/>
                <w:lang w:val="en-US" w:eastAsia="zh-CN"/>
              </w:rPr>
            </w:pPr>
            <w:r>
              <w:rPr>
                <w:rFonts w:hint="eastAsia"/>
                <w:color w:val="auto"/>
                <w:sz w:val="21"/>
                <w:szCs w:val="21"/>
                <w:lang w:val="en-US" w:eastAsia="zh-CN"/>
              </w:rPr>
              <w:t>/</w:t>
            </w:r>
          </w:p>
        </w:tc>
        <w:tc>
          <w:tcPr>
            <w:tcW w:w="1122" w:type="pct"/>
            <w:tcMar>
              <w:top w:w="85" w:type="dxa"/>
              <w:left w:w="85" w:type="dxa"/>
              <w:bottom w:w="85" w:type="dxa"/>
              <w:right w:w="85" w:type="dxa"/>
            </w:tcMar>
            <w:vAlign w:val="center"/>
          </w:tcPr>
          <w:p w14:paraId="3A4323F6">
            <w:pPr>
              <w:spacing w:line="240" w:lineRule="auto"/>
              <w:ind w:firstLine="0" w:firstLineChars="0"/>
              <w:rPr>
                <w:rFonts w:hint="default" w:eastAsia="宋体"/>
                <w:color w:val="auto"/>
                <w:sz w:val="21"/>
                <w:szCs w:val="21"/>
                <w:lang w:val="en-US" w:eastAsia="zh-CN"/>
              </w:rPr>
            </w:pPr>
            <w:r>
              <w:rPr>
                <w:rFonts w:hint="eastAsia"/>
                <w:color w:val="auto"/>
                <w:sz w:val="21"/>
                <w:szCs w:val="21"/>
                <w:lang w:val="en-US" w:eastAsia="zh-CN"/>
              </w:rPr>
              <w:t>项目在生产车间内（比如药材投料口、粉碎筛分设备、产品卸料处等位置）安装视频监控，并保证硬盘容量可保存6个月的数据。</w:t>
            </w:r>
          </w:p>
        </w:tc>
        <w:tc>
          <w:tcPr>
            <w:tcW w:w="234" w:type="pct"/>
            <w:vAlign w:val="center"/>
          </w:tcPr>
          <w:p w14:paraId="2A3C0CA6">
            <w:pPr>
              <w:spacing w:line="240" w:lineRule="auto"/>
              <w:ind w:firstLine="0" w:firstLineChars="0"/>
              <w:jc w:val="center"/>
              <w:rPr>
                <w:color w:val="auto"/>
                <w:sz w:val="21"/>
                <w:szCs w:val="21"/>
              </w:rPr>
            </w:pPr>
            <w:r>
              <w:rPr>
                <w:rFonts w:hint="eastAsia"/>
                <w:color w:val="auto"/>
                <w:sz w:val="21"/>
                <w:szCs w:val="21"/>
              </w:rPr>
              <w:t>相符</w:t>
            </w:r>
          </w:p>
        </w:tc>
      </w:tr>
      <w:tr w14:paraId="240EF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7" w:type="pct"/>
            <w:gridSpan w:val="2"/>
            <w:tcMar>
              <w:top w:w="85" w:type="dxa"/>
              <w:left w:w="85" w:type="dxa"/>
              <w:bottom w:w="85" w:type="dxa"/>
              <w:right w:w="85" w:type="dxa"/>
            </w:tcMar>
            <w:vAlign w:val="center"/>
          </w:tcPr>
          <w:p w14:paraId="39679939">
            <w:pPr>
              <w:spacing w:line="240" w:lineRule="auto"/>
              <w:ind w:firstLine="0" w:firstLineChars="0"/>
              <w:jc w:val="center"/>
              <w:rPr>
                <w:color w:val="auto"/>
                <w:sz w:val="21"/>
                <w:szCs w:val="21"/>
              </w:rPr>
            </w:pPr>
            <w:r>
              <w:rPr>
                <w:rFonts w:hint="eastAsia"/>
                <w:color w:val="auto"/>
                <w:sz w:val="21"/>
                <w:szCs w:val="21"/>
              </w:rPr>
              <w:t>厂容厂貌</w:t>
            </w:r>
          </w:p>
        </w:tc>
        <w:tc>
          <w:tcPr>
            <w:tcW w:w="3265" w:type="pct"/>
            <w:gridSpan w:val="3"/>
            <w:tcMar>
              <w:top w:w="85" w:type="dxa"/>
              <w:left w:w="85" w:type="dxa"/>
              <w:bottom w:w="85" w:type="dxa"/>
              <w:right w:w="85" w:type="dxa"/>
            </w:tcMar>
            <w:vAlign w:val="center"/>
          </w:tcPr>
          <w:p w14:paraId="559E2DF2">
            <w:pPr>
              <w:spacing w:line="240" w:lineRule="auto"/>
              <w:ind w:firstLine="0" w:firstLineChars="0"/>
              <w:rPr>
                <w:rFonts w:hint="eastAsia"/>
                <w:color w:val="auto"/>
                <w:sz w:val="21"/>
                <w:szCs w:val="21"/>
              </w:rPr>
            </w:pPr>
            <w:r>
              <w:rPr>
                <w:rFonts w:hint="eastAsia"/>
                <w:color w:val="auto"/>
                <w:sz w:val="21"/>
                <w:szCs w:val="21"/>
              </w:rPr>
              <w:t>1.厂区内道路、原辅材料和燃料堆场等路面应硬化；</w:t>
            </w:r>
          </w:p>
          <w:p w14:paraId="4F33BFED">
            <w:pPr>
              <w:spacing w:line="240" w:lineRule="auto"/>
              <w:ind w:firstLine="0" w:firstLineChars="0"/>
              <w:rPr>
                <w:rFonts w:hint="eastAsia"/>
                <w:color w:val="auto"/>
                <w:sz w:val="21"/>
                <w:szCs w:val="21"/>
              </w:rPr>
            </w:pPr>
            <w:r>
              <w:rPr>
                <w:rFonts w:hint="eastAsia"/>
                <w:color w:val="auto"/>
                <w:sz w:val="21"/>
                <w:szCs w:val="21"/>
              </w:rPr>
              <w:t>2.厂区内道路采取定期清扫、洒水等措施，保持清洁，路面无明显可见积尘；</w:t>
            </w:r>
          </w:p>
          <w:p w14:paraId="119C1EBE">
            <w:pPr>
              <w:spacing w:line="240" w:lineRule="auto"/>
              <w:ind w:firstLine="0" w:firstLineChars="0"/>
              <w:rPr>
                <w:rFonts w:hint="eastAsia"/>
                <w:color w:val="auto"/>
                <w:sz w:val="21"/>
                <w:szCs w:val="21"/>
              </w:rPr>
            </w:pPr>
            <w:r>
              <w:rPr>
                <w:rFonts w:hint="eastAsia"/>
                <w:color w:val="auto"/>
                <w:sz w:val="21"/>
                <w:szCs w:val="21"/>
              </w:rPr>
              <w:t>3.其他未利用地优先绿化，或进行硬化，无成片裸露土地。</w:t>
            </w:r>
          </w:p>
        </w:tc>
        <w:tc>
          <w:tcPr>
            <w:tcW w:w="1122" w:type="pct"/>
            <w:tcMar>
              <w:top w:w="85" w:type="dxa"/>
              <w:left w:w="85" w:type="dxa"/>
              <w:bottom w:w="85" w:type="dxa"/>
              <w:right w:w="85" w:type="dxa"/>
            </w:tcMar>
            <w:vAlign w:val="center"/>
          </w:tcPr>
          <w:p w14:paraId="1F8E9E73">
            <w:pPr>
              <w:spacing w:line="240" w:lineRule="auto"/>
              <w:ind w:firstLine="0" w:firstLineChars="0"/>
              <w:rPr>
                <w:rFonts w:hint="default" w:eastAsia="宋体"/>
                <w:color w:val="auto"/>
                <w:sz w:val="21"/>
                <w:szCs w:val="21"/>
                <w:lang w:val="en-US" w:eastAsia="zh-CN"/>
              </w:rPr>
            </w:pPr>
            <w:r>
              <w:rPr>
                <w:rFonts w:hint="eastAsia"/>
                <w:color w:val="auto"/>
                <w:sz w:val="21"/>
                <w:szCs w:val="21"/>
                <w:lang w:val="en-US" w:eastAsia="zh-CN"/>
              </w:rPr>
              <w:t>项目建成后应对全厂车间和道路进行硬化，未利用区域进行绿化</w:t>
            </w:r>
          </w:p>
        </w:tc>
        <w:tc>
          <w:tcPr>
            <w:tcW w:w="234" w:type="pct"/>
            <w:vAlign w:val="center"/>
          </w:tcPr>
          <w:p w14:paraId="55D5CB29">
            <w:pPr>
              <w:spacing w:line="240" w:lineRule="auto"/>
              <w:ind w:firstLine="0" w:firstLineChars="0"/>
              <w:jc w:val="center"/>
              <w:rPr>
                <w:color w:val="auto"/>
                <w:sz w:val="21"/>
                <w:szCs w:val="21"/>
              </w:rPr>
            </w:pPr>
            <w:r>
              <w:rPr>
                <w:rFonts w:hint="eastAsia"/>
                <w:color w:val="auto"/>
                <w:sz w:val="21"/>
                <w:szCs w:val="21"/>
              </w:rPr>
              <w:t>相符</w:t>
            </w:r>
          </w:p>
        </w:tc>
      </w:tr>
      <w:tr w14:paraId="0D9E9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4" w:type="pct"/>
            <w:vMerge w:val="restart"/>
            <w:tcMar>
              <w:top w:w="85" w:type="dxa"/>
              <w:left w:w="85" w:type="dxa"/>
              <w:bottom w:w="85" w:type="dxa"/>
              <w:right w:w="85" w:type="dxa"/>
            </w:tcMar>
            <w:vAlign w:val="center"/>
          </w:tcPr>
          <w:p w14:paraId="4E198196">
            <w:pPr>
              <w:spacing w:line="240" w:lineRule="auto"/>
              <w:ind w:firstLine="0" w:firstLineChars="0"/>
              <w:jc w:val="center"/>
              <w:rPr>
                <w:rFonts w:hint="eastAsia"/>
                <w:color w:val="auto"/>
                <w:sz w:val="21"/>
                <w:szCs w:val="21"/>
              </w:rPr>
            </w:pPr>
            <w:r>
              <w:rPr>
                <w:rFonts w:hint="eastAsia"/>
                <w:color w:val="auto"/>
                <w:sz w:val="21"/>
                <w:szCs w:val="21"/>
              </w:rPr>
              <w:t>环境</w:t>
            </w:r>
          </w:p>
          <w:p w14:paraId="6B757D3A">
            <w:pPr>
              <w:spacing w:line="240" w:lineRule="auto"/>
              <w:ind w:firstLine="0" w:firstLineChars="0"/>
              <w:jc w:val="center"/>
              <w:rPr>
                <w:rFonts w:hint="eastAsia"/>
                <w:color w:val="auto"/>
                <w:sz w:val="21"/>
                <w:szCs w:val="21"/>
              </w:rPr>
            </w:pPr>
            <w:r>
              <w:rPr>
                <w:rFonts w:hint="eastAsia"/>
                <w:color w:val="auto"/>
                <w:sz w:val="21"/>
                <w:szCs w:val="21"/>
              </w:rPr>
              <w:t>管理</w:t>
            </w:r>
          </w:p>
          <w:p w14:paraId="46FD1BE4">
            <w:pPr>
              <w:spacing w:line="240" w:lineRule="auto"/>
              <w:ind w:firstLine="0" w:firstLineChars="0"/>
              <w:jc w:val="center"/>
              <w:rPr>
                <w:rFonts w:hint="eastAsia"/>
                <w:color w:val="auto"/>
                <w:sz w:val="21"/>
                <w:szCs w:val="21"/>
              </w:rPr>
            </w:pPr>
            <w:r>
              <w:rPr>
                <w:rFonts w:hint="eastAsia"/>
                <w:color w:val="auto"/>
                <w:sz w:val="21"/>
                <w:szCs w:val="21"/>
              </w:rPr>
              <w:t>水平</w:t>
            </w:r>
          </w:p>
        </w:tc>
        <w:tc>
          <w:tcPr>
            <w:tcW w:w="122" w:type="pct"/>
            <w:tcMar>
              <w:top w:w="85" w:type="dxa"/>
              <w:left w:w="85" w:type="dxa"/>
              <w:bottom w:w="85" w:type="dxa"/>
              <w:right w:w="85" w:type="dxa"/>
            </w:tcMar>
            <w:vAlign w:val="center"/>
          </w:tcPr>
          <w:p w14:paraId="049086D7">
            <w:pPr>
              <w:spacing w:line="240" w:lineRule="auto"/>
              <w:ind w:firstLine="0" w:firstLineChars="0"/>
              <w:jc w:val="center"/>
              <w:rPr>
                <w:rFonts w:hint="eastAsia"/>
                <w:color w:val="auto"/>
                <w:sz w:val="21"/>
                <w:szCs w:val="21"/>
              </w:rPr>
            </w:pPr>
            <w:r>
              <w:rPr>
                <w:rFonts w:hint="eastAsia"/>
                <w:color w:val="auto"/>
                <w:sz w:val="21"/>
                <w:szCs w:val="21"/>
              </w:rPr>
              <w:t>环保</w:t>
            </w:r>
          </w:p>
          <w:p w14:paraId="122DBD1C">
            <w:pPr>
              <w:spacing w:line="240" w:lineRule="auto"/>
              <w:ind w:firstLine="0" w:firstLineChars="0"/>
              <w:jc w:val="center"/>
              <w:rPr>
                <w:rFonts w:hint="eastAsia"/>
                <w:color w:val="auto"/>
                <w:sz w:val="21"/>
                <w:szCs w:val="21"/>
              </w:rPr>
            </w:pPr>
            <w:r>
              <w:rPr>
                <w:rFonts w:hint="eastAsia"/>
                <w:color w:val="auto"/>
                <w:sz w:val="21"/>
                <w:szCs w:val="21"/>
              </w:rPr>
              <w:t>档案</w:t>
            </w:r>
          </w:p>
        </w:tc>
        <w:tc>
          <w:tcPr>
            <w:tcW w:w="3265" w:type="pct"/>
            <w:gridSpan w:val="3"/>
            <w:tcMar>
              <w:top w:w="85" w:type="dxa"/>
              <w:left w:w="85" w:type="dxa"/>
              <w:bottom w:w="85" w:type="dxa"/>
              <w:right w:w="85" w:type="dxa"/>
            </w:tcMar>
            <w:vAlign w:val="center"/>
          </w:tcPr>
          <w:p w14:paraId="1BE6C445">
            <w:pPr>
              <w:spacing w:line="240" w:lineRule="auto"/>
              <w:ind w:firstLine="0" w:firstLineChars="0"/>
              <w:rPr>
                <w:rFonts w:hint="eastAsia"/>
                <w:color w:val="auto"/>
                <w:sz w:val="21"/>
                <w:szCs w:val="21"/>
              </w:rPr>
            </w:pPr>
            <w:r>
              <w:rPr>
                <w:rFonts w:hint="eastAsia"/>
                <w:color w:val="auto"/>
                <w:sz w:val="21"/>
                <w:szCs w:val="21"/>
              </w:rPr>
              <w:t>1.环评批复文件和竣工验收文件/现状评估文件；</w:t>
            </w:r>
          </w:p>
          <w:p w14:paraId="2A3685BC">
            <w:pPr>
              <w:spacing w:line="240" w:lineRule="auto"/>
              <w:ind w:firstLine="0" w:firstLineChars="0"/>
              <w:rPr>
                <w:rFonts w:hint="eastAsia"/>
                <w:color w:val="auto"/>
                <w:sz w:val="21"/>
                <w:szCs w:val="21"/>
              </w:rPr>
            </w:pPr>
            <w:r>
              <w:rPr>
                <w:rFonts w:hint="eastAsia"/>
                <w:color w:val="auto"/>
                <w:sz w:val="21"/>
                <w:szCs w:val="21"/>
              </w:rPr>
              <w:t>2.废气治理设施运行管理规程；</w:t>
            </w:r>
          </w:p>
          <w:p w14:paraId="6CEA4224">
            <w:pPr>
              <w:spacing w:line="240" w:lineRule="auto"/>
              <w:ind w:firstLine="0" w:firstLineChars="0"/>
              <w:rPr>
                <w:rFonts w:hint="eastAsia"/>
                <w:color w:val="auto"/>
                <w:sz w:val="21"/>
                <w:szCs w:val="21"/>
              </w:rPr>
            </w:pPr>
            <w:r>
              <w:rPr>
                <w:rFonts w:hint="eastAsia"/>
                <w:color w:val="auto"/>
                <w:sz w:val="21"/>
                <w:szCs w:val="21"/>
              </w:rPr>
              <w:t>3.一年内废气监测报告；</w:t>
            </w:r>
          </w:p>
          <w:p w14:paraId="4A0E687E">
            <w:pPr>
              <w:spacing w:line="240" w:lineRule="auto"/>
              <w:ind w:firstLine="0" w:firstLineChars="0"/>
              <w:rPr>
                <w:rFonts w:hint="eastAsia"/>
                <w:color w:val="auto"/>
                <w:sz w:val="21"/>
                <w:szCs w:val="21"/>
              </w:rPr>
            </w:pPr>
            <w:r>
              <w:rPr>
                <w:rFonts w:hint="eastAsia"/>
                <w:color w:val="auto"/>
                <w:sz w:val="21"/>
                <w:szCs w:val="21"/>
              </w:rPr>
              <w:t>4.国家版排污许可证，并按要求开展自行监测和信息披露，规范设置废气排放口标志牌、二维码标识和采样平台、采样孔。</w:t>
            </w:r>
          </w:p>
        </w:tc>
        <w:tc>
          <w:tcPr>
            <w:tcW w:w="1122" w:type="pct"/>
            <w:vMerge w:val="restart"/>
            <w:tcMar>
              <w:top w:w="85" w:type="dxa"/>
              <w:left w:w="85" w:type="dxa"/>
              <w:bottom w:w="85" w:type="dxa"/>
              <w:right w:w="85" w:type="dxa"/>
            </w:tcMar>
            <w:vAlign w:val="center"/>
          </w:tcPr>
          <w:p w14:paraId="09999DFD">
            <w:pPr>
              <w:spacing w:line="240" w:lineRule="auto"/>
              <w:ind w:firstLine="0" w:firstLineChars="0"/>
              <w:rPr>
                <w:rFonts w:hint="eastAsia"/>
                <w:color w:val="auto"/>
                <w:sz w:val="21"/>
                <w:szCs w:val="21"/>
              </w:rPr>
            </w:pPr>
            <w:r>
              <w:rPr>
                <w:rFonts w:hint="eastAsia"/>
                <w:color w:val="auto"/>
                <w:sz w:val="21"/>
                <w:szCs w:val="21"/>
              </w:rPr>
              <w:t>项目建成后按环境管理水平要求整理环保档案、台账记录、人员配置等。</w:t>
            </w:r>
          </w:p>
        </w:tc>
        <w:tc>
          <w:tcPr>
            <w:tcW w:w="234" w:type="pct"/>
            <w:vAlign w:val="center"/>
          </w:tcPr>
          <w:p w14:paraId="0FADB1C4">
            <w:pPr>
              <w:spacing w:line="240" w:lineRule="auto"/>
              <w:ind w:firstLine="0" w:firstLineChars="0"/>
              <w:jc w:val="center"/>
              <w:rPr>
                <w:rFonts w:hint="eastAsia"/>
                <w:color w:val="auto"/>
                <w:sz w:val="21"/>
                <w:szCs w:val="21"/>
              </w:rPr>
            </w:pPr>
            <w:r>
              <w:rPr>
                <w:rFonts w:hint="eastAsia"/>
                <w:color w:val="auto"/>
                <w:sz w:val="21"/>
                <w:szCs w:val="21"/>
              </w:rPr>
              <w:t>相符</w:t>
            </w:r>
          </w:p>
        </w:tc>
      </w:tr>
      <w:tr w14:paraId="6D446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4" w:type="pct"/>
            <w:vMerge w:val="continue"/>
            <w:tcMar>
              <w:top w:w="85" w:type="dxa"/>
              <w:left w:w="85" w:type="dxa"/>
              <w:bottom w:w="85" w:type="dxa"/>
              <w:right w:w="85" w:type="dxa"/>
            </w:tcMar>
            <w:vAlign w:val="center"/>
          </w:tcPr>
          <w:p w14:paraId="72CCDB3B">
            <w:pPr>
              <w:spacing w:line="240" w:lineRule="auto"/>
              <w:ind w:firstLine="0" w:firstLineChars="0"/>
              <w:jc w:val="center"/>
              <w:rPr>
                <w:rFonts w:hint="eastAsia"/>
                <w:color w:val="auto"/>
                <w:sz w:val="21"/>
                <w:szCs w:val="21"/>
              </w:rPr>
            </w:pPr>
          </w:p>
        </w:tc>
        <w:tc>
          <w:tcPr>
            <w:tcW w:w="122" w:type="pct"/>
            <w:tcMar>
              <w:top w:w="85" w:type="dxa"/>
              <w:left w:w="85" w:type="dxa"/>
              <w:bottom w:w="85" w:type="dxa"/>
              <w:right w:w="85" w:type="dxa"/>
            </w:tcMar>
            <w:vAlign w:val="center"/>
          </w:tcPr>
          <w:p w14:paraId="4090A1E6">
            <w:pPr>
              <w:spacing w:line="240" w:lineRule="auto"/>
              <w:ind w:firstLine="0" w:firstLineChars="0"/>
              <w:jc w:val="center"/>
              <w:rPr>
                <w:rFonts w:hint="eastAsia"/>
                <w:color w:val="auto"/>
                <w:sz w:val="21"/>
                <w:szCs w:val="21"/>
              </w:rPr>
            </w:pPr>
            <w:r>
              <w:rPr>
                <w:rFonts w:hint="eastAsia"/>
                <w:color w:val="auto"/>
                <w:sz w:val="21"/>
                <w:szCs w:val="21"/>
              </w:rPr>
              <w:t>台账</w:t>
            </w:r>
          </w:p>
          <w:p w14:paraId="4086DFC6">
            <w:pPr>
              <w:spacing w:line="240" w:lineRule="auto"/>
              <w:ind w:firstLine="0" w:firstLineChars="0"/>
              <w:jc w:val="center"/>
              <w:rPr>
                <w:rFonts w:hint="eastAsia"/>
                <w:color w:val="auto"/>
                <w:sz w:val="21"/>
                <w:szCs w:val="21"/>
              </w:rPr>
            </w:pPr>
            <w:r>
              <w:rPr>
                <w:rFonts w:hint="eastAsia"/>
                <w:color w:val="auto"/>
                <w:sz w:val="21"/>
                <w:szCs w:val="21"/>
              </w:rPr>
              <w:t>记录</w:t>
            </w:r>
          </w:p>
        </w:tc>
        <w:tc>
          <w:tcPr>
            <w:tcW w:w="1708" w:type="pct"/>
            <w:gridSpan w:val="2"/>
            <w:tcMar>
              <w:top w:w="85" w:type="dxa"/>
              <w:left w:w="85" w:type="dxa"/>
              <w:bottom w:w="85" w:type="dxa"/>
              <w:right w:w="85" w:type="dxa"/>
            </w:tcMar>
            <w:vAlign w:val="center"/>
          </w:tcPr>
          <w:p w14:paraId="7899644C">
            <w:pPr>
              <w:spacing w:line="240" w:lineRule="auto"/>
              <w:ind w:firstLine="0" w:firstLineChars="0"/>
              <w:rPr>
                <w:rFonts w:hint="eastAsia"/>
                <w:color w:val="auto"/>
                <w:sz w:val="21"/>
                <w:szCs w:val="21"/>
              </w:rPr>
            </w:pPr>
            <w:r>
              <w:rPr>
                <w:rFonts w:hint="eastAsia"/>
                <w:color w:val="auto"/>
                <w:sz w:val="21"/>
                <w:szCs w:val="21"/>
              </w:rPr>
              <w:t>1.生产设施运行管理信息（生产时间、运行负荷、产品产量等））；</w:t>
            </w:r>
          </w:p>
          <w:p w14:paraId="5958263A">
            <w:pPr>
              <w:spacing w:line="240" w:lineRule="auto"/>
              <w:ind w:firstLine="0" w:firstLineChars="0"/>
              <w:rPr>
                <w:rFonts w:hint="eastAsia"/>
                <w:color w:val="auto"/>
                <w:sz w:val="21"/>
                <w:szCs w:val="21"/>
              </w:rPr>
            </w:pPr>
            <w:r>
              <w:rPr>
                <w:rFonts w:hint="eastAsia"/>
                <w:color w:val="auto"/>
                <w:sz w:val="21"/>
                <w:szCs w:val="21"/>
              </w:rPr>
              <w:t>2.废气污染治理设施运行管理信息（除尘滤料等更换量和时间））；</w:t>
            </w:r>
          </w:p>
          <w:p w14:paraId="42A58494">
            <w:pPr>
              <w:spacing w:line="240" w:lineRule="auto"/>
              <w:ind w:firstLine="0" w:firstLineChars="0"/>
              <w:rPr>
                <w:rFonts w:hint="eastAsia"/>
                <w:color w:val="auto"/>
                <w:sz w:val="21"/>
                <w:szCs w:val="21"/>
              </w:rPr>
            </w:pPr>
            <w:r>
              <w:rPr>
                <w:rFonts w:hint="eastAsia"/>
                <w:color w:val="auto"/>
                <w:sz w:val="21"/>
                <w:szCs w:val="21"/>
              </w:rPr>
              <w:t>3.监测记录信息（主要污染排放口废气排放记录（手工监测和在线监测）等））；</w:t>
            </w:r>
          </w:p>
          <w:p w14:paraId="32D977C2">
            <w:pPr>
              <w:spacing w:line="240" w:lineRule="auto"/>
              <w:ind w:firstLine="0" w:firstLineChars="0"/>
              <w:rPr>
                <w:rFonts w:hint="eastAsia"/>
                <w:color w:val="auto"/>
                <w:sz w:val="21"/>
                <w:szCs w:val="21"/>
              </w:rPr>
            </w:pPr>
            <w:r>
              <w:rPr>
                <w:rFonts w:hint="eastAsia"/>
                <w:color w:val="auto"/>
                <w:sz w:val="21"/>
                <w:szCs w:val="21"/>
              </w:rPr>
              <w:t>4.主要原辅材料、燃料消耗记录；</w:t>
            </w:r>
          </w:p>
          <w:p w14:paraId="528002AD">
            <w:pPr>
              <w:spacing w:line="240" w:lineRule="auto"/>
              <w:ind w:firstLine="0" w:firstLineChars="0"/>
              <w:rPr>
                <w:color w:val="auto"/>
                <w:sz w:val="21"/>
                <w:szCs w:val="21"/>
              </w:rPr>
            </w:pPr>
            <w:r>
              <w:rPr>
                <w:rFonts w:hint="eastAsia"/>
                <w:color w:val="auto"/>
                <w:sz w:val="21"/>
                <w:szCs w:val="21"/>
              </w:rPr>
              <w:t>5.电消耗记录。</w:t>
            </w:r>
          </w:p>
        </w:tc>
        <w:tc>
          <w:tcPr>
            <w:tcW w:w="1556" w:type="pct"/>
            <w:tcMar>
              <w:top w:w="85" w:type="dxa"/>
              <w:left w:w="85" w:type="dxa"/>
              <w:bottom w:w="85" w:type="dxa"/>
              <w:right w:w="85" w:type="dxa"/>
            </w:tcMar>
            <w:vAlign w:val="center"/>
          </w:tcPr>
          <w:p w14:paraId="544B2699">
            <w:pPr>
              <w:spacing w:line="240" w:lineRule="auto"/>
              <w:ind w:firstLine="0" w:firstLineChars="0"/>
              <w:rPr>
                <w:rFonts w:hint="eastAsia"/>
                <w:color w:val="auto"/>
                <w:sz w:val="21"/>
                <w:szCs w:val="21"/>
              </w:rPr>
            </w:pPr>
            <w:r>
              <w:rPr>
                <w:rFonts w:hint="eastAsia"/>
                <w:color w:val="auto"/>
                <w:sz w:val="21"/>
                <w:szCs w:val="21"/>
              </w:rPr>
              <w:t>1.生产设施运行管理信息（生产时间、运行负荷、产品产量等））；</w:t>
            </w:r>
          </w:p>
          <w:p w14:paraId="37204FCB">
            <w:pPr>
              <w:spacing w:line="240" w:lineRule="auto"/>
              <w:ind w:firstLine="0" w:firstLineChars="0"/>
              <w:rPr>
                <w:rFonts w:hint="eastAsia"/>
                <w:color w:val="auto"/>
                <w:sz w:val="21"/>
                <w:szCs w:val="21"/>
              </w:rPr>
            </w:pPr>
            <w:r>
              <w:rPr>
                <w:rFonts w:hint="eastAsia"/>
                <w:color w:val="auto"/>
                <w:sz w:val="21"/>
                <w:szCs w:val="21"/>
              </w:rPr>
              <w:t>2.废气污染治理设施运行管理信息（除尘滤料、活性炭等更换量和时间））；</w:t>
            </w:r>
          </w:p>
          <w:p w14:paraId="5C23EEBE">
            <w:pPr>
              <w:spacing w:line="240" w:lineRule="auto"/>
              <w:ind w:firstLine="0" w:firstLineChars="0"/>
              <w:rPr>
                <w:rFonts w:hint="eastAsia"/>
                <w:color w:val="auto"/>
                <w:sz w:val="21"/>
                <w:szCs w:val="21"/>
              </w:rPr>
            </w:pPr>
            <w:r>
              <w:rPr>
                <w:rFonts w:hint="eastAsia"/>
                <w:color w:val="auto"/>
                <w:sz w:val="21"/>
                <w:szCs w:val="21"/>
              </w:rPr>
              <w:t>3.监测记录信息（主要污染排放口废气排放记录（手工监测和在线监测）等））；</w:t>
            </w:r>
          </w:p>
          <w:p w14:paraId="28ECCC4E">
            <w:pPr>
              <w:spacing w:line="240" w:lineRule="auto"/>
              <w:ind w:firstLine="0" w:firstLineChars="0"/>
              <w:rPr>
                <w:rFonts w:hint="eastAsia"/>
                <w:color w:val="auto"/>
                <w:sz w:val="21"/>
                <w:szCs w:val="21"/>
              </w:rPr>
            </w:pPr>
            <w:r>
              <w:rPr>
                <w:rFonts w:hint="eastAsia"/>
                <w:color w:val="auto"/>
                <w:sz w:val="21"/>
                <w:szCs w:val="21"/>
              </w:rPr>
              <w:t>4.主要原辅材料、燃料消耗记录；</w:t>
            </w:r>
          </w:p>
          <w:p w14:paraId="7735D0D8">
            <w:pPr>
              <w:spacing w:line="240" w:lineRule="auto"/>
              <w:ind w:firstLine="0" w:firstLineChars="0"/>
              <w:rPr>
                <w:rFonts w:hint="eastAsia"/>
                <w:color w:val="auto"/>
                <w:sz w:val="21"/>
                <w:szCs w:val="21"/>
              </w:rPr>
            </w:pPr>
            <w:r>
              <w:rPr>
                <w:rFonts w:hint="eastAsia"/>
                <w:color w:val="auto"/>
                <w:sz w:val="21"/>
                <w:szCs w:val="21"/>
              </w:rPr>
              <w:t>5.电消耗记录。</w:t>
            </w:r>
          </w:p>
        </w:tc>
        <w:tc>
          <w:tcPr>
            <w:tcW w:w="1122" w:type="pct"/>
            <w:vMerge w:val="continue"/>
            <w:tcMar>
              <w:top w:w="85" w:type="dxa"/>
              <w:left w:w="85" w:type="dxa"/>
              <w:bottom w:w="85" w:type="dxa"/>
              <w:right w:w="85" w:type="dxa"/>
            </w:tcMar>
            <w:vAlign w:val="center"/>
          </w:tcPr>
          <w:p w14:paraId="29B7DCD3">
            <w:pPr>
              <w:spacing w:line="240" w:lineRule="auto"/>
              <w:ind w:firstLine="0" w:firstLineChars="0"/>
              <w:rPr>
                <w:rFonts w:hint="eastAsia"/>
                <w:color w:val="auto"/>
                <w:sz w:val="21"/>
                <w:szCs w:val="21"/>
              </w:rPr>
            </w:pPr>
          </w:p>
        </w:tc>
        <w:tc>
          <w:tcPr>
            <w:tcW w:w="234" w:type="pct"/>
            <w:vAlign w:val="center"/>
          </w:tcPr>
          <w:p w14:paraId="15E4BDC9">
            <w:pPr>
              <w:spacing w:line="240" w:lineRule="auto"/>
              <w:ind w:firstLine="0" w:firstLineChars="0"/>
              <w:jc w:val="center"/>
              <w:rPr>
                <w:rFonts w:hint="eastAsia"/>
                <w:color w:val="auto"/>
                <w:sz w:val="21"/>
                <w:szCs w:val="21"/>
              </w:rPr>
            </w:pPr>
            <w:r>
              <w:rPr>
                <w:rFonts w:hint="eastAsia"/>
                <w:color w:val="auto"/>
                <w:sz w:val="21"/>
                <w:szCs w:val="21"/>
              </w:rPr>
              <w:t>相符</w:t>
            </w:r>
          </w:p>
        </w:tc>
      </w:tr>
      <w:tr w14:paraId="175A8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4" w:type="pct"/>
            <w:vMerge w:val="continue"/>
            <w:tcMar>
              <w:top w:w="85" w:type="dxa"/>
              <w:left w:w="85" w:type="dxa"/>
              <w:bottom w:w="85" w:type="dxa"/>
              <w:right w:w="85" w:type="dxa"/>
            </w:tcMar>
            <w:vAlign w:val="center"/>
          </w:tcPr>
          <w:p w14:paraId="2DE286E2">
            <w:pPr>
              <w:spacing w:line="240" w:lineRule="auto"/>
              <w:ind w:firstLine="0" w:firstLineChars="0"/>
              <w:jc w:val="center"/>
              <w:rPr>
                <w:rFonts w:hint="eastAsia"/>
                <w:color w:val="auto"/>
                <w:sz w:val="21"/>
                <w:szCs w:val="21"/>
              </w:rPr>
            </w:pPr>
          </w:p>
        </w:tc>
        <w:tc>
          <w:tcPr>
            <w:tcW w:w="122" w:type="pct"/>
            <w:shd w:val="clear" w:color="auto" w:fill="auto"/>
            <w:tcMar>
              <w:top w:w="85" w:type="dxa"/>
              <w:left w:w="85" w:type="dxa"/>
              <w:bottom w:w="85" w:type="dxa"/>
              <w:right w:w="85" w:type="dxa"/>
            </w:tcMar>
            <w:vAlign w:val="center"/>
          </w:tcPr>
          <w:p w14:paraId="2066D24F">
            <w:pPr>
              <w:spacing w:line="240" w:lineRule="auto"/>
              <w:ind w:firstLine="0" w:firstLineChars="0"/>
              <w:jc w:val="center"/>
              <w:rPr>
                <w:rFonts w:hint="eastAsia"/>
                <w:color w:val="auto"/>
                <w:sz w:val="21"/>
                <w:szCs w:val="21"/>
              </w:rPr>
            </w:pPr>
            <w:r>
              <w:rPr>
                <w:rFonts w:hint="eastAsia"/>
                <w:color w:val="auto"/>
                <w:sz w:val="21"/>
                <w:szCs w:val="21"/>
              </w:rPr>
              <w:t>人员</w:t>
            </w:r>
          </w:p>
          <w:p w14:paraId="71ED027C">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配置</w:t>
            </w:r>
          </w:p>
        </w:tc>
        <w:tc>
          <w:tcPr>
            <w:tcW w:w="3265" w:type="pct"/>
            <w:gridSpan w:val="3"/>
            <w:tcMar>
              <w:top w:w="85" w:type="dxa"/>
              <w:left w:w="85" w:type="dxa"/>
              <w:bottom w:w="85" w:type="dxa"/>
              <w:right w:w="85" w:type="dxa"/>
            </w:tcMar>
            <w:vAlign w:val="center"/>
          </w:tcPr>
          <w:p w14:paraId="44A8C7AA">
            <w:pPr>
              <w:spacing w:line="240" w:lineRule="auto"/>
              <w:ind w:firstLine="0" w:firstLineChars="0"/>
              <w:rPr>
                <w:rFonts w:hint="eastAsia" w:eastAsia="宋体"/>
                <w:color w:val="auto"/>
                <w:sz w:val="21"/>
                <w:szCs w:val="21"/>
                <w:lang w:eastAsia="zh-CN"/>
              </w:rPr>
            </w:pPr>
            <w:r>
              <w:rPr>
                <w:rFonts w:hint="eastAsia"/>
                <w:color w:val="auto"/>
                <w:sz w:val="21"/>
                <w:szCs w:val="21"/>
              </w:rPr>
              <w:t>配备专职环保人员，并具备相应的环境管理能力（学历、培训、从业经验等））</w:t>
            </w:r>
          </w:p>
        </w:tc>
        <w:tc>
          <w:tcPr>
            <w:tcW w:w="1122" w:type="pct"/>
            <w:vMerge w:val="continue"/>
            <w:tcMar>
              <w:top w:w="85" w:type="dxa"/>
              <w:left w:w="85" w:type="dxa"/>
              <w:bottom w:w="85" w:type="dxa"/>
              <w:right w:w="85" w:type="dxa"/>
            </w:tcMar>
            <w:vAlign w:val="center"/>
          </w:tcPr>
          <w:p w14:paraId="5A5AF731">
            <w:pPr>
              <w:spacing w:line="240" w:lineRule="auto"/>
              <w:ind w:firstLine="0" w:firstLineChars="0"/>
              <w:rPr>
                <w:rFonts w:hint="eastAsia"/>
                <w:color w:val="auto"/>
                <w:sz w:val="21"/>
                <w:szCs w:val="21"/>
              </w:rPr>
            </w:pPr>
          </w:p>
        </w:tc>
        <w:tc>
          <w:tcPr>
            <w:tcW w:w="234" w:type="pct"/>
            <w:vAlign w:val="center"/>
          </w:tcPr>
          <w:p w14:paraId="054E5F43">
            <w:pPr>
              <w:spacing w:line="240" w:lineRule="auto"/>
              <w:ind w:firstLine="0" w:firstLineChars="0"/>
              <w:jc w:val="center"/>
              <w:rPr>
                <w:rFonts w:hint="eastAsia"/>
                <w:color w:val="auto"/>
                <w:sz w:val="21"/>
                <w:szCs w:val="21"/>
              </w:rPr>
            </w:pPr>
            <w:r>
              <w:rPr>
                <w:rFonts w:hint="eastAsia"/>
                <w:color w:val="auto"/>
                <w:sz w:val="21"/>
                <w:szCs w:val="21"/>
              </w:rPr>
              <w:t>相符</w:t>
            </w:r>
          </w:p>
        </w:tc>
      </w:tr>
      <w:tr w14:paraId="5BC94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23" w:type="pct"/>
            <w:gridSpan w:val="3"/>
            <w:tcMar>
              <w:top w:w="85" w:type="dxa"/>
              <w:left w:w="85" w:type="dxa"/>
              <w:bottom w:w="85" w:type="dxa"/>
              <w:right w:w="85" w:type="dxa"/>
            </w:tcMar>
            <w:vAlign w:val="center"/>
          </w:tcPr>
          <w:p w14:paraId="6BAA6A56">
            <w:pPr>
              <w:spacing w:line="240" w:lineRule="auto"/>
              <w:ind w:firstLine="0" w:firstLineChars="0"/>
              <w:jc w:val="center"/>
              <w:rPr>
                <w:rFonts w:hint="eastAsia"/>
                <w:color w:val="auto"/>
                <w:sz w:val="21"/>
                <w:szCs w:val="21"/>
              </w:rPr>
            </w:pPr>
            <w:r>
              <w:rPr>
                <w:rFonts w:hint="eastAsia"/>
                <w:color w:val="auto"/>
                <w:sz w:val="21"/>
                <w:szCs w:val="21"/>
              </w:rPr>
              <w:t>运输方式</w:t>
            </w:r>
          </w:p>
        </w:tc>
        <w:tc>
          <w:tcPr>
            <w:tcW w:w="3119" w:type="pct"/>
            <w:gridSpan w:val="2"/>
            <w:tcMar>
              <w:top w:w="85" w:type="dxa"/>
              <w:left w:w="85" w:type="dxa"/>
              <w:bottom w:w="85" w:type="dxa"/>
              <w:right w:w="85" w:type="dxa"/>
            </w:tcMar>
            <w:vAlign w:val="center"/>
          </w:tcPr>
          <w:p w14:paraId="65B2C483">
            <w:pPr>
              <w:spacing w:line="240" w:lineRule="auto"/>
              <w:ind w:firstLine="0" w:firstLineChars="0"/>
              <w:rPr>
                <w:rFonts w:hint="eastAsia"/>
                <w:color w:val="auto"/>
                <w:sz w:val="21"/>
                <w:szCs w:val="21"/>
              </w:rPr>
            </w:pPr>
            <w:r>
              <w:rPr>
                <w:rFonts w:hint="eastAsia"/>
                <w:color w:val="auto"/>
                <w:sz w:val="21"/>
                <w:szCs w:val="21"/>
              </w:rPr>
              <w:t>1.物料、产品等公路运输全部使用国五及以上排放标准重型载货车辆（重型燃气车辆达到国六排放标准）或新能源车辆；</w:t>
            </w:r>
          </w:p>
          <w:p w14:paraId="0A566B4E">
            <w:pPr>
              <w:spacing w:line="240" w:lineRule="auto"/>
              <w:ind w:firstLine="0" w:firstLineChars="0"/>
              <w:rPr>
                <w:rFonts w:hint="eastAsia"/>
                <w:color w:val="auto"/>
                <w:sz w:val="21"/>
                <w:szCs w:val="21"/>
              </w:rPr>
            </w:pPr>
            <w:r>
              <w:rPr>
                <w:rFonts w:hint="eastAsia"/>
                <w:color w:val="auto"/>
                <w:sz w:val="21"/>
                <w:szCs w:val="21"/>
              </w:rPr>
              <w:t>2.厂内运输全部使用国五及以上排放标准（重型燃气车辆达到国六排放标准）或使用新能源车辆；</w:t>
            </w:r>
          </w:p>
          <w:p w14:paraId="38F81CC8">
            <w:pPr>
              <w:spacing w:line="240" w:lineRule="auto"/>
              <w:ind w:firstLine="0" w:firstLineChars="0"/>
              <w:rPr>
                <w:rFonts w:hint="eastAsia"/>
                <w:color w:val="auto"/>
                <w:sz w:val="21"/>
                <w:szCs w:val="21"/>
              </w:rPr>
            </w:pPr>
            <w:r>
              <w:rPr>
                <w:rFonts w:hint="eastAsia"/>
                <w:color w:val="auto"/>
                <w:sz w:val="21"/>
                <w:szCs w:val="21"/>
              </w:rPr>
              <w:t>3.危险品及危废运输全部使用国五及以上排放标准（重型燃气车辆达到国六排放标准）或新能源车辆；</w:t>
            </w:r>
          </w:p>
          <w:p w14:paraId="3D60B033">
            <w:pPr>
              <w:spacing w:line="240" w:lineRule="auto"/>
              <w:ind w:firstLine="0" w:firstLineChars="0"/>
              <w:rPr>
                <w:rFonts w:hint="eastAsia"/>
                <w:color w:val="auto"/>
                <w:sz w:val="21"/>
                <w:szCs w:val="21"/>
              </w:rPr>
            </w:pPr>
            <w:r>
              <w:rPr>
                <w:rFonts w:hint="eastAsia"/>
                <w:color w:val="auto"/>
                <w:sz w:val="21"/>
                <w:szCs w:val="21"/>
              </w:rPr>
              <w:t>4.厂内非道路移动机械全部使用国三及以上排放标准或使用新能源（电动、氢能）机械</w:t>
            </w:r>
          </w:p>
        </w:tc>
        <w:tc>
          <w:tcPr>
            <w:tcW w:w="1122" w:type="pct"/>
            <w:tcMar>
              <w:top w:w="85" w:type="dxa"/>
              <w:left w:w="85" w:type="dxa"/>
              <w:bottom w:w="85" w:type="dxa"/>
              <w:right w:w="85" w:type="dxa"/>
            </w:tcMar>
            <w:vAlign w:val="center"/>
          </w:tcPr>
          <w:p w14:paraId="1F002531">
            <w:pPr>
              <w:spacing w:line="240" w:lineRule="auto"/>
              <w:ind w:firstLine="0" w:firstLineChars="0"/>
              <w:rPr>
                <w:rFonts w:hint="eastAsia"/>
                <w:color w:val="auto"/>
                <w:sz w:val="21"/>
                <w:szCs w:val="21"/>
                <w:lang w:val="en-US" w:eastAsia="zh-CN"/>
              </w:rPr>
            </w:pPr>
            <w:r>
              <w:rPr>
                <w:rFonts w:hint="eastAsia"/>
                <w:color w:val="auto"/>
                <w:sz w:val="21"/>
                <w:szCs w:val="21"/>
              </w:rPr>
              <w:t>项目</w:t>
            </w:r>
            <w:r>
              <w:rPr>
                <w:rFonts w:hint="eastAsia"/>
                <w:color w:val="auto"/>
                <w:sz w:val="21"/>
                <w:szCs w:val="21"/>
                <w:lang w:val="en-US" w:eastAsia="zh-CN"/>
              </w:rPr>
              <w:t>场外运输车辆均为委托第三方，签订合同时在合同中明确“全部使用国五及以上排放标准重型载货车辆（重型燃气车辆达到国六排放标准）或新能源车辆”的要求；</w:t>
            </w:r>
          </w:p>
          <w:p w14:paraId="374BE981">
            <w:pPr>
              <w:spacing w:line="240" w:lineRule="auto"/>
              <w:ind w:firstLine="0" w:firstLineChars="0"/>
              <w:rPr>
                <w:rFonts w:hint="eastAsia"/>
                <w:color w:val="auto"/>
                <w:sz w:val="21"/>
                <w:szCs w:val="21"/>
              </w:rPr>
            </w:pPr>
            <w:r>
              <w:rPr>
                <w:rFonts w:hint="eastAsia"/>
                <w:color w:val="auto"/>
                <w:sz w:val="21"/>
                <w:szCs w:val="21"/>
              </w:rPr>
              <w:t>厂区内非道路移动机械</w:t>
            </w:r>
            <w:r>
              <w:rPr>
                <w:rFonts w:hint="eastAsia"/>
                <w:color w:val="auto"/>
                <w:sz w:val="21"/>
                <w:szCs w:val="21"/>
                <w:lang w:val="en-US" w:eastAsia="zh-CN"/>
              </w:rPr>
              <w:t>全部采用</w:t>
            </w:r>
            <w:r>
              <w:rPr>
                <w:rFonts w:hint="eastAsia"/>
                <w:color w:val="auto"/>
                <w:sz w:val="21"/>
                <w:szCs w:val="21"/>
              </w:rPr>
              <w:t>国三及以上排放标准或使用新能源</w:t>
            </w:r>
            <w:r>
              <w:rPr>
                <w:rFonts w:hint="eastAsia"/>
                <w:color w:val="auto"/>
                <w:sz w:val="21"/>
                <w:szCs w:val="21"/>
                <w:lang w:val="en-US" w:eastAsia="zh-CN"/>
              </w:rPr>
              <w:t>机械</w:t>
            </w:r>
            <w:r>
              <w:rPr>
                <w:rFonts w:hint="eastAsia"/>
                <w:color w:val="auto"/>
                <w:sz w:val="21"/>
                <w:szCs w:val="21"/>
              </w:rPr>
              <w:t>。</w:t>
            </w:r>
          </w:p>
        </w:tc>
        <w:tc>
          <w:tcPr>
            <w:tcW w:w="234" w:type="pct"/>
            <w:vAlign w:val="center"/>
          </w:tcPr>
          <w:p w14:paraId="439F7277">
            <w:pPr>
              <w:spacing w:line="240" w:lineRule="auto"/>
              <w:ind w:firstLine="0" w:firstLineChars="0"/>
              <w:jc w:val="center"/>
              <w:rPr>
                <w:rFonts w:hint="eastAsia"/>
                <w:color w:val="auto"/>
                <w:sz w:val="21"/>
                <w:szCs w:val="21"/>
              </w:rPr>
            </w:pPr>
            <w:r>
              <w:rPr>
                <w:rFonts w:hint="eastAsia"/>
                <w:color w:val="auto"/>
                <w:sz w:val="21"/>
                <w:szCs w:val="21"/>
              </w:rPr>
              <w:t>相符</w:t>
            </w:r>
          </w:p>
        </w:tc>
      </w:tr>
      <w:tr w14:paraId="4B8FD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23" w:type="pct"/>
            <w:gridSpan w:val="3"/>
            <w:tcMar>
              <w:top w:w="85" w:type="dxa"/>
              <w:left w:w="85" w:type="dxa"/>
              <w:bottom w:w="85" w:type="dxa"/>
              <w:right w:w="85" w:type="dxa"/>
            </w:tcMar>
            <w:vAlign w:val="center"/>
          </w:tcPr>
          <w:p w14:paraId="3667D958">
            <w:pPr>
              <w:spacing w:line="240" w:lineRule="auto"/>
              <w:ind w:firstLine="0" w:firstLineChars="0"/>
              <w:jc w:val="center"/>
              <w:rPr>
                <w:rFonts w:hint="eastAsia"/>
                <w:color w:val="auto"/>
                <w:sz w:val="21"/>
                <w:szCs w:val="21"/>
              </w:rPr>
            </w:pPr>
            <w:r>
              <w:rPr>
                <w:rFonts w:hint="eastAsia"/>
                <w:color w:val="auto"/>
                <w:sz w:val="21"/>
                <w:szCs w:val="21"/>
              </w:rPr>
              <w:t>运输监管</w:t>
            </w:r>
          </w:p>
        </w:tc>
        <w:tc>
          <w:tcPr>
            <w:tcW w:w="3119" w:type="pct"/>
            <w:gridSpan w:val="2"/>
            <w:tcMar>
              <w:top w:w="85" w:type="dxa"/>
              <w:left w:w="85" w:type="dxa"/>
              <w:bottom w:w="85" w:type="dxa"/>
              <w:right w:w="85" w:type="dxa"/>
            </w:tcMar>
            <w:vAlign w:val="center"/>
          </w:tcPr>
          <w:p w14:paraId="484BDE2E">
            <w:pPr>
              <w:spacing w:line="240" w:lineRule="auto"/>
              <w:ind w:firstLine="0" w:firstLineChars="0"/>
              <w:rPr>
                <w:rFonts w:hint="eastAsia"/>
                <w:color w:val="auto"/>
                <w:sz w:val="21"/>
                <w:szCs w:val="21"/>
              </w:rPr>
            </w:pPr>
            <w:r>
              <w:rPr>
                <w:rFonts w:hint="eastAsia"/>
                <w:color w:val="auto"/>
                <w:sz w:val="21"/>
                <w:szCs w:val="21"/>
              </w:rPr>
              <w:t>日均进出货物150吨（出或载货车辆日进出10辆次）及以上（货物包括原料、辅料、燃料、产品和其他与生产相关物料）的企业，参照《重污染天气重点行业移动源应急管理技术指南》建立门禁视频监控系统和电子台账；其他企业存安装车辆运输视频监控（数据能保存6个月）），并建立车辆运输手工台账。</w:t>
            </w:r>
          </w:p>
        </w:tc>
        <w:tc>
          <w:tcPr>
            <w:tcW w:w="1122" w:type="pct"/>
            <w:tcMar>
              <w:top w:w="85" w:type="dxa"/>
              <w:left w:w="85" w:type="dxa"/>
              <w:bottom w:w="85" w:type="dxa"/>
              <w:right w:w="85" w:type="dxa"/>
            </w:tcMar>
            <w:vAlign w:val="center"/>
          </w:tcPr>
          <w:p w14:paraId="47C07628">
            <w:pPr>
              <w:spacing w:line="240" w:lineRule="auto"/>
              <w:ind w:firstLine="0" w:firstLineChars="0"/>
              <w:rPr>
                <w:rFonts w:hint="eastAsia"/>
                <w:color w:val="auto"/>
                <w:sz w:val="21"/>
                <w:szCs w:val="21"/>
              </w:rPr>
            </w:pPr>
            <w:r>
              <w:rPr>
                <w:rFonts w:hint="eastAsia"/>
                <w:color w:val="auto"/>
                <w:sz w:val="21"/>
                <w:szCs w:val="21"/>
              </w:rPr>
              <w:t>项目日均进出货物量较小，无需建立门禁视频监控系统和电子台账。</w:t>
            </w:r>
          </w:p>
        </w:tc>
        <w:tc>
          <w:tcPr>
            <w:tcW w:w="234" w:type="pct"/>
            <w:vAlign w:val="center"/>
          </w:tcPr>
          <w:p w14:paraId="16ACFCF1">
            <w:pPr>
              <w:spacing w:line="240" w:lineRule="auto"/>
              <w:ind w:firstLine="0" w:firstLineChars="0"/>
              <w:jc w:val="center"/>
              <w:rPr>
                <w:rFonts w:hint="eastAsia"/>
                <w:color w:val="auto"/>
                <w:sz w:val="21"/>
                <w:szCs w:val="21"/>
              </w:rPr>
            </w:pPr>
            <w:r>
              <w:rPr>
                <w:rFonts w:hint="eastAsia"/>
                <w:color w:val="auto"/>
                <w:sz w:val="21"/>
                <w:szCs w:val="21"/>
              </w:rPr>
              <w:t>相符</w:t>
            </w:r>
          </w:p>
        </w:tc>
      </w:tr>
    </w:tbl>
    <w:p w14:paraId="4BAE88D0">
      <w:pPr>
        <w:widowControl/>
        <w:spacing w:line="240" w:lineRule="auto"/>
        <w:ind w:firstLine="0" w:firstLineChars="0"/>
        <w:jc w:val="left"/>
        <w:rPr>
          <w:rFonts w:eastAsia="黑体"/>
          <w:color w:val="auto"/>
          <w:sz w:val="30"/>
        </w:rPr>
      </w:pPr>
    </w:p>
    <w:p w14:paraId="41310467">
      <w:pPr>
        <w:widowControl/>
        <w:spacing w:line="240" w:lineRule="auto"/>
        <w:ind w:firstLine="0" w:firstLineChars="0"/>
        <w:jc w:val="left"/>
        <w:rPr>
          <w:rFonts w:eastAsia="黑体"/>
          <w:color w:val="auto"/>
          <w:sz w:val="30"/>
        </w:rPr>
        <w:sectPr>
          <w:pgSz w:w="16838" w:h="11906" w:orient="landscape"/>
          <w:pgMar w:top="1587" w:right="1418" w:bottom="1417" w:left="1418" w:header="1134" w:footer="1134" w:gutter="0"/>
          <w:pgBorders>
            <w:top w:val="none" w:sz="0" w:space="0"/>
            <w:left w:val="none" w:sz="0" w:space="0"/>
            <w:bottom w:val="none" w:sz="0" w:space="0"/>
            <w:right w:val="none" w:sz="0" w:space="0"/>
          </w:pgBorders>
          <w:cols w:space="0" w:num="1"/>
          <w:rtlGutter w:val="0"/>
          <w:docGrid w:linePitch="326" w:charSpace="0"/>
        </w:sectPr>
      </w:pPr>
    </w:p>
    <w:p w14:paraId="2A4687D4">
      <w:pPr>
        <w:pStyle w:val="2"/>
        <w:rPr>
          <w:snapToGrid w:val="0"/>
          <w:color w:val="auto"/>
        </w:rPr>
      </w:pPr>
      <w:bookmarkStart w:id="4" w:name="_Toc867"/>
      <w:r>
        <w:rPr>
          <w:rFonts w:hint="eastAsia"/>
          <w:snapToGrid w:val="0"/>
          <w:color w:val="auto"/>
        </w:rPr>
        <w:t>二、建设项目工程分析</w:t>
      </w:r>
      <w:bookmarkEnd w:id="4"/>
    </w:p>
    <w:tbl>
      <w:tblPr>
        <w:tblStyle w:val="20"/>
        <w:tblW w:w="49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295"/>
        <w:gridCol w:w="8638"/>
      </w:tblGrid>
      <w:tr w14:paraId="47AD0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80" w:hRule="atLeast"/>
          <w:jc w:val="center"/>
        </w:trPr>
        <w:tc>
          <w:tcPr>
            <w:tcW w:w="165" w:type="pct"/>
            <w:vAlign w:val="center"/>
          </w:tcPr>
          <w:p w14:paraId="29436DF1">
            <w:pPr>
              <w:adjustRightInd w:val="0"/>
              <w:snapToGrid w:val="0"/>
              <w:spacing w:line="240" w:lineRule="auto"/>
              <w:ind w:firstLine="0" w:firstLineChars="0"/>
              <w:jc w:val="center"/>
              <w:rPr>
                <w:rFonts w:cs="宋体"/>
                <w:color w:val="auto"/>
              </w:rPr>
            </w:pPr>
            <w:r>
              <w:rPr>
                <w:rFonts w:hint="eastAsia" w:cs="宋体"/>
                <w:color w:val="auto"/>
              </w:rPr>
              <w:t>建设内容</w:t>
            </w:r>
          </w:p>
        </w:tc>
        <w:tc>
          <w:tcPr>
            <w:tcW w:w="4834" w:type="pct"/>
          </w:tcPr>
          <w:p w14:paraId="4ED61219">
            <w:pPr>
              <w:pageBreakBefore w:val="0"/>
              <w:widowControl w:val="0"/>
              <w:kinsoku/>
              <w:wordWrap w:val="0"/>
              <w:overflowPunct/>
              <w:topLinePunct w:val="0"/>
              <w:autoSpaceDE/>
              <w:autoSpaceDN/>
              <w:bidi w:val="0"/>
              <w:snapToGrid/>
              <w:spacing w:line="360" w:lineRule="auto"/>
              <w:ind w:left="0" w:firstLine="0" w:firstLineChars="0"/>
              <w:rPr>
                <w:b/>
                <w:color w:val="auto"/>
              </w:rPr>
            </w:pPr>
            <w:r>
              <w:rPr>
                <w:b/>
                <w:color w:val="auto"/>
              </w:rPr>
              <w:t>一、项目由来</w:t>
            </w:r>
          </w:p>
          <w:p w14:paraId="3CE73FB5">
            <w:pPr>
              <w:ind w:firstLine="480"/>
              <w:rPr>
                <w:rFonts w:hint="eastAsia"/>
                <w:color w:val="auto"/>
                <w:lang w:val="en-US" w:eastAsia="zh-CN"/>
              </w:rPr>
            </w:pPr>
            <w:r>
              <w:rPr>
                <w:rFonts w:hint="eastAsia"/>
                <w:color w:val="auto"/>
                <w:lang w:val="en-US" w:eastAsia="zh-CN"/>
              </w:rPr>
              <w:t>随着中药产业化、市场化的不断扩大和升级，我国中药产业得到了迅速地发展和壮大，同时，国家高度重视中医药事业发展，出台了新医改等一系列利好政策，大众对中医药的需求也越来越高，我国中药饮片市场前景可期，市场发展规模不断扩大。</w:t>
            </w:r>
          </w:p>
          <w:p w14:paraId="4510F786">
            <w:pPr>
              <w:ind w:firstLine="480"/>
              <w:rPr>
                <w:rFonts w:hint="eastAsia"/>
                <w:color w:val="auto"/>
                <w:lang w:val="en-US" w:eastAsia="zh-CN"/>
              </w:rPr>
            </w:pPr>
            <w:r>
              <w:rPr>
                <w:rFonts w:hint="eastAsia"/>
                <w:color w:val="auto"/>
                <w:lang w:val="en-US" w:eastAsia="zh-CN"/>
              </w:rPr>
              <w:t>在此背景下，河南普惠天成生物制药有限公司拟投资47000万元在南乐县先进制造业开发区鸿宇路南侧、发展大道东侧园区建设新型中药饮片生产建设项目。项目租赁南乐县中成园区运营管理有限公司的土地进行建设，土地面积32934m</w:t>
            </w:r>
            <w:r>
              <w:rPr>
                <w:rFonts w:hint="eastAsia"/>
                <w:color w:val="auto"/>
                <w:vertAlign w:val="superscript"/>
                <w:lang w:val="en-US" w:eastAsia="zh-CN"/>
              </w:rPr>
              <w:t>2</w:t>
            </w:r>
            <w:r>
              <w:rPr>
                <w:rFonts w:hint="eastAsia"/>
                <w:color w:val="auto"/>
                <w:lang w:val="en-US" w:eastAsia="zh-CN"/>
              </w:rPr>
              <w:t>(约49.4亩)，包含园区土地使用权以及办公楼、食堂、两个厂房等四栋建筑物，并在此基础上进行建设和布置。</w:t>
            </w:r>
          </w:p>
          <w:p w14:paraId="25A68D32">
            <w:pPr>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本项目已在南乐县行政审批和政务信息管理局备案（项目代码2408-410923-04-01-671066），备案内容与拟建设内容相符性分析见下表。</w:t>
            </w:r>
          </w:p>
          <w:p w14:paraId="2824E5F3">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425" w:leftChars="0" w:hanging="425" w:firstLineChars="0"/>
              <w:jc w:val="center"/>
              <w:textAlignment w:val="auto"/>
              <w:rPr>
                <w:rFonts w:hint="eastAsia"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项目备案内容与拟建设内容相符性分析</w:t>
            </w:r>
          </w:p>
          <w:tbl>
            <w:tblPr>
              <w:tblStyle w:val="20"/>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02"/>
              <w:gridCol w:w="3969"/>
              <w:gridCol w:w="3348"/>
              <w:gridCol w:w="667"/>
            </w:tblGrid>
            <w:tr w14:paraId="13C62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6" w:type="pct"/>
                  <w:vAlign w:val="center"/>
                </w:tcPr>
                <w:p w14:paraId="5C2EB204">
                  <w:pPr>
                    <w:spacing w:line="240" w:lineRule="auto"/>
                    <w:ind w:firstLine="0" w:firstLineChars="0"/>
                    <w:jc w:val="center"/>
                    <w:rPr>
                      <w:color w:val="auto"/>
                      <w:sz w:val="21"/>
                      <w:szCs w:val="21"/>
                    </w:rPr>
                  </w:pPr>
                  <w:r>
                    <w:rPr>
                      <w:color w:val="auto"/>
                      <w:sz w:val="21"/>
                      <w:szCs w:val="21"/>
                    </w:rPr>
                    <w:t>项目</w:t>
                  </w:r>
                </w:p>
              </w:tc>
              <w:tc>
                <w:tcPr>
                  <w:tcW w:w="2338" w:type="pct"/>
                  <w:tcMar>
                    <w:top w:w="85" w:type="dxa"/>
                    <w:left w:w="0" w:type="dxa"/>
                    <w:bottom w:w="85" w:type="dxa"/>
                    <w:right w:w="0" w:type="dxa"/>
                  </w:tcMar>
                  <w:vAlign w:val="center"/>
                </w:tcPr>
                <w:p w14:paraId="0D5EFE3D">
                  <w:pPr>
                    <w:spacing w:line="240" w:lineRule="auto"/>
                    <w:ind w:firstLine="0" w:firstLineChars="0"/>
                    <w:jc w:val="center"/>
                    <w:rPr>
                      <w:color w:val="auto"/>
                      <w:sz w:val="21"/>
                      <w:szCs w:val="21"/>
                    </w:rPr>
                  </w:pPr>
                  <w:r>
                    <w:rPr>
                      <w:color w:val="auto"/>
                      <w:sz w:val="21"/>
                      <w:szCs w:val="21"/>
                    </w:rPr>
                    <w:t>备案内容</w:t>
                  </w:r>
                </w:p>
              </w:tc>
              <w:tc>
                <w:tcPr>
                  <w:tcW w:w="1972" w:type="pct"/>
                  <w:tcMar>
                    <w:top w:w="85" w:type="dxa"/>
                    <w:left w:w="0" w:type="dxa"/>
                    <w:bottom w:w="85" w:type="dxa"/>
                    <w:right w:w="0" w:type="dxa"/>
                  </w:tcMar>
                  <w:vAlign w:val="center"/>
                </w:tcPr>
                <w:p w14:paraId="2B4F53AE">
                  <w:pPr>
                    <w:spacing w:line="240" w:lineRule="auto"/>
                    <w:ind w:firstLine="0" w:firstLineChars="0"/>
                    <w:jc w:val="center"/>
                    <w:rPr>
                      <w:color w:val="auto"/>
                      <w:sz w:val="21"/>
                      <w:szCs w:val="21"/>
                    </w:rPr>
                  </w:pPr>
                  <w:r>
                    <w:rPr>
                      <w:rFonts w:hint="eastAsia"/>
                      <w:color w:val="auto"/>
                      <w:sz w:val="21"/>
                      <w:szCs w:val="21"/>
                    </w:rPr>
                    <w:t>拟</w:t>
                  </w:r>
                  <w:r>
                    <w:rPr>
                      <w:color w:val="auto"/>
                      <w:sz w:val="21"/>
                      <w:szCs w:val="21"/>
                    </w:rPr>
                    <w:t>建设内容</w:t>
                  </w:r>
                </w:p>
              </w:tc>
              <w:tc>
                <w:tcPr>
                  <w:tcW w:w="393" w:type="pct"/>
                  <w:tcMar>
                    <w:top w:w="85" w:type="dxa"/>
                    <w:left w:w="0" w:type="dxa"/>
                    <w:bottom w:w="85" w:type="dxa"/>
                    <w:right w:w="0" w:type="dxa"/>
                  </w:tcMar>
                  <w:vAlign w:val="center"/>
                </w:tcPr>
                <w:p w14:paraId="5D795AC0">
                  <w:pPr>
                    <w:spacing w:line="240" w:lineRule="auto"/>
                    <w:ind w:firstLine="0" w:firstLineChars="0"/>
                    <w:jc w:val="center"/>
                    <w:rPr>
                      <w:color w:val="auto"/>
                      <w:sz w:val="21"/>
                      <w:szCs w:val="21"/>
                    </w:rPr>
                  </w:pPr>
                  <w:r>
                    <w:rPr>
                      <w:color w:val="auto"/>
                      <w:sz w:val="21"/>
                      <w:szCs w:val="21"/>
                    </w:rPr>
                    <w:t>相符性</w:t>
                  </w:r>
                </w:p>
              </w:tc>
            </w:tr>
            <w:tr w14:paraId="6AC47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6" w:type="pct"/>
                  <w:vAlign w:val="center"/>
                </w:tcPr>
                <w:p w14:paraId="0315A6C8">
                  <w:pPr>
                    <w:spacing w:line="240" w:lineRule="auto"/>
                    <w:ind w:firstLine="0" w:firstLineChars="0"/>
                    <w:jc w:val="center"/>
                    <w:rPr>
                      <w:color w:val="auto"/>
                      <w:sz w:val="21"/>
                      <w:szCs w:val="21"/>
                    </w:rPr>
                  </w:pPr>
                  <w:r>
                    <w:rPr>
                      <w:color w:val="auto"/>
                      <w:sz w:val="21"/>
                      <w:szCs w:val="21"/>
                    </w:rPr>
                    <w:t>企业名称</w:t>
                  </w:r>
                </w:p>
              </w:tc>
              <w:tc>
                <w:tcPr>
                  <w:tcW w:w="2338" w:type="pct"/>
                  <w:tcMar>
                    <w:left w:w="0" w:type="dxa"/>
                    <w:right w:w="0" w:type="dxa"/>
                  </w:tcMar>
                  <w:vAlign w:val="center"/>
                </w:tcPr>
                <w:p w14:paraId="68789E24">
                  <w:pPr>
                    <w:spacing w:line="240" w:lineRule="auto"/>
                    <w:ind w:firstLine="0" w:firstLineChars="0"/>
                    <w:jc w:val="center"/>
                    <w:rPr>
                      <w:color w:val="auto"/>
                      <w:sz w:val="21"/>
                      <w:szCs w:val="21"/>
                      <w:lang w:val="en-GB"/>
                    </w:rPr>
                  </w:pPr>
                  <w:r>
                    <w:rPr>
                      <w:rFonts w:hint="eastAsia"/>
                      <w:color w:val="auto"/>
                      <w:sz w:val="21"/>
                      <w:szCs w:val="21"/>
                      <w:lang w:val="en-GB"/>
                    </w:rPr>
                    <w:t>河南普惠天成生物制药有限公司</w:t>
                  </w:r>
                </w:p>
              </w:tc>
              <w:tc>
                <w:tcPr>
                  <w:tcW w:w="1972" w:type="pct"/>
                  <w:tcMar>
                    <w:top w:w="85" w:type="dxa"/>
                    <w:left w:w="0" w:type="dxa"/>
                    <w:bottom w:w="85" w:type="dxa"/>
                    <w:right w:w="0" w:type="dxa"/>
                  </w:tcMar>
                  <w:vAlign w:val="center"/>
                </w:tcPr>
                <w:p w14:paraId="36CFA91D">
                  <w:pPr>
                    <w:spacing w:line="240" w:lineRule="auto"/>
                    <w:ind w:firstLine="0" w:firstLineChars="0"/>
                    <w:jc w:val="center"/>
                    <w:rPr>
                      <w:color w:val="auto"/>
                      <w:sz w:val="21"/>
                      <w:szCs w:val="21"/>
                      <w:lang w:val="en-GB"/>
                    </w:rPr>
                  </w:pPr>
                  <w:r>
                    <w:rPr>
                      <w:rFonts w:hint="eastAsia"/>
                      <w:color w:val="auto"/>
                      <w:sz w:val="21"/>
                      <w:szCs w:val="21"/>
                      <w:lang w:val="en-GB"/>
                    </w:rPr>
                    <w:t>河南普惠天成生物制药有限公司</w:t>
                  </w:r>
                </w:p>
              </w:tc>
              <w:tc>
                <w:tcPr>
                  <w:tcW w:w="393" w:type="pct"/>
                  <w:tcMar>
                    <w:left w:w="0" w:type="dxa"/>
                    <w:right w:w="0" w:type="dxa"/>
                  </w:tcMar>
                  <w:vAlign w:val="center"/>
                </w:tcPr>
                <w:p w14:paraId="1E0BE46E">
                  <w:pPr>
                    <w:spacing w:line="240" w:lineRule="auto"/>
                    <w:ind w:firstLine="0" w:firstLineChars="0"/>
                    <w:jc w:val="center"/>
                    <w:rPr>
                      <w:color w:val="auto"/>
                      <w:sz w:val="21"/>
                      <w:szCs w:val="21"/>
                    </w:rPr>
                  </w:pPr>
                  <w:r>
                    <w:rPr>
                      <w:color w:val="auto"/>
                      <w:sz w:val="21"/>
                      <w:szCs w:val="21"/>
                    </w:rPr>
                    <w:t>相符</w:t>
                  </w:r>
                </w:p>
              </w:tc>
            </w:tr>
            <w:tr w14:paraId="0E1FB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6" w:type="pct"/>
                  <w:vAlign w:val="center"/>
                </w:tcPr>
                <w:p w14:paraId="68B48785">
                  <w:pPr>
                    <w:spacing w:line="240" w:lineRule="auto"/>
                    <w:ind w:firstLine="0" w:firstLineChars="0"/>
                    <w:jc w:val="center"/>
                    <w:rPr>
                      <w:color w:val="auto"/>
                      <w:sz w:val="21"/>
                      <w:szCs w:val="21"/>
                    </w:rPr>
                  </w:pPr>
                  <w:r>
                    <w:rPr>
                      <w:color w:val="auto"/>
                      <w:sz w:val="21"/>
                      <w:szCs w:val="21"/>
                    </w:rPr>
                    <w:t>项目名称</w:t>
                  </w:r>
                </w:p>
              </w:tc>
              <w:tc>
                <w:tcPr>
                  <w:tcW w:w="2338" w:type="pct"/>
                  <w:tcMar>
                    <w:left w:w="0" w:type="dxa"/>
                    <w:right w:w="0" w:type="dxa"/>
                  </w:tcMar>
                  <w:vAlign w:val="center"/>
                </w:tcPr>
                <w:p w14:paraId="6E471814">
                  <w:pPr>
                    <w:spacing w:line="240" w:lineRule="auto"/>
                    <w:ind w:firstLine="0" w:firstLineChars="0"/>
                    <w:jc w:val="center"/>
                    <w:rPr>
                      <w:color w:val="auto"/>
                      <w:sz w:val="21"/>
                      <w:szCs w:val="21"/>
                    </w:rPr>
                  </w:pPr>
                  <w:r>
                    <w:rPr>
                      <w:rFonts w:hint="eastAsia"/>
                      <w:color w:val="auto"/>
                      <w:sz w:val="21"/>
                      <w:szCs w:val="21"/>
                      <w:lang w:val="en-GB"/>
                    </w:rPr>
                    <w:t>新型中药饮片生产建设项目</w:t>
                  </w:r>
                </w:p>
              </w:tc>
              <w:tc>
                <w:tcPr>
                  <w:tcW w:w="1972" w:type="pct"/>
                  <w:tcMar>
                    <w:top w:w="85" w:type="dxa"/>
                    <w:left w:w="0" w:type="dxa"/>
                    <w:bottom w:w="85" w:type="dxa"/>
                    <w:right w:w="0" w:type="dxa"/>
                  </w:tcMar>
                  <w:vAlign w:val="center"/>
                </w:tcPr>
                <w:p w14:paraId="782F6392">
                  <w:pPr>
                    <w:spacing w:line="240" w:lineRule="auto"/>
                    <w:ind w:firstLine="0" w:firstLineChars="0"/>
                    <w:jc w:val="center"/>
                    <w:rPr>
                      <w:color w:val="auto"/>
                      <w:sz w:val="21"/>
                      <w:szCs w:val="21"/>
                    </w:rPr>
                  </w:pPr>
                  <w:r>
                    <w:rPr>
                      <w:rFonts w:hint="eastAsia"/>
                      <w:color w:val="auto"/>
                      <w:sz w:val="21"/>
                      <w:szCs w:val="21"/>
                      <w:lang w:val="en-GB"/>
                    </w:rPr>
                    <w:t>新型中药饮片生产建设项目</w:t>
                  </w:r>
                </w:p>
              </w:tc>
              <w:tc>
                <w:tcPr>
                  <w:tcW w:w="393" w:type="pct"/>
                  <w:tcMar>
                    <w:left w:w="0" w:type="dxa"/>
                    <w:right w:w="0" w:type="dxa"/>
                  </w:tcMar>
                  <w:vAlign w:val="center"/>
                </w:tcPr>
                <w:p w14:paraId="7F28AF3D">
                  <w:pPr>
                    <w:spacing w:line="240" w:lineRule="auto"/>
                    <w:ind w:firstLine="0" w:firstLineChars="0"/>
                    <w:jc w:val="center"/>
                    <w:rPr>
                      <w:color w:val="auto"/>
                      <w:sz w:val="21"/>
                      <w:szCs w:val="21"/>
                    </w:rPr>
                  </w:pPr>
                  <w:r>
                    <w:rPr>
                      <w:color w:val="auto"/>
                      <w:sz w:val="21"/>
                      <w:szCs w:val="21"/>
                    </w:rPr>
                    <w:t>相符</w:t>
                  </w:r>
                </w:p>
              </w:tc>
            </w:tr>
            <w:tr w14:paraId="412B5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6" w:type="pct"/>
                  <w:vAlign w:val="center"/>
                </w:tcPr>
                <w:p w14:paraId="4FC7650B">
                  <w:pPr>
                    <w:spacing w:line="240" w:lineRule="auto"/>
                    <w:ind w:firstLine="0" w:firstLineChars="0"/>
                    <w:jc w:val="center"/>
                    <w:rPr>
                      <w:color w:val="auto"/>
                      <w:sz w:val="21"/>
                      <w:szCs w:val="21"/>
                    </w:rPr>
                  </w:pPr>
                  <w:r>
                    <w:rPr>
                      <w:color w:val="auto"/>
                      <w:sz w:val="21"/>
                      <w:szCs w:val="21"/>
                    </w:rPr>
                    <w:t>地点</w:t>
                  </w:r>
                </w:p>
              </w:tc>
              <w:tc>
                <w:tcPr>
                  <w:tcW w:w="2338" w:type="pct"/>
                  <w:tcMar>
                    <w:top w:w="85" w:type="dxa"/>
                    <w:left w:w="0" w:type="dxa"/>
                    <w:bottom w:w="85" w:type="dxa"/>
                    <w:right w:w="0" w:type="dxa"/>
                  </w:tcMar>
                  <w:vAlign w:val="center"/>
                </w:tcPr>
                <w:p w14:paraId="0B1501F4">
                  <w:pPr>
                    <w:spacing w:line="240" w:lineRule="auto"/>
                    <w:ind w:firstLine="0" w:firstLineChars="0"/>
                    <w:jc w:val="center"/>
                    <w:rPr>
                      <w:color w:val="auto"/>
                      <w:sz w:val="21"/>
                      <w:szCs w:val="21"/>
                    </w:rPr>
                  </w:pPr>
                  <w:r>
                    <w:rPr>
                      <w:rFonts w:hint="eastAsia"/>
                      <w:color w:val="auto"/>
                      <w:sz w:val="21"/>
                      <w:szCs w:val="21"/>
                    </w:rPr>
                    <w:t>濮阳市</w:t>
                  </w:r>
                  <w:r>
                    <w:rPr>
                      <w:rFonts w:hint="eastAsia"/>
                      <w:color w:val="auto"/>
                      <w:sz w:val="21"/>
                      <w:szCs w:val="21"/>
                      <w:lang w:eastAsia="zh-CN"/>
                    </w:rPr>
                    <w:t>南乐县先进制造业开发区</w:t>
                  </w:r>
                  <w:r>
                    <w:rPr>
                      <w:rFonts w:hint="eastAsia"/>
                      <w:color w:val="auto"/>
                      <w:sz w:val="21"/>
                      <w:szCs w:val="21"/>
                    </w:rPr>
                    <w:t>鸿宇路南侧5号</w:t>
                  </w:r>
                </w:p>
              </w:tc>
              <w:tc>
                <w:tcPr>
                  <w:tcW w:w="1972" w:type="pct"/>
                  <w:tcMar>
                    <w:top w:w="85" w:type="dxa"/>
                    <w:left w:w="0" w:type="dxa"/>
                    <w:bottom w:w="85" w:type="dxa"/>
                    <w:right w:w="0" w:type="dxa"/>
                  </w:tcMar>
                  <w:vAlign w:val="center"/>
                </w:tcPr>
                <w:p w14:paraId="0D2158B2">
                  <w:pPr>
                    <w:spacing w:line="240" w:lineRule="auto"/>
                    <w:ind w:firstLine="0" w:firstLineChars="0"/>
                    <w:jc w:val="center"/>
                    <w:rPr>
                      <w:color w:val="auto"/>
                      <w:sz w:val="21"/>
                      <w:szCs w:val="21"/>
                    </w:rPr>
                  </w:pPr>
                  <w:r>
                    <w:rPr>
                      <w:rFonts w:hint="eastAsia"/>
                      <w:color w:val="auto"/>
                      <w:sz w:val="21"/>
                      <w:szCs w:val="21"/>
                    </w:rPr>
                    <w:t>濮阳市</w:t>
                  </w:r>
                  <w:r>
                    <w:rPr>
                      <w:rFonts w:hint="eastAsia"/>
                      <w:color w:val="auto"/>
                      <w:sz w:val="21"/>
                      <w:szCs w:val="21"/>
                      <w:lang w:eastAsia="zh-CN"/>
                    </w:rPr>
                    <w:t>南乐县先进制造业开发区</w:t>
                  </w:r>
                  <w:r>
                    <w:rPr>
                      <w:rFonts w:hint="eastAsia"/>
                      <w:color w:val="auto"/>
                      <w:sz w:val="21"/>
                      <w:szCs w:val="21"/>
                    </w:rPr>
                    <w:t>鸿宇路南侧5号</w:t>
                  </w:r>
                </w:p>
              </w:tc>
              <w:tc>
                <w:tcPr>
                  <w:tcW w:w="393" w:type="pct"/>
                  <w:tcMar>
                    <w:top w:w="85" w:type="dxa"/>
                    <w:left w:w="0" w:type="dxa"/>
                    <w:bottom w:w="85" w:type="dxa"/>
                    <w:right w:w="0" w:type="dxa"/>
                  </w:tcMar>
                  <w:vAlign w:val="center"/>
                </w:tcPr>
                <w:p w14:paraId="6D75676F">
                  <w:pPr>
                    <w:spacing w:line="240" w:lineRule="auto"/>
                    <w:ind w:firstLine="0" w:firstLineChars="0"/>
                    <w:jc w:val="center"/>
                    <w:rPr>
                      <w:color w:val="auto"/>
                      <w:sz w:val="21"/>
                      <w:szCs w:val="21"/>
                    </w:rPr>
                  </w:pPr>
                  <w:r>
                    <w:rPr>
                      <w:color w:val="auto"/>
                      <w:sz w:val="21"/>
                      <w:szCs w:val="21"/>
                    </w:rPr>
                    <w:t>相符</w:t>
                  </w:r>
                </w:p>
              </w:tc>
            </w:tr>
            <w:tr w14:paraId="51644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6" w:type="pct"/>
                  <w:vAlign w:val="center"/>
                </w:tcPr>
                <w:p w14:paraId="6882EE29">
                  <w:pPr>
                    <w:spacing w:line="240" w:lineRule="auto"/>
                    <w:ind w:firstLine="0" w:firstLineChars="0"/>
                    <w:jc w:val="center"/>
                    <w:rPr>
                      <w:color w:val="auto"/>
                      <w:sz w:val="21"/>
                      <w:szCs w:val="21"/>
                    </w:rPr>
                  </w:pPr>
                  <w:r>
                    <w:rPr>
                      <w:color w:val="auto"/>
                      <w:sz w:val="21"/>
                      <w:szCs w:val="21"/>
                    </w:rPr>
                    <w:t>总投资</w:t>
                  </w:r>
                </w:p>
              </w:tc>
              <w:tc>
                <w:tcPr>
                  <w:tcW w:w="2338" w:type="pct"/>
                  <w:tcMar>
                    <w:top w:w="85" w:type="dxa"/>
                    <w:left w:w="0" w:type="dxa"/>
                    <w:bottom w:w="85" w:type="dxa"/>
                    <w:right w:w="0" w:type="dxa"/>
                  </w:tcMar>
                  <w:vAlign w:val="center"/>
                </w:tcPr>
                <w:p w14:paraId="1B83F3DF">
                  <w:pPr>
                    <w:spacing w:line="240" w:lineRule="auto"/>
                    <w:ind w:firstLine="0" w:firstLineChars="0"/>
                    <w:jc w:val="center"/>
                    <w:rPr>
                      <w:color w:val="auto"/>
                      <w:sz w:val="21"/>
                      <w:szCs w:val="21"/>
                    </w:rPr>
                  </w:pPr>
                  <w:r>
                    <w:rPr>
                      <w:rFonts w:hint="eastAsia"/>
                      <w:color w:val="auto"/>
                      <w:sz w:val="21"/>
                      <w:szCs w:val="21"/>
                      <w:lang w:val="en-US" w:eastAsia="zh-CN"/>
                    </w:rPr>
                    <w:t>470</w:t>
                  </w:r>
                  <w:r>
                    <w:rPr>
                      <w:color w:val="auto"/>
                      <w:sz w:val="21"/>
                      <w:szCs w:val="21"/>
                    </w:rPr>
                    <w:t>00万元</w:t>
                  </w:r>
                </w:p>
              </w:tc>
              <w:tc>
                <w:tcPr>
                  <w:tcW w:w="1972" w:type="pct"/>
                  <w:tcMar>
                    <w:top w:w="85" w:type="dxa"/>
                    <w:left w:w="0" w:type="dxa"/>
                    <w:bottom w:w="85" w:type="dxa"/>
                    <w:right w:w="0" w:type="dxa"/>
                  </w:tcMar>
                  <w:vAlign w:val="center"/>
                </w:tcPr>
                <w:p w14:paraId="2AF1A6AD">
                  <w:pPr>
                    <w:spacing w:line="240" w:lineRule="auto"/>
                    <w:ind w:firstLine="0" w:firstLineChars="0"/>
                    <w:jc w:val="center"/>
                    <w:rPr>
                      <w:color w:val="auto"/>
                      <w:sz w:val="21"/>
                      <w:szCs w:val="21"/>
                    </w:rPr>
                  </w:pPr>
                  <w:r>
                    <w:rPr>
                      <w:rFonts w:hint="eastAsia"/>
                      <w:color w:val="auto"/>
                      <w:sz w:val="21"/>
                      <w:szCs w:val="21"/>
                      <w:lang w:val="en-US" w:eastAsia="zh-CN"/>
                    </w:rPr>
                    <w:t>470</w:t>
                  </w:r>
                  <w:r>
                    <w:rPr>
                      <w:color w:val="auto"/>
                      <w:sz w:val="21"/>
                      <w:szCs w:val="21"/>
                    </w:rPr>
                    <w:t>00万元</w:t>
                  </w:r>
                </w:p>
              </w:tc>
              <w:tc>
                <w:tcPr>
                  <w:tcW w:w="393" w:type="pct"/>
                  <w:tcMar>
                    <w:top w:w="85" w:type="dxa"/>
                    <w:left w:w="0" w:type="dxa"/>
                    <w:bottom w:w="85" w:type="dxa"/>
                    <w:right w:w="0" w:type="dxa"/>
                  </w:tcMar>
                  <w:vAlign w:val="center"/>
                </w:tcPr>
                <w:p w14:paraId="7E39B2E0">
                  <w:pPr>
                    <w:spacing w:line="240" w:lineRule="auto"/>
                    <w:ind w:firstLine="0" w:firstLineChars="0"/>
                    <w:jc w:val="center"/>
                    <w:rPr>
                      <w:color w:val="auto"/>
                      <w:sz w:val="21"/>
                      <w:szCs w:val="21"/>
                    </w:rPr>
                  </w:pPr>
                  <w:r>
                    <w:rPr>
                      <w:color w:val="auto"/>
                      <w:sz w:val="21"/>
                      <w:szCs w:val="21"/>
                    </w:rPr>
                    <w:t>相符</w:t>
                  </w:r>
                </w:p>
              </w:tc>
            </w:tr>
            <w:tr w14:paraId="37222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6" w:type="pct"/>
                  <w:vAlign w:val="center"/>
                </w:tcPr>
                <w:p w14:paraId="264E9573">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建设性质</w:t>
                  </w:r>
                </w:p>
              </w:tc>
              <w:tc>
                <w:tcPr>
                  <w:tcW w:w="2338" w:type="pct"/>
                  <w:tcMar>
                    <w:top w:w="85" w:type="dxa"/>
                    <w:left w:w="0" w:type="dxa"/>
                    <w:bottom w:w="85" w:type="dxa"/>
                    <w:right w:w="0" w:type="dxa"/>
                  </w:tcMar>
                  <w:vAlign w:val="center"/>
                </w:tcPr>
                <w:p w14:paraId="157A016A">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新建</w:t>
                  </w:r>
                </w:p>
              </w:tc>
              <w:tc>
                <w:tcPr>
                  <w:tcW w:w="1972" w:type="pct"/>
                  <w:tcMar>
                    <w:top w:w="85" w:type="dxa"/>
                    <w:left w:w="0" w:type="dxa"/>
                    <w:bottom w:w="85" w:type="dxa"/>
                    <w:right w:w="0" w:type="dxa"/>
                  </w:tcMar>
                  <w:vAlign w:val="center"/>
                </w:tcPr>
                <w:p w14:paraId="7D935722">
                  <w:pPr>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新建</w:t>
                  </w:r>
                </w:p>
              </w:tc>
              <w:tc>
                <w:tcPr>
                  <w:tcW w:w="393" w:type="pct"/>
                  <w:tcMar>
                    <w:top w:w="85" w:type="dxa"/>
                    <w:left w:w="0" w:type="dxa"/>
                    <w:bottom w:w="85" w:type="dxa"/>
                    <w:right w:w="0" w:type="dxa"/>
                  </w:tcMar>
                  <w:vAlign w:val="center"/>
                </w:tcPr>
                <w:p w14:paraId="33EFDF40">
                  <w:pPr>
                    <w:spacing w:line="240" w:lineRule="auto"/>
                    <w:ind w:firstLine="0" w:firstLineChars="0"/>
                    <w:jc w:val="center"/>
                    <w:rPr>
                      <w:color w:val="auto"/>
                      <w:sz w:val="21"/>
                      <w:szCs w:val="21"/>
                    </w:rPr>
                  </w:pPr>
                  <w:r>
                    <w:rPr>
                      <w:color w:val="auto"/>
                      <w:sz w:val="21"/>
                      <w:szCs w:val="21"/>
                    </w:rPr>
                    <w:t>相符</w:t>
                  </w:r>
                </w:p>
              </w:tc>
            </w:tr>
            <w:tr w14:paraId="6DEA6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6" w:type="pct"/>
                  <w:vAlign w:val="center"/>
                </w:tcPr>
                <w:p w14:paraId="30AF39DF">
                  <w:pPr>
                    <w:spacing w:line="240" w:lineRule="auto"/>
                    <w:ind w:firstLine="0" w:firstLineChars="0"/>
                    <w:jc w:val="center"/>
                    <w:rPr>
                      <w:color w:val="auto"/>
                      <w:sz w:val="21"/>
                      <w:szCs w:val="21"/>
                    </w:rPr>
                  </w:pPr>
                  <w:r>
                    <w:rPr>
                      <w:color w:val="auto"/>
                      <w:sz w:val="21"/>
                      <w:szCs w:val="21"/>
                    </w:rPr>
                    <w:t>占地面积</w:t>
                  </w:r>
                </w:p>
              </w:tc>
              <w:tc>
                <w:tcPr>
                  <w:tcW w:w="2338" w:type="pct"/>
                  <w:tcMar>
                    <w:top w:w="85" w:type="dxa"/>
                    <w:left w:w="0" w:type="dxa"/>
                    <w:bottom w:w="85" w:type="dxa"/>
                    <w:right w:w="0" w:type="dxa"/>
                  </w:tcMar>
                  <w:vAlign w:val="center"/>
                </w:tcPr>
                <w:p w14:paraId="22830A57">
                  <w:pPr>
                    <w:spacing w:line="240" w:lineRule="auto"/>
                    <w:ind w:firstLine="0" w:firstLineChars="0"/>
                    <w:jc w:val="center"/>
                    <w:rPr>
                      <w:color w:val="auto"/>
                      <w:sz w:val="21"/>
                      <w:szCs w:val="21"/>
                    </w:rPr>
                  </w:pPr>
                  <w:r>
                    <w:rPr>
                      <w:rFonts w:hint="eastAsia"/>
                      <w:color w:val="auto"/>
                      <w:sz w:val="21"/>
                      <w:szCs w:val="21"/>
                      <w:lang w:val="en-US" w:eastAsia="zh-CN"/>
                    </w:rPr>
                    <w:t>32934</w:t>
                  </w:r>
                  <w:r>
                    <w:rPr>
                      <w:color w:val="auto"/>
                      <w:sz w:val="21"/>
                      <w:szCs w:val="21"/>
                    </w:rPr>
                    <w:t>平方米</w:t>
                  </w:r>
                  <w:r>
                    <w:rPr>
                      <w:rFonts w:hint="eastAsia"/>
                      <w:color w:val="auto"/>
                      <w:sz w:val="21"/>
                      <w:szCs w:val="21"/>
                      <w:lang w:val="en-US" w:eastAsia="zh-CN"/>
                    </w:rPr>
                    <w:t>(约49.4亩)</w:t>
                  </w:r>
                </w:p>
              </w:tc>
              <w:tc>
                <w:tcPr>
                  <w:tcW w:w="1972" w:type="pct"/>
                  <w:tcMar>
                    <w:top w:w="85" w:type="dxa"/>
                    <w:left w:w="0" w:type="dxa"/>
                    <w:bottom w:w="85" w:type="dxa"/>
                    <w:right w:w="0" w:type="dxa"/>
                  </w:tcMar>
                  <w:vAlign w:val="center"/>
                </w:tcPr>
                <w:p w14:paraId="6164B313">
                  <w:pPr>
                    <w:spacing w:line="240" w:lineRule="auto"/>
                    <w:ind w:firstLine="0" w:firstLineChars="0"/>
                    <w:jc w:val="center"/>
                    <w:rPr>
                      <w:color w:val="auto"/>
                      <w:sz w:val="21"/>
                      <w:szCs w:val="21"/>
                    </w:rPr>
                  </w:pPr>
                  <w:r>
                    <w:rPr>
                      <w:rFonts w:hint="eastAsia"/>
                      <w:color w:val="auto"/>
                      <w:sz w:val="21"/>
                      <w:szCs w:val="21"/>
                      <w:lang w:val="en-US" w:eastAsia="zh-CN"/>
                    </w:rPr>
                    <w:t>32934</w:t>
                  </w:r>
                  <w:r>
                    <w:rPr>
                      <w:color w:val="auto"/>
                      <w:sz w:val="21"/>
                      <w:szCs w:val="21"/>
                    </w:rPr>
                    <w:t>平方米</w:t>
                  </w:r>
                  <w:r>
                    <w:rPr>
                      <w:rFonts w:hint="eastAsia"/>
                      <w:color w:val="auto"/>
                      <w:sz w:val="21"/>
                      <w:szCs w:val="21"/>
                      <w:lang w:val="en-US" w:eastAsia="zh-CN"/>
                    </w:rPr>
                    <w:t>(约49.4亩)</w:t>
                  </w:r>
                </w:p>
              </w:tc>
              <w:tc>
                <w:tcPr>
                  <w:tcW w:w="393" w:type="pct"/>
                  <w:tcMar>
                    <w:top w:w="85" w:type="dxa"/>
                    <w:left w:w="0" w:type="dxa"/>
                    <w:bottom w:w="85" w:type="dxa"/>
                    <w:right w:w="0" w:type="dxa"/>
                  </w:tcMar>
                  <w:vAlign w:val="center"/>
                </w:tcPr>
                <w:p w14:paraId="0C9E1C54">
                  <w:pPr>
                    <w:spacing w:line="240" w:lineRule="auto"/>
                    <w:ind w:firstLine="0" w:firstLineChars="0"/>
                    <w:jc w:val="center"/>
                    <w:rPr>
                      <w:color w:val="auto"/>
                      <w:sz w:val="21"/>
                      <w:szCs w:val="21"/>
                    </w:rPr>
                  </w:pPr>
                  <w:r>
                    <w:rPr>
                      <w:color w:val="auto"/>
                      <w:sz w:val="21"/>
                      <w:szCs w:val="21"/>
                    </w:rPr>
                    <w:t>相符</w:t>
                  </w:r>
                </w:p>
              </w:tc>
            </w:tr>
            <w:tr w14:paraId="75791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6" w:type="pct"/>
                  <w:vAlign w:val="center"/>
                </w:tcPr>
                <w:p w14:paraId="1BE4EB49">
                  <w:pPr>
                    <w:spacing w:line="240" w:lineRule="auto"/>
                    <w:ind w:firstLine="0" w:firstLineChars="0"/>
                    <w:jc w:val="center"/>
                    <w:rPr>
                      <w:color w:val="auto"/>
                      <w:sz w:val="21"/>
                      <w:szCs w:val="21"/>
                    </w:rPr>
                  </w:pPr>
                  <w:r>
                    <w:rPr>
                      <w:rFonts w:hint="eastAsia"/>
                      <w:color w:val="auto"/>
                      <w:sz w:val="21"/>
                      <w:szCs w:val="21"/>
                    </w:rPr>
                    <w:t>建设内容</w:t>
                  </w:r>
                </w:p>
              </w:tc>
              <w:tc>
                <w:tcPr>
                  <w:tcW w:w="2338" w:type="pct"/>
                  <w:tcMar>
                    <w:top w:w="85" w:type="dxa"/>
                    <w:left w:w="0" w:type="dxa"/>
                    <w:bottom w:w="85" w:type="dxa"/>
                    <w:right w:w="0" w:type="dxa"/>
                  </w:tcMar>
                  <w:vAlign w:val="center"/>
                </w:tcPr>
                <w:p w14:paraId="30D756AC">
                  <w:pPr>
                    <w:spacing w:line="240" w:lineRule="auto"/>
                    <w:ind w:firstLine="0" w:firstLineChars="0"/>
                    <w:rPr>
                      <w:color w:val="auto"/>
                      <w:sz w:val="21"/>
                      <w:szCs w:val="21"/>
                    </w:rPr>
                  </w:pPr>
                  <w:r>
                    <w:rPr>
                      <w:rFonts w:hint="eastAsia"/>
                      <w:color w:val="auto"/>
                      <w:sz w:val="21"/>
                      <w:szCs w:val="21"/>
                    </w:rPr>
                    <w:t>该项目中药饮片生产品种和原辅材料较多，每条生产线根据生产任务和目标产品对原辅料进行调整、更换。主要生产工艺:外购中药材原料首先进行净选、洗药、润制、切制、干燥等预处理工序，达到中药材炮制前的生产要求，然后对不同类型的中药材按照产品生产要求，通过不同的炮制方法进行生产，加工成初成品;部分产品需要进一步经过提取、浓缩、干燥后得到产品;部分产品需要进一步进行筛选分级成不同规格的产品，包装后入库待售。</w:t>
                  </w:r>
                </w:p>
              </w:tc>
              <w:tc>
                <w:tcPr>
                  <w:tcW w:w="1972" w:type="pct"/>
                  <w:tcMar>
                    <w:top w:w="85" w:type="dxa"/>
                    <w:left w:w="0" w:type="dxa"/>
                    <w:bottom w:w="85" w:type="dxa"/>
                    <w:right w:w="0" w:type="dxa"/>
                  </w:tcMar>
                  <w:vAlign w:val="center"/>
                </w:tcPr>
                <w:p w14:paraId="5F7AD0CF">
                  <w:pPr>
                    <w:spacing w:line="240" w:lineRule="auto"/>
                    <w:ind w:firstLine="0" w:firstLineChars="0"/>
                    <w:rPr>
                      <w:rFonts w:hint="default" w:eastAsia="宋体"/>
                      <w:color w:val="auto"/>
                      <w:sz w:val="21"/>
                      <w:szCs w:val="21"/>
                      <w:lang w:val="en-US" w:eastAsia="zh-CN"/>
                    </w:rPr>
                  </w:pPr>
                  <w:r>
                    <w:rPr>
                      <w:rFonts w:hint="eastAsia"/>
                      <w:color w:val="auto"/>
                      <w:sz w:val="21"/>
                      <w:szCs w:val="21"/>
                      <w:lang w:val="en-US" w:eastAsia="zh-CN"/>
                    </w:rPr>
                    <w:t>产品有普通中药饮片（含新型中药饮片）、毒性中药饮片、丸剂类、胶囊类等。</w:t>
                  </w:r>
                  <w:r>
                    <w:rPr>
                      <w:rFonts w:hint="eastAsia"/>
                      <w:color w:val="auto"/>
                      <w:sz w:val="21"/>
                      <w:szCs w:val="21"/>
                    </w:rPr>
                    <w:t>外购中药材原料首先进行净选、洗药、润制、切制、干燥等预处理工序，达到中药材炮制前的生产要求，然后对不同类型的中药材按照产品生产要求，通过不同的炮制方法进行生产，加工成初成品;部分产品需要进一步经过提取、浓缩、干燥后得到产品;部分产品需要进一步进行筛选分级成不同规格的产品，包装后入库待售。</w:t>
                  </w:r>
                </w:p>
              </w:tc>
              <w:tc>
                <w:tcPr>
                  <w:tcW w:w="393" w:type="pct"/>
                  <w:tcMar>
                    <w:top w:w="85" w:type="dxa"/>
                    <w:left w:w="0" w:type="dxa"/>
                    <w:bottom w:w="85" w:type="dxa"/>
                    <w:right w:w="0" w:type="dxa"/>
                  </w:tcMar>
                  <w:vAlign w:val="center"/>
                </w:tcPr>
                <w:p w14:paraId="6030D793">
                  <w:pPr>
                    <w:spacing w:line="240" w:lineRule="auto"/>
                    <w:ind w:firstLine="0" w:firstLineChars="0"/>
                    <w:jc w:val="center"/>
                    <w:rPr>
                      <w:color w:val="auto"/>
                      <w:sz w:val="21"/>
                      <w:szCs w:val="21"/>
                    </w:rPr>
                  </w:pPr>
                  <w:r>
                    <w:rPr>
                      <w:color w:val="auto"/>
                      <w:sz w:val="21"/>
                      <w:szCs w:val="21"/>
                    </w:rPr>
                    <w:t>相符</w:t>
                  </w:r>
                </w:p>
              </w:tc>
            </w:tr>
            <w:tr w14:paraId="2F022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6" w:type="pct"/>
                  <w:vAlign w:val="center"/>
                </w:tcPr>
                <w:p w14:paraId="4C1DFB1D">
                  <w:pPr>
                    <w:spacing w:line="240" w:lineRule="auto"/>
                    <w:ind w:firstLine="0" w:firstLineChars="0"/>
                    <w:jc w:val="center"/>
                    <w:rPr>
                      <w:color w:val="auto"/>
                      <w:sz w:val="21"/>
                      <w:szCs w:val="21"/>
                    </w:rPr>
                  </w:pPr>
                  <w:r>
                    <w:rPr>
                      <w:rFonts w:hint="eastAsia"/>
                      <w:color w:val="auto"/>
                      <w:sz w:val="21"/>
                      <w:szCs w:val="21"/>
                    </w:rPr>
                    <w:t>主要设备</w:t>
                  </w:r>
                </w:p>
              </w:tc>
              <w:tc>
                <w:tcPr>
                  <w:tcW w:w="2338" w:type="pct"/>
                  <w:tcMar>
                    <w:top w:w="85" w:type="dxa"/>
                    <w:left w:w="0" w:type="dxa"/>
                    <w:bottom w:w="85" w:type="dxa"/>
                    <w:right w:w="0" w:type="dxa"/>
                  </w:tcMar>
                  <w:vAlign w:val="center"/>
                </w:tcPr>
                <w:p w14:paraId="21C19BF7">
                  <w:pPr>
                    <w:spacing w:line="240" w:lineRule="auto"/>
                    <w:ind w:firstLine="0" w:firstLineChars="0"/>
                    <w:rPr>
                      <w:color w:val="auto"/>
                      <w:sz w:val="21"/>
                      <w:szCs w:val="21"/>
                    </w:rPr>
                  </w:pPr>
                  <w:r>
                    <w:rPr>
                      <w:rFonts w:hint="eastAsia"/>
                      <w:color w:val="auto"/>
                      <w:sz w:val="21"/>
                      <w:szCs w:val="21"/>
                    </w:rPr>
                    <w:t>组合式空气处理机组、水冷涡旋式冷(热)机组、洗药机、空气能烘箱、微波真空干燥机、万能粉碎机、旋振筛、丸粒筛分机、连续输送真空抛光机、发酵箱、发酵罐、种子罐、提取罐、喷雾干燥机、炼蜜锅、全自动三辊蜜丸机、低温破壁粉碎机等</w:t>
                  </w:r>
                </w:p>
              </w:tc>
              <w:tc>
                <w:tcPr>
                  <w:tcW w:w="1972" w:type="pct"/>
                  <w:tcMar>
                    <w:top w:w="85" w:type="dxa"/>
                    <w:left w:w="0" w:type="dxa"/>
                    <w:bottom w:w="85" w:type="dxa"/>
                    <w:right w:w="0" w:type="dxa"/>
                  </w:tcMar>
                  <w:vAlign w:val="center"/>
                </w:tcPr>
                <w:p w14:paraId="4C34AB11">
                  <w:pPr>
                    <w:spacing w:line="240" w:lineRule="auto"/>
                    <w:ind w:firstLine="0" w:firstLineChars="0"/>
                    <w:rPr>
                      <w:color w:val="auto"/>
                      <w:sz w:val="21"/>
                      <w:szCs w:val="21"/>
                    </w:rPr>
                  </w:pPr>
                  <w:r>
                    <w:rPr>
                      <w:rFonts w:hint="eastAsia"/>
                      <w:color w:val="auto"/>
                      <w:sz w:val="21"/>
                      <w:szCs w:val="21"/>
                    </w:rPr>
                    <w:t>组合式空气处理机组、水冷涡旋式冷(热)机组、洗药机、空气能烘箱、微波真空干燥机、万能粉碎机、旋振筛、丸粒筛分机、连续输送真空抛光机、发酵箱、发酵罐、种子罐、提取罐、喷雾干燥机、炼蜜锅、全自动三辊蜜丸机、低温破壁粉碎机等</w:t>
                  </w:r>
                </w:p>
              </w:tc>
              <w:tc>
                <w:tcPr>
                  <w:tcW w:w="393" w:type="pct"/>
                  <w:tcMar>
                    <w:top w:w="85" w:type="dxa"/>
                    <w:left w:w="0" w:type="dxa"/>
                    <w:bottom w:w="85" w:type="dxa"/>
                    <w:right w:w="0" w:type="dxa"/>
                  </w:tcMar>
                  <w:vAlign w:val="center"/>
                </w:tcPr>
                <w:p w14:paraId="51B8B7BF">
                  <w:pPr>
                    <w:spacing w:line="240" w:lineRule="auto"/>
                    <w:ind w:firstLine="0" w:firstLineChars="0"/>
                    <w:jc w:val="center"/>
                    <w:rPr>
                      <w:color w:val="auto"/>
                      <w:sz w:val="21"/>
                      <w:szCs w:val="21"/>
                    </w:rPr>
                  </w:pPr>
                  <w:r>
                    <w:rPr>
                      <w:color w:val="auto"/>
                      <w:sz w:val="21"/>
                      <w:szCs w:val="21"/>
                    </w:rPr>
                    <w:t>相符</w:t>
                  </w:r>
                </w:p>
              </w:tc>
            </w:tr>
          </w:tbl>
          <w:p w14:paraId="3B7EC6ED">
            <w:pPr>
              <w:pStyle w:val="9"/>
              <w:rPr>
                <w:rFonts w:hint="default"/>
                <w:b/>
                <w:bCs/>
                <w:color w:val="FF0000"/>
                <w:u w:val="single"/>
                <w:lang w:val="en-US" w:eastAsia="zh-CN"/>
              </w:rPr>
            </w:pPr>
            <w:r>
              <w:rPr>
                <w:rFonts w:hint="eastAsia"/>
                <w:b/>
                <w:bCs/>
                <w:color w:val="FF0000"/>
                <w:u w:val="single"/>
                <w:lang w:val="en-US" w:eastAsia="zh-CN"/>
              </w:rPr>
              <w:t>本项目拟建企业名称、项目名称、建设地点、总投资、建设性质、占地面积以及主要生产工艺、主要设备均与备案内容相符，但实际生产中生产工艺还包括之间工序，主要对原料和产品的质量检测，即对外购</w:t>
            </w:r>
            <w:r>
              <w:rPr>
                <w:rFonts w:hint="default"/>
                <w:b/>
                <w:bCs/>
                <w:color w:val="FF0000"/>
                <w:sz w:val="24"/>
                <w:szCs w:val="24"/>
                <w:u w:val="single"/>
                <w:lang w:val="en-US" w:eastAsia="zh-CN"/>
              </w:rPr>
              <w:t>中药材进行抽检，</w:t>
            </w:r>
            <w:r>
              <w:rPr>
                <w:rFonts w:hint="eastAsia"/>
                <w:b/>
                <w:bCs/>
                <w:color w:val="FF0000"/>
                <w:sz w:val="24"/>
                <w:szCs w:val="24"/>
                <w:u w:val="single"/>
                <w:lang w:val="en-US" w:eastAsia="zh-CN"/>
              </w:rPr>
              <w:t>检验</w:t>
            </w:r>
            <w:r>
              <w:rPr>
                <w:rFonts w:hint="default"/>
                <w:b/>
                <w:bCs/>
                <w:color w:val="FF0000"/>
                <w:sz w:val="24"/>
                <w:szCs w:val="24"/>
                <w:u w:val="single"/>
                <w:lang w:val="en-US" w:eastAsia="zh-CN"/>
              </w:rPr>
              <w:t>合格后才能投料生产；生产后的中药饮片也要进行检验，合格后才能进行销售。</w:t>
            </w:r>
          </w:p>
          <w:p w14:paraId="72180FC3">
            <w:pPr>
              <w:ind w:firstLine="480"/>
              <w:rPr>
                <w:rFonts w:hint="eastAsia" w:ascii="Times New Roman" w:hAnsi="Times New Roman" w:eastAsia="宋体" w:cs="Times New Roman"/>
                <w:color w:val="auto"/>
                <w:lang w:val="en-US" w:eastAsia="zh-CN"/>
              </w:rPr>
            </w:pPr>
            <w:r>
              <w:rPr>
                <w:rFonts w:hint="eastAsia"/>
                <w:color w:val="auto"/>
                <w:lang w:val="en-US" w:eastAsia="zh-CN"/>
              </w:rPr>
              <w:t>根据《中华人民共和国环境保护法》、《中华人民共和国环境影响评价法》和《建设项目环境保护管理条例》等法律法规规定，该项目应进行环境影响评价。本项目涉及生产工艺包括净选、洗药、润制、切制、干燥、炮制、发酵、提取、浓缩等，其中提取为水提工艺，因此根据《建设项目环境影响评价分类管理名录》（2021年版）有关规</w:t>
            </w:r>
            <w:r>
              <w:rPr>
                <w:rFonts w:hint="eastAsia" w:ascii="Times New Roman" w:hAnsi="Times New Roman" w:eastAsia="宋体" w:cs="Times New Roman"/>
                <w:color w:val="auto"/>
                <w:lang w:val="en-US" w:eastAsia="zh-CN"/>
              </w:rPr>
              <w:t>定，本项目属于“二十四、‘医药制造业’中中药饮片加工273*；、中成药生产274：其他（单纯切片、制干、打包的除外）”，应编制环境影响报告表。</w:t>
            </w:r>
          </w:p>
          <w:p w14:paraId="0891FAFC">
            <w:pPr>
              <w:ind w:firstLine="480"/>
              <w:rPr>
                <w:color w:val="auto"/>
              </w:rPr>
            </w:pPr>
            <w:r>
              <w:rPr>
                <w:color w:val="auto"/>
              </w:rPr>
              <w:t>受</w:t>
            </w:r>
            <w:r>
              <w:rPr>
                <w:rFonts w:hint="eastAsia"/>
                <w:color w:val="auto"/>
                <w:lang w:val="en-US" w:eastAsia="zh-CN"/>
              </w:rPr>
              <w:t>河南普惠天成生物制药有限公司</w:t>
            </w:r>
            <w:r>
              <w:rPr>
                <w:color w:val="auto"/>
              </w:rPr>
              <w:t>委托我公司承担了本项目的环境影响评价工作。我公司接受委托后立即组织人员对该项目进行了实地踏勘，收集了与本项目相关的资料，并对项目周边环境进行了详细调查、了解，在此基础上根据国家、省市的有关环保法规以及环境影响评价技术导则要求，编制了本项目环境影响报告表。</w:t>
            </w:r>
          </w:p>
          <w:p w14:paraId="60631B4E">
            <w:pPr>
              <w:pageBreakBefore w:val="0"/>
              <w:widowControl w:val="0"/>
              <w:kinsoku/>
              <w:wordWrap w:val="0"/>
              <w:overflowPunct/>
              <w:topLinePunct w:val="0"/>
              <w:autoSpaceDE/>
              <w:autoSpaceDN/>
              <w:bidi w:val="0"/>
              <w:snapToGrid/>
              <w:spacing w:line="360" w:lineRule="auto"/>
              <w:ind w:left="0" w:firstLine="0" w:firstLineChars="0"/>
              <w:rPr>
                <w:b/>
                <w:color w:val="auto"/>
              </w:rPr>
            </w:pPr>
            <w:r>
              <w:rPr>
                <w:rFonts w:hint="eastAsia"/>
                <w:color w:val="auto"/>
              </w:rPr>
              <w:t>二、</w:t>
            </w:r>
            <w:r>
              <w:rPr>
                <w:rFonts w:hint="eastAsia"/>
                <w:b/>
                <w:color w:val="auto"/>
              </w:rPr>
              <w:t>建设项目</w:t>
            </w:r>
            <w:r>
              <w:rPr>
                <w:b/>
                <w:color w:val="auto"/>
              </w:rPr>
              <w:t>概况</w:t>
            </w:r>
          </w:p>
          <w:p w14:paraId="552C07DF">
            <w:pPr>
              <w:pageBreakBefore w:val="0"/>
              <w:widowControl w:val="0"/>
              <w:kinsoku/>
              <w:wordWrap w:val="0"/>
              <w:overflowPunct/>
              <w:topLinePunct w:val="0"/>
              <w:autoSpaceDE/>
              <w:autoSpaceDN/>
              <w:bidi w:val="0"/>
              <w:snapToGrid/>
              <w:spacing w:line="360" w:lineRule="auto"/>
              <w:ind w:left="0" w:firstLine="0" w:firstLineChars="0"/>
              <w:rPr>
                <w:b/>
                <w:color w:val="auto"/>
              </w:rPr>
            </w:pPr>
            <w:r>
              <w:rPr>
                <w:rFonts w:hint="eastAsia"/>
                <w:b/>
                <w:color w:val="auto"/>
              </w:rPr>
              <w:t>1.</w:t>
            </w:r>
            <w:r>
              <w:rPr>
                <w:b/>
                <w:color w:val="auto"/>
              </w:rPr>
              <w:t>项目基本情况</w:t>
            </w:r>
          </w:p>
          <w:p w14:paraId="25C07F07">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425" w:leftChars="0" w:hanging="425" w:firstLineChars="0"/>
              <w:jc w:val="center"/>
              <w:textAlignment w:val="auto"/>
              <w:rPr>
                <w:rFonts w:hint="eastAsia"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项目基本情况一览表</w:t>
            </w:r>
          </w:p>
          <w:tbl>
            <w:tblPr>
              <w:tblStyle w:val="20"/>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63"/>
              <w:gridCol w:w="6923"/>
            </w:tblGrid>
            <w:tr w14:paraId="7C840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555" w:type="dxa"/>
                  <w:vAlign w:val="center"/>
                </w:tcPr>
                <w:p w14:paraId="58D44F06">
                  <w:pPr>
                    <w:spacing w:line="240" w:lineRule="auto"/>
                    <w:ind w:firstLine="0" w:firstLineChars="0"/>
                    <w:jc w:val="center"/>
                    <w:rPr>
                      <w:color w:val="auto"/>
                      <w:sz w:val="21"/>
                      <w:szCs w:val="21"/>
                    </w:rPr>
                  </w:pPr>
                  <w:r>
                    <w:rPr>
                      <w:color w:val="auto"/>
                      <w:sz w:val="21"/>
                      <w:szCs w:val="21"/>
                    </w:rPr>
                    <w:t>项目名称</w:t>
                  </w:r>
                </w:p>
              </w:tc>
              <w:tc>
                <w:tcPr>
                  <w:tcW w:w="6885" w:type="dxa"/>
                  <w:vAlign w:val="center"/>
                </w:tcPr>
                <w:p w14:paraId="537B05F7">
                  <w:pPr>
                    <w:spacing w:line="240" w:lineRule="auto"/>
                    <w:ind w:firstLine="0" w:firstLineChars="0"/>
                    <w:jc w:val="center"/>
                    <w:rPr>
                      <w:color w:val="auto"/>
                      <w:sz w:val="21"/>
                      <w:szCs w:val="21"/>
                    </w:rPr>
                  </w:pPr>
                  <w:r>
                    <w:rPr>
                      <w:rFonts w:hint="eastAsia"/>
                      <w:color w:val="auto"/>
                      <w:sz w:val="21"/>
                      <w:szCs w:val="21"/>
                      <w:lang w:val="en-US" w:eastAsia="zh-CN"/>
                    </w:rPr>
                    <w:t>河南普惠天成生物制药有限公司新型中药饮片生产建设项目</w:t>
                  </w:r>
                </w:p>
              </w:tc>
            </w:tr>
            <w:tr w14:paraId="6FCBE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555" w:type="dxa"/>
                  <w:vAlign w:val="center"/>
                </w:tcPr>
                <w:p w14:paraId="302A3F3E">
                  <w:pPr>
                    <w:spacing w:line="240" w:lineRule="auto"/>
                    <w:ind w:firstLine="0" w:firstLineChars="0"/>
                    <w:jc w:val="center"/>
                    <w:rPr>
                      <w:color w:val="auto"/>
                      <w:sz w:val="21"/>
                      <w:szCs w:val="21"/>
                    </w:rPr>
                  </w:pPr>
                  <w:r>
                    <w:rPr>
                      <w:color w:val="auto"/>
                      <w:sz w:val="21"/>
                      <w:szCs w:val="21"/>
                    </w:rPr>
                    <w:t>建设单位</w:t>
                  </w:r>
                </w:p>
              </w:tc>
              <w:tc>
                <w:tcPr>
                  <w:tcW w:w="6885" w:type="dxa"/>
                  <w:vAlign w:val="center"/>
                </w:tcPr>
                <w:p w14:paraId="3A818E4E">
                  <w:pPr>
                    <w:spacing w:line="240" w:lineRule="auto"/>
                    <w:ind w:firstLine="0" w:firstLineChars="0"/>
                    <w:jc w:val="center"/>
                    <w:rPr>
                      <w:color w:val="auto"/>
                      <w:sz w:val="21"/>
                      <w:szCs w:val="21"/>
                    </w:rPr>
                  </w:pPr>
                  <w:r>
                    <w:rPr>
                      <w:rFonts w:hint="eastAsia"/>
                      <w:color w:val="auto"/>
                      <w:sz w:val="21"/>
                      <w:szCs w:val="21"/>
                      <w:lang w:val="en-US" w:eastAsia="zh-CN"/>
                    </w:rPr>
                    <w:t>河南普惠天成生物制药有限公司</w:t>
                  </w:r>
                </w:p>
              </w:tc>
            </w:tr>
            <w:tr w14:paraId="305ED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555" w:type="dxa"/>
                  <w:vAlign w:val="center"/>
                </w:tcPr>
                <w:p w14:paraId="15202150">
                  <w:pPr>
                    <w:spacing w:line="240" w:lineRule="auto"/>
                    <w:ind w:firstLine="0" w:firstLineChars="0"/>
                    <w:jc w:val="center"/>
                    <w:rPr>
                      <w:color w:val="auto"/>
                      <w:sz w:val="21"/>
                      <w:szCs w:val="21"/>
                    </w:rPr>
                  </w:pPr>
                  <w:r>
                    <w:rPr>
                      <w:color w:val="auto"/>
                      <w:sz w:val="21"/>
                      <w:szCs w:val="21"/>
                    </w:rPr>
                    <w:t>建设性质</w:t>
                  </w:r>
                </w:p>
              </w:tc>
              <w:tc>
                <w:tcPr>
                  <w:tcW w:w="6885" w:type="dxa"/>
                  <w:vAlign w:val="center"/>
                </w:tcPr>
                <w:p w14:paraId="4370CBD9">
                  <w:pPr>
                    <w:spacing w:line="240" w:lineRule="auto"/>
                    <w:ind w:firstLine="0" w:firstLineChars="0"/>
                    <w:jc w:val="center"/>
                    <w:rPr>
                      <w:rFonts w:hint="eastAsia" w:eastAsia="宋体"/>
                      <w:color w:val="auto"/>
                      <w:sz w:val="21"/>
                      <w:szCs w:val="21"/>
                      <w:lang w:eastAsia="zh-CN"/>
                    </w:rPr>
                  </w:pPr>
                  <w:r>
                    <w:rPr>
                      <w:rFonts w:hint="eastAsia"/>
                      <w:color w:val="auto"/>
                      <w:sz w:val="21"/>
                      <w:szCs w:val="21"/>
                      <w:lang w:val="en-US" w:eastAsia="zh-CN"/>
                    </w:rPr>
                    <w:t>新建</w:t>
                  </w:r>
                </w:p>
              </w:tc>
            </w:tr>
            <w:tr w14:paraId="2A918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555" w:type="dxa"/>
                  <w:vAlign w:val="center"/>
                </w:tcPr>
                <w:p w14:paraId="4C0DDC3C">
                  <w:pPr>
                    <w:spacing w:line="240" w:lineRule="auto"/>
                    <w:ind w:firstLine="0" w:firstLineChars="0"/>
                    <w:jc w:val="center"/>
                    <w:rPr>
                      <w:color w:val="auto"/>
                      <w:sz w:val="21"/>
                      <w:szCs w:val="21"/>
                    </w:rPr>
                  </w:pPr>
                  <w:r>
                    <w:rPr>
                      <w:color w:val="auto"/>
                      <w:sz w:val="21"/>
                      <w:szCs w:val="21"/>
                    </w:rPr>
                    <w:t>建设地点</w:t>
                  </w:r>
                </w:p>
              </w:tc>
              <w:tc>
                <w:tcPr>
                  <w:tcW w:w="6885" w:type="dxa"/>
                  <w:vAlign w:val="center"/>
                </w:tcPr>
                <w:p w14:paraId="2BD7756A">
                  <w:pPr>
                    <w:spacing w:line="240" w:lineRule="auto"/>
                    <w:ind w:firstLine="0" w:firstLineChars="0"/>
                    <w:jc w:val="center"/>
                    <w:rPr>
                      <w:color w:val="auto"/>
                      <w:sz w:val="21"/>
                      <w:szCs w:val="21"/>
                    </w:rPr>
                  </w:pPr>
                  <w:r>
                    <w:rPr>
                      <w:rFonts w:hint="eastAsia"/>
                      <w:color w:val="auto"/>
                      <w:sz w:val="21"/>
                      <w:szCs w:val="21"/>
                    </w:rPr>
                    <w:t>濮阳市</w:t>
                  </w:r>
                  <w:r>
                    <w:rPr>
                      <w:rFonts w:hint="eastAsia"/>
                      <w:color w:val="auto"/>
                      <w:sz w:val="21"/>
                      <w:szCs w:val="21"/>
                      <w:lang w:eastAsia="zh-CN"/>
                    </w:rPr>
                    <w:t>南乐县先进制造业开发区</w:t>
                  </w:r>
                  <w:r>
                    <w:rPr>
                      <w:rFonts w:hint="eastAsia"/>
                      <w:color w:val="auto"/>
                      <w:sz w:val="21"/>
                      <w:szCs w:val="21"/>
                    </w:rPr>
                    <w:t>鸿宇路南侧5号</w:t>
                  </w:r>
                </w:p>
              </w:tc>
            </w:tr>
            <w:tr w14:paraId="43130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555" w:type="dxa"/>
                  <w:vAlign w:val="center"/>
                </w:tcPr>
                <w:p w14:paraId="34153428">
                  <w:pPr>
                    <w:spacing w:line="240" w:lineRule="auto"/>
                    <w:ind w:firstLine="0" w:firstLineChars="0"/>
                    <w:jc w:val="center"/>
                    <w:rPr>
                      <w:color w:val="auto"/>
                      <w:sz w:val="21"/>
                      <w:szCs w:val="21"/>
                    </w:rPr>
                  </w:pPr>
                  <w:r>
                    <w:rPr>
                      <w:color w:val="auto"/>
                      <w:sz w:val="21"/>
                      <w:szCs w:val="21"/>
                    </w:rPr>
                    <w:t>劳动定员</w:t>
                  </w:r>
                </w:p>
              </w:tc>
              <w:tc>
                <w:tcPr>
                  <w:tcW w:w="6885" w:type="dxa"/>
                  <w:vAlign w:val="center"/>
                </w:tcPr>
                <w:p w14:paraId="24AECD01">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100人</w:t>
                  </w:r>
                </w:p>
              </w:tc>
            </w:tr>
            <w:tr w14:paraId="1A504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555" w:type="dxa"/>
                  <w:vAlign w:val="center"/>
                </w:tcPr>
                <w:p w14:paraId="21C96933">
                  <w:pPr>
                    <w:spacing w:line="240" w:lineRule="auto"/>
                    <w:ind w:firstLine="0" w:firstLineChars="0"/>
                    <w:jc w:val="center"/>
                    <w:rPr>
                      <w:color w:val="auto"/>
                      <w:sz w:val="21"/>
                      <w:szCs w:val="21"/>
                    </w:rPr>
                  </w:pPr>
                  <w:r>
                    <w:rPr>
                      <w:color w:val="auto"/>
                      <w:sz w:val="21"/>
                      <w:szCs w:val="21"/>
                    </w:rPr>
                    <w:t>工作制度</w:t>
                  </w:r>
                </w:p>
              </w:tc>
              <w:tc>
                <w:tcPr>
                  <w:tcW w:w="6885" w:type="dxa"/>
                  <w:vAlign w:val="center"/>
                </w:tcPr>
                <w:p w14:paraId="28D8B026">
                  <w:pPr>
                    <w:spacing w:line="240" w:lineRule="auto"/>
                    <w:ind w:firstLine="0" w:firstLineChars="0"/>
                    <w:jc w:val="center"/>
                    <w:rPr>
                      <w:color w:val="auto"/>
                      <w:sz w:val="21"/>
                      <w:szCs w:val="21"/>
                      <w:lang w:val="zh-CN"/>
                    </w:rPr>
                  </w:pPr>
                  <w:r>
                    <w:rPr>
                      <w:rFonts w:hint="eastAsia"/>
                      <w:color w:val="auto"/>
                      <w:sz w:val="21"/>
                      <w:szCs w:val="21"/>
                      <w:lang w:val="en-US" w:eastAsia="zh-CN"/>
                    </w:rPr>
                    <w:t>年工作天数320天、</w:t>
                  </w:r>
                  <w:r>
                    <w:rPr>
                      <w:rFonts w:hint="eastAsia"/>
                      <w:color w:val="auto"/>
                      <w:sz w:val="21"/>
                      <w:szCs w:val="21"/>
                    </w:rPr>
                    <w:t>每天工作8小时</w:t>
                  </w:r>
                </w:p>
              </w:tc>
            </w:tr>
            <w:tr w14:paraId="00EBF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555" w:type="dxa"/>
                  <w:vAlign w:val="center"/>
                </w:tcPr>
                <w:p w14:paraId="6BAF503D">
                  <w:pPr>
                    <w:spacing w:line="240" w:lineRule="auto"/>
                    <w:ind w:firstLine="0" w:firstLineChars="0"/>
                    <w:jc w:val="center"/>
                    <w:rPr>
                      <w:color w:val="auto"/>
                      <w:sz w:val="21"/>
                      <w:szCs w:val="21"/>
                    </w:rPr>
                  </w:pPr>
                  <w:r>
                    <w:rPr>
                      <w:color w:val="auto"/>
                      <w:sz w:val="21"/>
                      <w:szCs w:val="21"/>
                    </w:rPr>
                    <w:t>投资额</w:t>
                  </w:r>
                </w:p>
              </w:tc>
              <w:tc>
                <w:tcPr>
                  <w:tcW w:w="6885" w:type="dxa"/>
                  <w:vAlign w:val="center"/>
                </w:tcPr>
                <w:p w14:paraId="25AA518C">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总投资470</w:t>
                  </w:r>
                  <w:r>
                    <w:rPr>
                      <w:rFonts w:hint="eastAsia"/>
                      <w:color w:val="auto"/>
                      <w:sz w:val="21"/>
                      <w:szCs w:val="21"/>
                    </w:rPr>
                    <w:t>00万</w:t>
                  </w:r>
                  <w:r>
                    <w:rPr>
                      <w:color w:val="auto"/>
                      <w:sz w:val="21"/>
                      <w:szCs w:val="21"/>
                    </w:rPr>
                    <w:t>元</w:t>
                  </w:r>
                  <w:r>
                    <w:rPr>
                      <w:rFonts w:hint="eastAsia"/>
                      <w:color w:val="auto"/>
                      <w:sz w:val="21"/>
                      <w:szCs w:val="21"/>
                      <w:lang w:eastAsia="zh-CN"/>
                    </w:rPr>
                    <w:t>，</w:t>
                  </w:r>
                  <w:r>
                    <w:rPr>
                      <w:rFonts w:hint="eastAsia"/>
                      <w:color w:val="auto"/>
                      <w:sz w:val="21"/>
                      <w:szCs w:val="21"/>
                      <w:lang w:val="en-US" w:eastAsia="zh-CN"/>
                    </w:rPr>
                    <w:t>环保投资387万元</w:t>
                  </w:r>
                </w:p>
              </w:tc>
            </w:tr>
            <w:tr w14:paraId="07790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555" w:type="dxa"/>
                  <w:vAlign w:val="center"/>
                </w:tcPr>
                <w:p w14:paraId="2510F50C">
                  <w:pPr>
                    <w:spacing w:line="240" w:lineRule="auto"/>
                    <w:ind w:firstLine="0" w:firstLineChars="0"/>
                    <w:jc w:val="center"/>
                    <w:rPr>
                      <w:color w:val="auto"/>
                      <w:sz w:val="21"/>
                      <w:szCs w:val="21"/>
                    </w:rPr>
                  </w:pPr>
                  <w:r>
                    <w:rPr>
                      <w:color w:val="auto"/>
                      <w:sz w:val="21"/>
                      <w:szCs w:val="21"/>
                    </w:rPr>
                    <w:t>行业类别</w:t>
                  </w:r>
                </w:p>
              </w:tc>
              <w:tc>
                <w:tcPr>
                  <w:tcW w:w="6885" w:type="dxa"/>
                  <w:vAlign w:val="center"/>
                </w:tcPr>
                <w:p w14:paraId="489BAF30">
                  <w:pPr>
                    <w:spacing w:line="240" w:lineRule="auto"/>
                    <w:ind w:firstLine="0" w:firstLineChars="0"/>
                    <w:jc w:val="center"/>
                    <w:rPr>
                      <w:color w:val="auto"/>
                      <w:sz w:val="21"/>
                      <w:szCs w:val="21"/>
                    </w:rPr>
                  </w:pPr>
                  <w:r>
                    <w:rPr>
                      <w:rFonts w:hint="eastAsia"/>
                      <w:color w:val="auto"/>
                      <w:sz w:val="21"/>
                      <w:szCs w:val="21"/>
                    </w:rPr>
                    <w:t>C</w:t>
                  </w:r>
                  <w:r>
                    <w:rPr>
                      <w:rFonts w:hint="eastAsia"/>
                      <w:color w:val="auto"/>
                      <w:sz w:val="21"/>
                      <w:szCs w:val="21"/>
                      <w:lang w:val="en-US" w:eastAsia="zh-CN"/>
                    </w:rPr>
                    <w:t>2730中药饮片加工、C2740中成药生产</w:t>
                  </w:r>
                </w:p>
              </w:tc>
            </w:tr>
          </w:tbl>
          <w:p w14:paraId="60D9E6DF">
            <w:pPr>
              <w:pageBreakBefore w:val="0"/>
              <w:widowControl w:val="0"/>
              <w:kinsoku/>
              <w:wordWrap w:val="0"/>
              <w:overflowPunct/>
              <w:topLinePunct w:val="0"/>
              <w:autoSpaceDE/>
              <w:autoSpaceDN/>
              <w:bidi w:val="0"/>
              <w:snapToGrid/>
              <w:spacing w:line="360" w:lineRule="auto"/>
              <w:ind w:left="0" w:firstLine="0" w:firstLineChars="0"/>
              <w:rPr>
                <w:b/>
                <w:color w:val="auto"/>
              </w:rPr>
            </w:pPr>
            <w:bookmarkStart w:id="5" w:name="_Ref288206534"/>
            <w:r>
              <w:rPr>
                <w:rFonts w:hint="eastAsia"/>
                <w:b/>
                <w:color w:val="auto"/>
              </w:rPr>
              <w:t>2.项目组成及建设内容</w:t>
            </w:r>
          </w:p>
          <w:p w14:paraId="53964BC5">
            <w:pPr>
              <w:ind w:firstLine="480"/>
              <w:rPr>
                <w:rFonts w:hint="eastAsia"/>
                <w:color w:val="auto"/>
                <w:lang w:val="en-US" w:eastAsia="zh-CN"/>
              </w:rPr>
            </w:pPr>
            <w:r>
              <w:rPr>
                <w:rFonts w:hint="eastAsia"/>
                <w:color w:val="auto"/>
              </w:rPr>
              <w:t>本项目</w:t>
            </w:r>
            <w:r>
              <w:rPr>
                <w:rFonts w:hint="eastAsia"/>
                <w:color w:val="auto"/>
                <w:lang w:val="en-US" w:eastAsia="zh-CN"/>
              </w:rPr>
              <w:t>租用南乐县中成园区运营管理有限公司土地进行建设，对地块上已有的1栋办公楼、1座食堂、两栋空厂房进行建设并布置。</w:t>
            </w:r>
          </w:p>
          <w:p w14:paraId="774E92D0">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425" w:leftChars="0" w:hanging="425" w:firstLineChars="0"/>
              <w:jc w:val="center"/>
              <w:textAlignment w:val="auto"/>
              <w:rPr>
                <w:rFonts w:hint="eastAsia"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项目主要组成内容</w:t>
            </w:r>
          </w:p>
          <w:tbl>
            <w:tblPr>
              <w:tblStyle w:val="20"/>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20"/>
              <w:gridCol w:w="902"/>
              <w:gridCol w:w="6487"/>
              <w:gridCol w:w="670"/>
            </w:tblGrid>
            <w:tr w14:paraId="64E4C0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5" w:type="dxa"/>
                  <w:tcBorders>
                    <w:tl2br w:val="nil"/>
                    <w:tr2bl w:val="nil"/>
                  </w:tcBorders>
                  <w:vAlign w:val="center"/>
                </w:tcPr>
                <w:p w14:paraId="0E9A9F0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工程类别</w:t>
                  </w:r>
                </w:p>
              </w:tc>
              <w:tc>
                <w:tcPr>
                  <w:tcW w:w="859" w:type="dxa"/>
                  <w:tcBorders>
                    <w:tl2br w:val="nil"/>
                    <w:tr2bl w:val="nil"/>
                  </w:tcBorders>
                  <w:vAlign w:val="center"/>
                </w:tcPr>
                <w:p w14:paraId="0466971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工程名称</w:t>
                  </w:r>
                </w:p>
              </w:tc>
              <w:tc>
                <w:tcPr>
                  <w:tcW w:w="6175" w:type="dxa"/>
                  <w:tcBorders>
                    <w:tl2br w:val="nil"/>
                    <w:tr2bl w:val="nil"/>
                  </w:tcBorders>
                  <w:vAlign w:val="center"/>
                </w:tcPr>
                <w:p w14:paraId="076CA62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eastAsia="宋体"/>
                      <w:b/>
                      <w:bCs/>
                      <w:color w:val="auto"/>
                      <w:sz w:val="21"/>
                      <w:szCs w:val="21"/>
                      <w:lang w:val="en-US" w:eastAsia="zh-CN"/>
                    </w:rPr>
                  </w:pPr>
                  <w:r>
                    <w:rPr>
                      <w:rFonts w:hint="eastAsia"/>
                      <w:b/>
                      <w:bCs/>
                      <w:color w:val="auto"/>
                      <w:sz w:val="21"/>
                      <w:szCs w:val="21"/>
                      <w:lang w:val="en-US" w:eastAsia="zh-CN"/>
                    </w:rPr>
                    <w:t>建设内容</w:t>
                  </w:r>
                </w:p>
              </w:tc>
              <w:tc>
                <w:tcPr>
                  <w:tcW w:w="638" w:type="dxa"/>
                  <w:tcBorders>
                    <w:tl2br w:val="nil"/>
                    <w:tr2bl w:val="nil"/>
                  </w:tcBorders>
                  <w:vAlign w:val="center"/>
                </w:tcPr>
                <w:p w14:paraId="2E9F987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eastAsia="宋体"/>
                      <w:b/>
                      <w:bCs/>
                      <w:color w:val="auto"/>
                      <w:sz w:val="21"/>
                      <w:szCs w:val="21"/>
                      <w:lang w:val="en-US" w:eastAsia="zh-CN"/>
                    </w:rPr>
                  </w:pPr>
                  <w:r>
                    <w:rPr>
                      <w:rFonts w:hint="eastAsia"/>
                      <w:b/>
                      <w:bCs/>
                      <w:color w:val="auto"/>
                      <w:sz w:val="21"/>
                      <w:szCs w:val="21"/>
                      <w:lang w:val="en-US" w:eastAsia="zh-CN"/>
                    </w:rPr>
                    <w:t>备注</w:t>
                  </w:r>
                </w:p>
              </w:tc>
            </w:tr>
            <w:tr w14:paraId="75CDF7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5" w:type="dxa"/>
                  <w:vMerge w:val="restart"/>
                  <w:tcBorders>
                    <w:tl2br w:val="nil"/>
                    <w:tr2bl w:val="nil"/>
                  </w:tcBorders>
                  <w:vAlign w:val="center"/>
                </w:tcPr>
                <w:p w14:paraId="1211B9B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主体工程</w:t>
                  </w:r>
                </w:p>
              </w:tc>
              <w:tc>
                <w:tcPr>
                  <w:tcW w:w="859" w:type="dxa"/>
                  <w:tcBorders>
                    <w:tl2br w:val="nil"/>
                    <w:tr2bl w:val="nil"/>
                  </w:tcBorders>
                  <w:vAlign w:val="center"/>
                </w:tcPr>
                <w:p w14:paraId="3A91875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s="宋体"/>
                      <w:b/>
                      <w:bCs/>
                      <w:color w:val="auto"/>
                      <w:sz w:val="21"/>
                      <w:szCs w:val="21"/>
                      <w:u w:val="single"/>
                      <w:lang w:val="en-US" w:eastAsia="zh-CN"/>
                    </w:rPr>
                  </w:pPr>
                  <w:r>
                    <w:rPr>
                      <w:rFonts w:hint="eastAsia"/>
                      <w:b/>
                      <w:bCs/>
                      <w:color w:val="auto"/>
                      <w:sz w:val="21"/>
                      <w:szCs w:val="21"/>
                      <w:u w:val="single"/>
                      <w:lang w:val="en-US" w:eastAsia="zh-CN"/>
                    </w:rPr>
                    <w:t>1#建筑物</w:t>
                  </w:r>
                </w:p>
              </w:tc>
              <w:tc>
                <w:tcPr>
                  <w:tcW w:w="6175" w:type="dxa"/>
                  <w:tcBorders>
                    <w:tl2br w:val="nil"/>
                    <w:tr2bl w:val="nil"/>
                  </w:tcBorders>
                  <w:vAlign w:val="center"/>
                </w:tcPr>
                <w:p w14:paraId="0E31A63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left"/>
                    <w:textAlignment w:val="auto"/>
                    <w:rPr>
                      <w:b/>
                      <w:bCs/>
                      <w:color w:val="auto"/>
                      <w:sz w:val="21"/>
                      <w:szCs w:val="21"/>
                      <w:u w:val="single"/>
                    </w:rPr>
                  </w:pPr>
                  <w:r>
                    <w:rPr>
                      <w:rFonts w:hint="eastAsia"/>
                      <w:b/>
                      <w:bCs/>
                      <w:color w:val="auto"/>
                      <w:sz w:val="21"/>
                      <w:szCs w:val="21"/>
                      <w:u w:val="single"/>
                      <w:lang w:val="en-US" w:eastAsia="zh-CN"/>
                    </w:rPr>
                    <w:t>布置有普通中药饮片车间（含发酵车间），1F，总建筑面积1680m</w:t>
                  </w:r>
                  <w:r>
                    <w:rPr>
                      <w:rFonts w:hint="eastAsia"/>
                      <w:b/>
                      <w:bCs/>
                      <w:color w:val="auto"/>
                      <w:sz w:val="21"/>
                      <w:szCs w:val="21"/>
                      <w:u w:val="single"/>
                      <w:vertAlign w:val="superscript"/>
                      <w:lang w:val="en-US" w:eastAsia="zh-CN"/>
                    </w:rPr>
                    <w:t>2</w:t>
                  </w:r>
                  <w:r>
                    <w:rPr>
                      <w:rFonts w:hint="eastAsia"/>
                      <w:b/>
                      <w:bCs/>
                      <w:color w:val="auto"/>
                      <w:sz w:val="21"/>
                      <w:szCs w:val="21"/>
                      <w:u w:val="single"/>
                      <w:lang w:val="en-US" w:eastAsia="zh-CN"/>
                    </w:rPr>
                    <w:t>；口服饮片车间，1F，总建筑面积800m</w:t>
                  </w:r>
                  <w:r>
                    <w:rPr>
                      <w:rFonts w:hint="eastAsia"/>
                      <w:b/>
                      <w:bCs/>
                      <w:color w:val="auto"/>
                      <w:sz w:val="21"/>
                      <w:szCs w:val="21"/>
                      <w:u w:val="single"/>
                      <w:vertAlign w:val="superscript"/>
                      <w:lang w:val="en-US" w:eastAsia="zh-CN"/>
                    </w:rPr>
                    <w:t>2</w:t>
                  </w:r>
                  <w:r>
                    <w:rPr>
                      <w:rFonts w:hint="eastAsia"/>
                      <w:b/>
                      <w:bCs/>
                      <w:color w:val="auto"/>
                      <w:sz w:val="21"/>
                      <w:szCs w:val="21"/>
                      <w:u w:val="single"/>
                      <w:lang w:val="en-US" w:eastAsia="zh-CN"/>
                    </w:rPr>
                    <w:t>；毒性饮片车间（含发酵车间），1F，总建筑面积319m</w:t>
                  </w:r>
                  <w:r>
                    <w:rPr>
                      <w:rFonts w:hint="eastAsia"/>
                      <w:b/>
                      <w:bCs/>
                      <w:color w:val="auto"/>
                      <w:sz w:val="21"/>
                      <w:szCs w:val="21"/>
                      <w:u w:val="single"/>
                      <w:vertAlign w:val="superscript"/>
                      <w:lang w:val="en-US" w:eastAsia="zh-CN"/>
                    </w:rPr>
                    <w:t>2</w:t>
                  </w:r>
                  <w:r>
                    <w:rPr>
                      <w:rFonts w:hint="eastAsia"/>
                      <w:b/>
                      <w:bCs/>
                      <w:color w:val="auto"/>
                      <w:sz w:val="21"/>
                      <w:szCs w:val="21"/>
                      <w:u w:val="single"/>
                      <w:lang w:val="en-US" w:eastAsia="zh-CN"/>
                    </w:rPr>
                    <w:t>；丸剂车间，1F，总建筑面积308m</w:t>
                  </w:r>
                  <w:r>
                    <w:rPr>
                      <w:rFonts w:hint="eastAsia"/>
                      <w:b/>
                      <w:bCs/>
                      <w:color w:val="auto"/>
                      <w:sz w:val="21"/>
                      <w:szCs w:val="21"/>
                      <w:u w:val="single"/>
                      <w:vertAlign w:val="superscript"/>
                      <w:lang w:val="en-US" w:eastAsia="zh-CN"/>
                    </w:rPr>
                    <w:t>2</w:t>
                  </w:r>
                </w:p>
              </w:tc>
              <w:tc>
                <w:tcPr>
                  <w:tcW w:w="638" w:type="dxa"/>
                  <w:tcBorders>
                    <w:tl2br w:val="nil"/>
                    <w:tr2bl w:val="nil"/>
                  </w:tcBorders>
                  <w:vAlign w:val="center"/>
                </w:tcPr>
                <w:p w14:paraId="26CE6DA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新建</w:t>
                  </w:r>
                </w:p>
              </w:tc>
            </w:tr>
            <w:tr w14:paraId="5FD91B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5" w:type="dxa"/>
                  <w:vMerge w:val="continue"/>
                  <w:tcBorders>
                    <w:tl2br w:val="nil"/>
                    <w:tr2bl w:val="nil"/>
                  </w:tcBorders>
                  <w:vAlign w:val="center"/>
                </w:tcPr>
                <w:p w14:paraId="22C2D5E4">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859" w:type="dxa"/>
                  <w:tcBorders>
                    <w:tl2br w:val="nil"/>
                    <w:tr2bl w:val="nil"/>
                  </w:tcBorders>
                  <w:vAlign w:val="center"/>
                </w:tcPr>
                <w:p w14:paraId="499432F2">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b/>
                      <w:bCs/>
                      <w:color w:val="auto"/>
                      <w:sz w:val="21"/>
                      <w:szCs w:val="21"/>
                      <w:u w:val="single"/>
                    </w:rPr>
                  </w:pPr>
                  <w:r>
                    <w:rPr>
                      <w:rFonts w:hint="eastAsia"/>
                      <w:b/>
                      <w:bCs/>
                      <w:color w:val="auto"/>
                      <w:sz w:val="21"/>
                      <w:szCs w:val="21"/>
                      <w:u w:val="single"/>
                      <w:lang w:val="en-US" w:eastAsia="zh-CN"/>
                    </w:rPr>
                    <w:t>2#建筑物</w:t>
                  </w:r>
                </w:p>
              </w:tc>
              <w:tc>
                <w:tcPr>
                  <w:tcW w:w="6175" w:type="dxa"/>
                  <w:tcBorders>
                    <w:tl2br w:val="nil"/>
                    <w:tr2bl w:val="nil"/>
                  </w:tcBorders>
                  <w:vAlign w:val="center"/>
                </w:tcPr>
                <w:p w14:paraId="6FFCA824">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b/>
                      <w:bCs/>
                      <w:color w:val="auto"/>
                      <w:sz w:val="21"/>
                      <w:szCs w:val="21"/>
                      <w:u w:val="single"/>
                    </w:rPr>
                  </w:pPr>
                  <w:r>
                    <w:rPr>
                      <w:rFonts w:hint="eastAsia"/>
                      <w:b/>
                      <w:bCs/>
                      <w:color w:val="auto"/>
                      <w:sz w:val="21"/>
                      <w:szCs w:val="21"/>
                      <w:u w:val="single"/>
                      <w:lang w:val="en-US" w:eastAsia="zh-CN"/>
                    </w:rPr>
                    <w:t>布置有质检中心，1F，总建筑面积720m</w:t>
                  </w:r>
                  <w:r>
                    <w:rPr>
                      <w:rFonts w:hint="eastAsia"/>
                      <w:b/>
                      <w:bCs/>
                      <w:color w:val="auto"/>
                      <w:sz w:val="21"/>
                      <w:szCs w:val="21"/>
                      <w:u w:val="single"/>
                      <w:vertAlign w:val="superscript"/>
                      <w:lang w:val="en-US" w:eastAsia="zh-CN"/>
                    </w:rPr>
                    <w:t>2</w:t>
                  </w:r>
                  <w:r>
                    <w:rPr>
                      <w:rFonts w:hint="eastAsia"/>
                      <w:b/>
                      <w:bCs/>
                      <w:color w:val="auto"/>
                      <w:sz w:val="21"/>
                      <w:szCs w:val="21"/>
                      <w:u w:val="single"/>
                      <w:lang w:val="en-US" w:eastAsia="zh-CN"/>
                    </w:rPr>
                    <w:t>；保健食品类生产车间，1F，总建筑面积960m</w:t>
                  </w:r>
                  <w:r>
                    <w:rPr>
                      <w:rFonts w:hint="eastAsia"/>
                      <w:b/>
                      <w:bCs/>
                      <w:color w:val="auto"/>
                      <w:sz w:val="21"/>
                      <w:szCs w:val="21"/>
                      <w:u w:val="single"/>
                      <w:vertAlign w:val="superscript"/>
                      <w:lang w:val="en-US" w:eastAsia="zh-CN"/>
                    </w:rPr>
                    <w:t>2</w:t>
                  </w:r>
                  <w:r>
                    <w:rPr>
                      <w:rFonts w:hint="eastAsia"/>
                      <w:b/>
                      <w:bCs/>
                      <w:color w:val="auto"/>
                      <w:sz w:val="21"/>
                      <w:szCs w:val="21"/>
                      <w:u w:val="single"/>
                      <w:lang w:val="en-US" w:eastAsia="zh-CN"/>
                    </w:rPr>
                    <w:t>；仓储中心，2F，总建筑面积1209m</w:t>
                  </w:r>
                  <w:r>
                    <w:rPr>
                      <w:rFonts w:hint="eastAsia"/>
                      <w:b/>
                      <w:bCs/>
                      <w:color w:val="auto"/>
                      <w:sz w:val="21"/>
                      <w:szCs w:val="21"/>
                      <w:u w:val="single"/>
                      <w:vertAlign w:val="superscript"/>
                      <w:lang w:val="en-US" w:eastAsia="zh-CN"/>
                    </w:rPr>
                    <w:t>2</w:t>
                  </w:r>
                  <w:r>
                    <w:rPr>
                      <w:rFonts w:hint="eastAsia"/>
                      <w:b/>
                      <w:bCs/>
                      <w:color w:val="auto"/>
                      <w:sz w:val="21"/>
                      <w:szCs w:val="21"/>
                      <w:u w:val="single"/>
                      <w:lang w:val="en-US" w:eastAsia="zh-CN"/>
                    </w:rPr>
                    <w:t>；其中一层为普通饮片原料库、普通饮片成品库、食品原料库、食品类成品库；二层为饮片包装库、不合格品库、食品包材库、辅料库、毒性药材库、毒性饮片成品库以及3个备用库</w:t>
                  </w:r>
                </w:p>
              </w:tc>
              <w:tc>
                <w:tcPr>
                  <w:tcW w:w="638" w:type="dxa"/>
                  <w:tcBorders>
                    <w:tl2br w:val="nil"/>
                    <w:tr2bl w:val="nil"/>
                  </w:tcBorders>
                  <w:vAlign w:val="center"/>
                </w:tcPr>
                <w:p w14:paraId="5F2B9BC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lang w:val="en-US" w:eastAsia="zh-CN"/>
                    </w:rPr>
                    <w:t>新建</w:t>
                  </w:r>
                </w:p>
              </w:tc>
            </w:tr>
            <w:tr w14:paraId="373CE6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5" w:type="dxa"/>
                  <w:vMerge w:val="restart"/>
                  <w:tcBorders>
                    <w:tl2br w:val="nil"/>
                    <w:tr2bl w:val="nil"/>
                  </w:tcBorders>
                  <w:vAlign w:val="center"/>
                </w:tcPr>
                <w:p w14:paraId="5D66A8A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公用工程</w:t>
                  </w:r>
                </w:p>
              </w:tc>
              <w:tc>
                <w:tcPr>
                  <w:tcW w:w="859" w:type="dxa"/>
                  <w:tcBorders>
                    <w:tl2br w:val="nil"/>
                    <w:tr2bl w:val="nil"/>
                  </w:tcBorders>
                  <w:vAlign w:val="center"/>
                </w:tcPr>
                <w:p w14:paraId="0E4F1CD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供水</w:t>
                  </w:r>
                </w:p>
              </w:tc>
              <w:tc>
                <w:tcPr>
                  <w:tcW w:w="6175" w:type="dxa"/>
                  <w:tcBorders>
                    <w:tl2br w:val="nil"/>
                    <w:tr2bl w:val="nil"/>
                  </w:tcBorders>
                  <w:vAlign w:val="center"/>
                </w:tcPr>
                <w:p w14:paraId="5725178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left"/>
                    <w:textAlignment w:val="auto"/>
                    <w:rPr>
                      <w:color w:val="auto"/>
                      <w:sz w:val="21"/>
                      <w:szCs w:val="21"/>
                    </w:rPr>
                  </w:pPr>
                  <w:r>
                    <w:rPr>
                      <w:rFonts w:hint="eastAsia"/>
                      <w:color w:val="auto"/>
                      <w:sz w:val="21"/>
                      <w:szCs w:val="21"/>
                    </w:rPr>
                    <w:t>由</w:t>
                  </w:r>
                  <w:r>
                    <w:rPr>
                      <w:rFonts w:hint="eastAsia"/>
                      <w:color w:val="auto"/>
                      <w:sz w:val="21"/>
                      <w:szCs w:val="21"/>
                      <w:lang w:eastAsia="zh-CN"/>
                    </w:rPr>
                    <w:t>南乐县先进制造业开发区</w:t>
                  </w:r>
                  <w:r>
                    <w:rPr>
                      <w:rFonts w:hint="eastAsia"/>
                      <w:color w:val="auto"/>
                      <w:sz w:val="21"/>
                      <w:szCs w:val="21"/>
                    </w:rPr>
                    <w:t>供</w:t>
                  </w:r>
                  <w:r>
                    <w:rPr>
                      <w:rFonts w:hint="eastAsia"/>
                      <w:color w:val="auto"/>
                      <w:sz w:val="21"/>
                      <w:szCs w:val="21"/>
                      <w:lang w:val="en-US" w:eastAsia="zh-CN"/>
                    </w:rPr>
                    <w:t>水</w:t>
                  </w:r>
                  <w:r>
                    <w:rPr>
                      <w:rFonts w:hint="eastAsia"/>
                      <w:color w:val="auto"/>
                      <w:sz w:val="21"/>
                      <w:szCs w:val="21"/>
                    </w:rPr>
                    <w:t>系统供给</w:t>
                  </w:r>
                </w:p>
              </w:tc>
              <w:tc>
                <w:tcPr>
                  <w:tcW w:w="638" w:type="dxa"/>
                  <w:tcBorders>
                    <w:tl2br w:val="nil"/>
                    <w:tr2bl w:val="nil"/>
                  </w:tcBorders>
                  <w:vAlign w:val="center"/>
                </w:tcPr>
                <w:p w14:paraId="3AD1DF60">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w:t>
                  </w:r>
                </w:p>
              </w:tc>
            </w:tr>
            <w:tr w14:paraId="5A35AC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5" w:type="dxa"/>
                  <w:vMerge w:val="continue"/>
                  <w:tcBorders>
                    <w:tl2br w:val="nil"/>
                    <w:tr2bl w:val="nil"/>
                  </w:tcBorders>
                  <w:vAlign w:val="center"/>
                </w:tcPr>
                <w:p w14:paraId="74AC97CD">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859" w:type="dxa"/>
                  <w:tcBorders>
                    <w:tl2br w:val="nil"/>
                    <w:tr2bl w:val="nil"/>
                  </w:tcBorders>
                  <w:vAlign w:val="center"/>
                </w:tcPr>
                <w:p w14:paraId="159B7092">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供电</w:t>
                  </w:r>
                </w:p>
              </w:tc>
              <w:tc>
                <w:tcPr>
                  <w:tcW w:w="6175" w:type="dxa"/>
                  <w:tcBorders>
                    <w:tl2br w:val="nil"/>
                    <w:tr2bl w:val="nil"/>
                  </w:tcBorders>
                  <w:vAlign w:val="center"/>
                </w:tcPr>
                <w:p w14:paraId="481E665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left"/>
                    <w:textAlignment w:val="auto"/>
                    <w:rPr>
                      <w:color w:val="auto"/>
                      <w:sz w:val="21"/>
                      <w:szCs w:val="21"/>
                    </w:rPr>
                  </w:pPr>
                  <w:r>
                    <w:rPr>
                      <w:rFonts w:hint="eastAsia"/>
                      <w:color w:val="auto"/>
                      <w:sz w:val="21"/>
                      <w:szCs w:val="21"/>
                    </w:rPr>
                    <w:t>由</w:t>
                  </w:r>
                  <w:r>
                    <w:rPr>
                      <w:rFonts w:hint="eastAsia"/>
                      <w:color w:val="auto"/>
                      <w:sz w:val="21"/>
                      <w:szCs w:val="21"/>
                      <w:lang w:eastAsia="zh-CN"/>
                    </w:rPr>
                    <w:t>南乐县先进制造业开发区</w:t>
                  </w:r>
                  <w:r>
                    <w:rPr>
                      <w:rFonts w:hint="eastAsia"/>
                      <w:color w:val="auto"/>
                      <w:sz w:val="21"/>
                      <w:szCs w:val="21"/>
                    </w:rPr>
                    <w:t>供电系统供给</w:t>
                  </w:r>
                </w:p>
              </w:tc>
              <w:tc>
                <w:tcPr>
                  <w:tcW w:w="638" w:type="dxa"/>
                  <w:tcBorders>
                    <w:tl2br w:val="nil"/>
                    <w:tr2bl w:val="nil"/>
                  </w:tcBorders>
                  <w:vAlign w:val="center"/>
                </w:tcPr>
                <w:p w14:paraId="6A997C0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w:t>
                  </w:r>
                </w:p>
              </w:tc>
            </w:tr>
            <w:tr w14:paraId="3DD8D8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495" w:type="dxa"/>
                  <w:vMerge w:val="restart"/>
                  <w:tcBorders>
                    <w:tl2br w:val="nil"/>
                    <w:tr2bl w:val="nil"/>
                  </w:tcBorders>
                  <w:vAlign w:val="center"/>
                </w:tcPr>
                <w:p w14:paraId="14E287A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环保工程</w:t>
                  </w:r>
                </w:p>
              </w:tc>
              <w:tc>
                <w:tcPr>
                  <w:tcW w:w="859" w:type="dxa"/>
                  <w:vMerge w:val="restart"/>
                  <w:tcBorders>
                    <w:tl2br w:val="nil"/>
                    <w:tr2bl w:val="nil"/>
                  </w:tcBorders>
                  <w:vAlign w:val="center"/>
                </w:tcPr>
                <w:p w14:paraId="6AF51BD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废气</w:t>
                  </w:r>
                </w:p>
              </w:tc>
              <w:tc>
                <w:tcPr>
                  <w:tcW w:w="6175" w:type="dxa"/>
                  <w:tcBorders>
                    <w:tl2br w:val="nil"/>
                    <w:tr2bl w:val="nil"/>
                  </w:tcBorders>
                  <w:vAlign w:val="center"/>
                </w:tcPr>
                <w:p w14:paraId="7D9E5F2E">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color w:val="auto"/>
                      <w:sz w:val="21"/>
                      <w:szCs w:val="21"/>
                    </w:rPr>
                  </w:pPr>
                  <w:r>
                    <w:rPr>
                      <w:rFonts w:hint="eastAsia"/>
                      <w:color w:val="auto"/>
                      <w:sz w:val="21"/>
                      <w:szCs w:val="21"/>
                      <w:lang w:val="en-US" w:eastAsia="zh-CN"/>
                    </w:rPr>
                    <w:t>中药材</w:t>
                  </w:r>
                  <w:r>
                    <w:rPr>
                      <w:rFonts w:hint="eastAsia"/>
                      <w:color w:val="auto"/>
                      <w:sz w:val="21"/>
                      <w:szCs w:val="21"/>
                    </w:rPr>
                    <w:t>异味经“喷淋塔+水雾分离器+活性炭”后</w:t>
                  </w:r>
                  <w:r>
                    <w:rPr>
                      <w:rFonts w:hint="eastAsia"/>
                      <w:color w:val="auto"/>
                      <w:sz w:val="21"/>
                      <w:szCs w:val="21"/>
                      <w:lang w:val="en-US" w:eastAsia="zh-CN"/>
                    </w:rPr>
                    <w:t>通过15m高排气筒排放。</w:t>
                  </w:r>
                </w:p>
              </w:tc>
              <w:tc>
                <w:tcPr>
                  <w:tcW w:w="638" w:type="dxa"/>
                  <w:vMerge w:val="restart"/>
                  <w:tcBorders>
                    <w:tl2br w:val="nil"/>
                    <w:tr2bl w:val="nil"/>
                  </w:tcBorders>
                  <w:vAlign w:val="center"/>
                </w:tcPr>
                <w:p w14:paraId="10413A0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lang w:val="en-US" w:eastAsia="zh-CN"/>
                    </w:rPr>
                    <w:t>新建</w:t>
                  </w:r>
                </w:p>
              </w:tc>
            </w:tr>
            <w:tr w14:paraId="43E97F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7" w:hRule="atLeast"/>
                <w:jc w:val="center"/>
              </w:trPr>
              <w:tc>
                <w:tcPr>
                  <w:tcW w:w="495" w:type="dxa"/>
                  <w:vMerge w:val="continue"/>
                  <w:tcBorders>
                    <w:tl2br w:val="nil"/>
                    <w:tr2bl w:val="nil"/>
                  </w:tcBorders>
                  <w:vAlign w:val="center"/>
                </w:tcPr>
                <w:p w14:paraId="0BBE769D">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pPr>
                </w:p>
              </w:tc>
              <w:tc>
                <w:tcPr>
                  <w:tcW w:w="859" w:type="dxa"/>
                  <w:vMerge w:val="continue"/>
                  <w:tcBorders>
                    <w:tl2br w:val="nil"/>
                    <w:tr2bl w:val="nil"/>
                  </w:tcBorders>
                  <w:vAlign w:val="center"/>
                </w:tcPr>
                <w:p w14:paraId="59F6A8AC">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pPr>
                </w:p>
              </w:tc>
              <w:tc>
                <w:tcPr>
                  <w:tcW w:w="6175" w:type="dxa"/>
                  <w:tcBorders>
                    <w:tl2br w:val="nil"/>
                    <w:tr2bl w:val="nil"/>
                  </w:tcBorders>
                  <w:vAlign w:val="center"/>
                </w:tcPr>
                <w:p w14:paraId="528C7BBC">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color w:val="auto"/>
                      <w:sz w:val="21"/>
                      <w:szCs w:val="21"/>
                    </w:rPr>
                  </w:pPr>
                  <w:r>
                    <w:rPr>
                      <w:rFonts w:hint="eastAsia"/>
                      <w:color w:val="auto"/>
                      <w:sz w:val="21"/>
                      <w:szCs w:val="21"/>
                      <w:lang w:val="en-US" w:eastAsia="zh-CN"/>
                    </w:rPr>
                    <w:t>生产过程中</w:t>
                  </w:r>
                  <w:r>
                    <w:rPr>
                      <w:rFonts w:hint="eastAsia"/>
                      <w:color w:val="auto"/>
                      <w:sz w:val="21"/>
                      <w:szCs w:val="21"/>
                    </w:rPr>
                    <w:t>中药饮片车间干燥、炒制、粉碎、筛分粉尘</w:t>
                  </w:r>
                  <w:r>
                    <w:rPr>
                      <w:rFonts w:hint="eastAsia"/>
                      <w:color w:val="auto"/>
                      <w:sz w:val="21"/>
                      <w:szCs w:val="21"/>
                      <w:lang w:val="en-US" w:eastAsia="zh-CN"/>
                    </w:rPr>
                    <w:t>经袋式除尘器处理后</w:t>
                  </w:r>
                  <w:r>
                    <w:rPr>
                      <w:rFonts w:hint="eastAsia"/>
                      <w:color w:val="auto"/>
                      <w:sz w:val="21"/>
                      <w:szCs w:val="21"/>
                    </w:rPr>
                    <w:t>通过1根15m高排气筒排放。</w:t>
                  </w:r>
                </w:p>
              </w:tc>
              <w:tc>
                <w:tcPr>
                  <w:tcW w:w="638" w:type="dxa"/>
                  <w:vMerge w:val="continue"/>
                  <w:tcBorders>
                    <w:tl2br w:val="nil"/>
                    <w:tr2bl w:val="nil"/>
                  </w:tcBorders>
                  <w:vAlign w:val="center"/>
                </w:tcPr>
                <w:p w14:paraId="159D4439">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color w:val="auto"/>
                      <w:sz w:val="21"/>
                      <w:szCs w:val="21"/>
                    </w:rPr>
                  </w:pPr>
                </w:p>
              </w:tc>
            </w:tr>
            <w:tr w14:paraId="26CFB4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495" w:type="dxa"/>
                  <w:vMerge w:val="continue"/>
                  <w:tcBorders>
                    <w:tl2br w:val="nil"/>
                    <w:tr2bl w:val="nil"/>
                  </w:tcBorders>
                  <w:vAlign w:val="center"/>
                </w:tcPr>
                <w:p w14:paraId="1CE001C4">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color w:val="auto"/>
                      <w:sz w:val="21"/>
                      <w:szCs w:val="21"/>
                    </w:rPr>
                  </w:pPr>
                </w:p>
              </w:tc>
              <w:tc>
                <w:tcPr>
                  <w:tcW w:w="859" w:type="dxa"/>
                  <w:vMerge w:val="continue"/>
                  <w:tcBorders>
                    <w:tl2br w:val="nil"/>
                    <w:tr2bl w:val="nil"/>
                  </w:tcBorders>
                  <w:vAlign w:val="center"/>
                </w:tcPr>
                <w:p w14:paraId="76CB31F3">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color w:val="auto"/>
                      <w:sz w:val="21"/>
                      <w:szCs w:val="21"/>
                    </w:rPr>
                  </w:pPr>
                </w:p>
              </w:tc>
              <w:tc>
                <w:tcPr>
                  <w:tcW w:w="6175" w:type="dxa"/>
                  <w:tcBorders>
                    <w:tl2br w:val="nil"/>
                    <w:tr2bl w:val="nil"/>
                  </w:tcBorders>
                  <w:vAlign w:val="center"/>
                </w:tcPr>
                <w:p w14:paraId="7080B8CA">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color w:val="auto"/>
                      <w:sz w:val="21"/>
                      <w:szCs w:val="21"/>
                    </w:rPr>
                  </w:pPr>
                  <w:r>
                    <w:rPr>
                      <w:rFonts w:hint="eastAsia"/>
                      <w:color w:val="auto"/>
                      <w:sz w:val="21"/>
                      <w:szCs w:val="21"/>
                      <w:lang w:val="en-US" w:eastAsia="zh-CN"/>
                    </w:rPr>
                    <w:t>口服饮片车间、颗粒剂车间及制丸车间粉尘经车间空气过滤系统处理后</w:t>
                  </w:r>
                  <w:r>
                    <w:rPr>
                      <w:rFonts w:hint="eastAsia"/>
                      <w:color w:val="auto"/>
                      <w:sz w:val="21"/>
                      <w:szCs w:val="21"/>
                    </w:rPr>
                    <w:t>通过1根15m高排气筒排放。</w:t>
                  </w:r>
                </w:p>
              </w:tc>
              <w:tc>
                <w:tcPr>
                  <w:tcW w:w="638" w:type="dxa"/>
                  <w:vMerge w:val="continue"/>
                  <w:tcBorders>
                    <w:tl2br w:val="nil"/>
                    <w:tr2bl w:val="nil"/>
                  </w:tcBorders>
                  <w:vAlign w:val="center"/>
                </w:tcPr>
                <w:p w14:paraId="35CCE9FF">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color w:val="auto"/>
                      <w:sz w:val="21"/>
                      <w:szCs w:val="21"/>
                    </w:rPr>
                  </w:pPr>
                </w:p>
              </w:tc>
            </w:tr>
            <w:tr w14:paraId="17BF0E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495" w:type="dxa"/>
                  <w:vMerge w:val="continue"/>
                  <w:tcBorders>
                    <w:tl2br w:val="nil"/>
                    <w:tr2bl w:val="nil"/>
                  </w:tcBorders>
                  <w:vAlign w:val="center"/>
                </w:tcPr>
                <w:p w14:paraId="72B7F2EC">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color w:val="auto"/>
                      <w:sz w:val="21"/>
                      <w:szCs w:val="21"/>
                    </w:rPr>
                  </w:pPr>
                </w:p>
              </w:tc>
              <w:tc>
                <w:tcPr>
                  <w:tcW w:w="859" w:type="dxa"/>
                  <w:vMerge w:val="continue"/>
                  <w:tcBorders>
                    <w:tl2br w:val="nil"/>
                    <w:tr2bl w:val="nil"/>
                  </w:tcBorders>
                  <w:vAlign w:val="center"/>
                </w:tcPr>
                <w:p w14:paraId="76C3F57A">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color w:val="auto"/>
                      <w:sz w:val="21"/>
                      <w:szCs w:val="21"/>
                    </w:rPr>
                  </w:pPr>
                </w:p>
              </w:tc>
              <w:tc>
                <w:tcPr>
                  <w:tcW w:w="6175" w:type="dxa"/>
                  <w:tcBorders>
                    <w:tl2br w:val="nil"/>
                    <w:tr2bl w:val="nil"/>
                  </w:tcBorders>
                  <w:vAlign w:val="center"/>
                </w:tcPr>
                <w:p w14:paraId="6892FE4E">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color w:val="auto"/>
                      <w:sz w:val="21"/>
                      <w:szCs w:val="21"/>
                    </w:rPr>
                  </w:pPr>
                  <w:r>
                    <w:rPr>
                      <w:rFonts w:hint="eastAsia"/>
                      <w:color w:val="auto"/>
                      <w:sz w:val="21"/>
                      <w:szCs w:val="21"/>
                    </w:rPr>
                    <w:t>污水处理站恶臭采取加盖密闭+</w:t>
                  </w:r>
                  <w:r>
                    <w:rPr>
                      <w:rFonts w:hint="eastAsia"/>
                      <w:color w:val="auto"/>
                      <w:sz w:val="21"/>
                      <w:szCs w:val="21"/>
                      <w:lang w:val="en-US" w:eastAsia="zh-CN"/>
                    </w:rPr>
                    <w:t>生物滤池</w:t>
                  </w:r>
                  <w:r>
                    <w:rPr>
                      <w:rFonts w:hint="eastAsia"/>
                      <w:color w:val="auto"/>
                      <w:sz w:val="21"/>
                      <w:szCs w:val="21"/>
                    </w:rPr>
                    <w:t>除臭措施</w:t>
                  </w:r>
                  <w:r>
                    <w:rPr>
                      <w:rFonts w:hint="eastAsia"/>
                      <w:color w:val="auto"/>
                      <w:sz w:val="21"/>
                      <w:szCs w:val="21"/>
                      <w:lang w:val="en-US" w:eastAsia="zh-CN"/>
                    </w:rPr>
                    <w:t>后通过15m高排气筒排放。</w:t>
                  </w:r>
                </w:p>
              </w:tc>
              <w:tc>
                <w:tcPr>
                  <w:tcW w:w="638" w:type="dxa"/>
                  <w:vMerge w:val="continue"/>
                  <w:tcBorders>
                    <w:tl2br w:val="nil"/>
                    <w:tr2bl w:val="nil"/>
                  </w:tcBorders>
                  <w:vAlign w:val="center"/>
                </w:tcPr>
                <w:p w14:paraId="052D45BE">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color w:val="auto"/>
                      <w:sz w:val="21"/>
                      <w:szCs w:val="21"/>
                    </w:rPr>
                  </w:pPr>
                </w:p>
              </w:tc>
            </w:tr>
            <w:tr w14:paraId="67A9FB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495" w:type="dxa"/>
                  <w:vMerge w:val="continue"/>
                  <w:tcBorders>
                    <w:tl2br w:val="nil"/>
                    <w:tr2bl w:val="nil"/>
                  </w:tcBorders>
                  <w:vAlign w:val="center"/>
                </w:tcPr>
                <w:p w14:paraId="7B8395CD">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color w:val="auto"/>
                      <w:sz w:val="21"/>
                      <w:szCs w:val="21"/>
                    </w:rPr>
                  </w:pPr>
                </w:p>
              </w:tc>
              <w:tc>
                <w:tcPr>
                  <w:tcW w:w="859" w:type="dxa"/>
                  <w:vMerge w:val="continue"/>
                  <w:tcBorders>
                    <w:tl2br w:val="nil"/>
                    <w:tr2bl w:val="nil"/>
                  </w:tcBorders>
                  <w:vAlign w:val="center"/>
                </w:tcPr>
                <w:p w14:paraId="41EA37F1">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color w:val="auto"/>
                      <w:sz w:val="21"/>
                      <w:szCs w:val="21"/>
                    </w:rPr>
                  </w:pPr>
                </w:p>
              </w:tc>
              <w:tc>
                <w:tcPr>
                  <w:tcW w:w="6175" w:type="dxa"/>
                  <w:tcBorders>
                    <w:tl2br w:val="nil"/>
                    <w:tr2bl w:val="nil"/>
                  </w:tcBorders>
                  <w:vAlign w:val="center"/>
                </w:tcPr>
                <w:p w14:paraId="25E36AA5">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color w:val="auto"/>
                      <w:sz w:val="21"/>
                      <w:szCs w:val="21"/>
                    </w:rPr>
                  </w:pPr>
                  <w:r>
                    <w:rPr>
                      <w:rFonts w:hint="eastAsia"/>
                      <w:color w:val="auto"/>
                      <w:sz w:val="21"/>
                      <w:szCs w:val="21"/>
                    </w:rPr>
                    <w:t>实验废气经</w:t>
                  </w:r>
                  <w:r>
                    <w:rPr>
                      <w:rFonts w:hint="eastAsia"/>
                      <w:color w:val="auto"/>
                      <w:sz w:val="21"/>
                      <w:szCs w:val="21"/>
                      <w:lang w:val="en-US" w:eastAsia="zh-CN"/>
                    </w:rPr>
                    <w:t>通风橱</w:t>
                  </w:r>
                  <w:r>
                    <w:rPr>
                      <w:rFonts w:hint="eastAsia"/>
                      <w:color w:val="auto"/>
                      <w:sz w:val="21"/>
                      <w:szCs w:val="21"/>
                    </w:rPr>
                    <w:t>收集</w:t>
                  </w:r>
                  <w:r>
                    <w:rPr>
                      <w:rFonts w:hint="eastAsia"/>
                      <w:color w:val="auto"/>
                      <w:sz w:val="21"/>
                      <w:szCs w:val="21"/>
                      <w:lang w:val="en-US" w:eastAsia="zh-CN"/>
                    </w:rPr>
                    <w:t>后引至</w:t>
                  </w:r>
                  <w:r>
                    <w:rPr>
                      <w:rFonts w:hint="eastAsia"/>
                      <w:color w:val="auto"/>
                      <w:sz w:val="21"/>
                      <w:szCs w:val="21"/>
                    </w:rPr>
                    <w:t>1套二级活性炭吸附装置</w:t>
                  </w:r>
                  <w:r>
                    <w:rPr>
                      <w:rFonts w:hint="eastAsia"/>
                      <w:color w:val="auto"/>
                      <w:sz w:val="21"/>
                      <w:szCs w:val="21"/>
                      <w:lang w:val="en-US" w:eastAsia="zh-CN"/>
                    </w:rPr>
                    <w:t>处理后</w:t>
                  </w:r>
                  <w:r>
                    <w:rPr>
                      <w:rFonts w:hint="eastAsia"/>
                      <w:color w:val="auto"/>
                      <w:sz w:val="21"/>
                      <w:szCs w:val="21"/>
                    </w:rPr>
                    <w:t>通过</w:t>
                  </w:r>
                  <w:r>
                    <w:rPr>
                      <w:rFonts w:hint="eastAsia"/>
                      <w:color w:val="auto"/>
                      <w:sz w:val="21"/>
                      <w:szCs w:val="21"/>
                      <w:lang w:val="en-US" w:eastAsia="zh-CN"/>
                    </w:rPr>
                    <w:t>楼顶专用排气筒排放</w:t>
                  </w:r>
                  <w:r>
                    <w:rPr>
                      <w:rFonts w:hint="eastAsia"/>
                      <w:color w:val="auto"/>
                      <w:sz w:val="21"/>
                      <w:szCs w:val="21"/>
                    </w:rPr>
                    <w:t>。</w:t>
                  </w:r>
                </w:p>
              </w:tc>
              <w:tc>
                <w:tcPr>
                  <w:tcW w:w="638" w:type="dxa"/>
                  <w:vMerge w:val="continue"/>
                  <w:tcBorders>
                    <w:tl2br w:val="nil"/>
                    <w:tr2bl w:val="nil"/>
                  </w:tcBorders>
                  <w:vAlign w:val="center"/>
                </w:tcPr>
                <w:p w14:paraId="2708136F">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color w:val="auto"/>
                      <w:sz w:val="21"/>
                      <w:szCs w:val="21"/>
                    </w:rPr>
                  </w:pPr>
                </w:p>
              </w:tc>
            </w:tr>
            <w:tr w14:paraId="3621D0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495" w:type="dxa"/>
                  <w:vMerge w:val="continue"/>
                  <w:tcBorders>
                    <w:tl2br w:val="nil"/>
                    <w:tr2bl w:val="nil"/>
                  </w:tcBorders>
                  <w:vAlign w:val="center"/>
                </w:tcPr>
                <w:p w14:paraId="087DA550">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color w:val="auto"/>
                      <w:sz w:val="21"/>
                      <w:szCs w:val="21"/>
                    </w:rPr>
                  </w:pPr>
                </w:p>
              </w:tc>
              <w:tc>
                <w:tcPr>
                  <w:tcW w:w="859" w:type="dxa"/>
                  <w:vMerge w:val="continue"/>
                  <w:tcBorders>
                    <w:tl2br w:val="nil"/>
                    <w:tr2bl w:val="nil"/>
                  </w:tcBorders>
                  <w:vAlign w:val="center"/>
                </w:tcPr>
                <w:p w14:paraId="4F361E79">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color w:val="auto"/>
                      <w:sz w:val="21"/>
                      <w:szCs w:val="21"/>
                    </w:rPr>
                  </w:pPr>
                </w:p>
              </w:tc>
              <w:tc>
                <w:tcPr>
                  <w:tcW w:w="6175" w:type="dxa"/>
                  <w:tcBorders>
                    <w:tl2br w:val="nil"/>
                    <w:tr2bl w:val="nil"/>
                  </w:tcBorders>
                  <w:vAlign w:val="center"/>
                </w:tcPr>
                <w:p w14:paraId="5CA98A53">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color w:val="auto"/>
                      <w:sz w:val="21"/>
                      <w:szCs w:val="21"/>
                    </w:rPr>
                  </w:pPr>
                  <w:r>
                    <w:rPr>
                      <w:rFonts w:hint="eastAsia"/>
                      <w:color w:val="auto"/>
                      <w:sz w:val="21"/>
                      <w:szCs w:val="21"/>
                      <w:lang w:val="en-US" w:eastAsia="zh-CN"/>
                    </w:rPr>
                    <w:t>食堂油烟</w:t>
                  </w:r>
                  <w:r>
                    <w:rPr>
                      <w:rFonts w:hint="eastAsia"/>
                      <w:color w:val="auto"/>
                      <w:sz w:val="21"/>
                      <w:szCs w:val="21"/>
                    </w:rPr>
                    <w:t>经过油烟净化装置处理后通过设置于屋顶的</w:t>
                  </w:r>
                  <w:r>
                    <w:rPr>
                      <w:rFonts w:hint="eastAsia"/>
                      <w:color w:val="auto"/>
                      <w:sz w:val="21"/>
                      <w:szCs w:val="21"/>
                      <w:lang w:val="en-US" w:eastAsia="zh-CN"/>
                    </w:rPr>
                    <w:t>专用烟道</w:t>
                  </w:r>
                  <w:r>
                    <w:rPr>
                      <w:rFonts w:hint="eastAsia"/>
                      <w:color w:val="auto"/>
                      <w:sz w:val="21"/>
                      <w:szCs w:val="21"/>
                    </w:rPr>
                    <w:t>排放</w:t>
                  </w:r>
                </w:p>
              </w:tc>
              <w:tc>
                <w:tcPr>
                  <w:tcW w:w="638" w:type="dxa"/>
                  <w:vMerge w:val="continue"/>
                  <w:tcBorders>
                    <w:tl2br w:val="nil"/>
                    <w:tr2bl w:val="nil"/>
                  </w:tcBorders>
                  <w:vAlign w:val="center"/>
                </w:tcPr>
                <w:p w14:paraId="235E2DC8">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color w:val="auto"/>
                      <w:sz w:val="21"/>
                      <w:szCs w:val="21"/>
                    </w:rPr>
                  </w:pPr>
                </w:p>
              </w:tc>
            </w:tr>
            <w:tr w14:paraId="5F75F9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5" w:type="dxa"/>
                  <w:vMerge w:val="continue"/>
                  <w:tcBorders>
                    <w:tl2br w:val="nil"/>
                    <w:tr2bl w:val="nil"/>
                  </w:tcBorders>
                  <w:vAlign w:val="center"/>
                </w:tcPr>
                <w:p w14:paraId="0CA48D72">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859" w:type="dxa"/>
                  <w:tcBorders>
                    <w:tl2br w:val="nil"/>
                    <w:tr2bl w:val="nil"/>
                  </w:tcBorders>
                  <w:vAlign w:val="center"/>
                </w:tcPr>
                <w:p w14:paraId="4FA199C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废水</w:t>
                  </w:r>
                </w:p>
              </w:tc>
              <w:tc>
                <w:tcPr>
                  <w:tcW w:w="6175" w:type="dxa"/>
                  <w:tcBorders>
                    <w:tl2br w:val="nil"/>
                    <w:tr2bl w:val="nil"/>
                  </w:tcBorders>
                  <w:vAlign w:val="center"/>
                </w:tcPr>
                <w:p w14:paraId="3162E0F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left"/>
                    <w:textAlignment w:val="auto"/>
                    <w:rPr>
                      <w:rFonts w:hint="default"/>
                      <w:color w:val="auto"/>
                      <w:sz w:val="21"/>
                      <w:szCs w:val="21"/>
                      <w:lang w:val="en-US"/>
                    </w:rPr>
                  </w:pPr>
                  <w:r>
                    <w:rPr>
                      <w:rFonts w:hint="eastAsia"/>
                      <w:color w:val="auto"/>
                      <w:sz w:val="21"/>
                      <w:szCs w:val="21"/>
                    </w:rPr>
                    <w:t>项目</w:t>
                  </w:r>
                  <w:r>
                    <w:rPr>
                      <w:rFonts w:hint="eastAsia"/>
                      <w:color w:val="auto"/>
                      <w:sz w:val="21"/>
                      <w:szCs w:val="21"/>
                      <w:lang w:val="en-US" w:eastAsia="zh-CN"/>
                    </w:rPr>
                    <w:t>综合</w:t>
                  </w:r>
                  <w:r>
                    <w:rPr>
                      <w:rFonts w:hint="eastAsia"/>
                      <w:color w:val="auto"/>
                      <w:sz w:val="21"/>
                      <w:szCs w:val="21"/>
                    </w:rPr>
                    <w:t>生产</w:t>
                  </w:r>
                  <w:r>
                    <w:rPr>
                      <w:rFonts w:hint="eastAsia"/>
                      <w:color w:val="auto"/>
                      <w:sz w:val="21"/>
                      <w:szCs w:val="21"/>
                      <w:lang w:val="en-US" w:eastAsia="zh-CN"/>
                    </w:rPr>
                    <w:t>废水和</w:t>
                  </w:r>
                  <w:r>
                    <w:rPr>
                      <w:rFonts w:hint="eastAsia"/>
                      <w:color w:val="auto"/>
                      <w:sz w:val="21"/>
                      <w:szCs w:val="21"/>
                    </w:rPr>
                    <w:t>生活污水经污水处理站处理，处理工艺为</w:t>
                  </w:r>
                  <w:r>
                    <w:rPr>
                      <w:rFonts w:hint="eastAsia"/>
                      <w:color w:val="auto"/>
                      <w:sz w:val="21"/>
                      <w:szCs w:val="21"/>
                      <w:lang w:eastAsia="zh-CN"/>
                    </w:rPr>
                    <w:t>“</w:t>
                  </w:r>
                  <w:r>
                    <w:rPr>
                      <w:rFonts w:hint="eastAsia"/>
                      <w:color w:val="auto"/>
                      <w:sz w:val="21"/>
                      <w:szCs w:val="21"/>
                      <w:lang w:val="en-US" w:eastAsia="zh-CN"/>
                    </w:rPr>
                    <w:t>混凝+</w:t>
                  </w:r>
                  <w:r>
                    <w:rPr>
                      <w:rFonts w:hint="eastAsia"/>
                      <w:color w:val="auto"/>
                      <w:sz w:val="21"/>
                      <w:szCs w:val="21"/>
                    </w:rPr>
                    <w:t>UASB+生物接触氧化法</w:t>
                  </w:r>
                  <w:r>
                    <w:rPr>
                      <w:rFonts w:hint="eastAsia"/>
                      <w:color w:val="auto"/>
                      <w:sz w:val="21"/>
                      <w:szCs w:val="21"/>
                      <w:lang w:eastAsia="zh-CN"/>
                    </w:rPr>
                    <w:t>”，</w:t>
                  </w:r>
                  <w:r>
                    <w:rPr>
                      <w:rFonts w:hint="eastAsia"/>
                      <w:color w:val="auto"/>
                      <w:sz w:val="21"/>
                      <w:szCs w:val="21"/>
                      <w:lang w:val="en-US" w:eastAsia="zh-CN"/>
                    </w:rPr>
                    <w:t>处理能力210m</w:t>
                  </w:r>
                  <w:r>
                    <w:rPr>
                      <w:rFonts w:hint="eastAsia"/>
                      <w:color w:val="auto"/>
                      <w:sz w:val="21"/>
                      <w:szCs w:val="21"/>
                      <w:vertAlign w:val="superscript"/>
                      <w:lang w:val="en-US" w:eastAsia="zh-CN"/>
                    </w:rPr>
                    <w:t>3</w:t>
                  </w:r>
                  <w:r>
                    <w:rPr>
                      <w:rFonts w:hint="eastAsia"/>
                      <w:color w:val="auto"/>
                      <w:sz w:val="21"/>
                      <w:szCs w:val="21"/>
                      <w:lang w:val="en-US" w:eastAsia="zh-CN"/>
                    </w:rPr>
                    <w:t>/d，</w:t>
                  </w:r>
                </w:p>
              </w:tc>
              <w:tc>
                <w:tcPr>
                  <w:tcW w:w="638" w:type="dxa"/>
                  <w:tcBorders>
                    <w:tl2br w:val="nil"/>
                    <w:tr2bl w:val="nil"/>
                  </w:tcBorders>
                  <w:vAlign w:val="center"/>
                </w:tcPr>
                <w:p w14:paraId="6FFC78D0">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sz w:val="21"/>
                      <w:szCs w:val="21"/>
                    </w:rPr>
                  </w:pPr>
                  <w:r>
                    <w:rPr>
                      <w:rFonts w:hint="eastAsia"/>
                      <w:color w:val="auto"/>
                      <w:sz w:val="21"/>
                      <w:szCs w:val="21"/>
                      <w:lang w:val="en-US" w:eastAsia="zh-CN"/>
                    </w:rPr>
                    <w:t>新建</w:t>
                  </w:r>
                </w:p>
              </w:tc>
            </w:tr>
            <w:tr w14:paraId="50D585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5" w:type="dxa"/>
                  <w:vMerge w:val="continue"/>
                  <w:tcBorders>
                    <w:tl2br w:val="nil"/>
                    <w:tr2bl w:val="nil"/>
                  </w:tcBorders>
                  <w:vAlign w:val="center"/>
                </w:tcPr>
                <w:p w14:paraId="25EB434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859" w:type="dxa"/>
                  <w:tcBorders>
                    <w:tl2br w:val="nil"/>
                    <w:tr2bl w:val="nil"/>
                  </w:tcBorders>
                  <w:vAlign w:val="center"/>
                </w:tcPr>
                <w:p w14:paraId="15E0283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噪声</w:t>
                  </w:r>
                </w:p>
              </w:tc>
              <w:tc>
                <w:tcPr>
                  <w:tcW w:w="6175" w:type="dxa"/>
                  <w:tcBorders>
                    <w:tl2br w:val="nil"/>
                    <w:tr2bl w:val="nil"/>
                  </w:tcBorders>
                  <w:vAlign w:val="center"/>
                </w:tcPr>
                <w:p w14:paraId="6EE5355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left"/>
                    <w:textAlignment w:val="auto"/>
                    <w:rPr>
                      <w:color w:val="auto"/>
                      <w:sz w:val="21"/>
                      <w:szCs w:val="21"/>
                    </w:rPr>
                  </w:pPr>
                  <w:r>
                    <w:rPr>
                      <w:color w:val="auto"/>
                      <w:sz w:val="21"/>
                      <w:szCs w:val="21"/>
                    </w:rPr>
                    <w:t>噪声设备采用厂房隔音、减振、降噪措施</w:t>
                  </w:r>
                </w:p>
              </w:tc>
              <w:tc>
                <w:tcPr>
                  <w:tcW w:w="638" w:type="dxa"/>
                  <w:tcBorders>
                    <w:tl2br w:val="nil"/>
                    <w:tr2bl w:val="nil"/>
                  </w:tcBorders>
                  <w:vAlign w:val="center"/>
                </w:tcPr>
                <w:p w14:paraId="4E4A304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lang w:val="en-US" w:eastAsia="zh-CN"/>
                    </w:rPr>
                    <w:t>新建</w:t>
                  </w:r>
                </w:p>
              </w:tc>
            </w:tr>
            <w:tr w14:paraId="75283F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495" w:type="dxa"/>
                  <w:vMerge w:val="continue"/>
                  <w:tcBorders>
                    <w:tl2br w:val="nil"/>
                    <w:tr2bl w:val="nil"/>
                  </w:tcBorders>
                  <w:vAlign w:val="center"/>
                </w:tcPr>
                <w:p w14:paraId="68CCF875">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859" w:type="dxa"/>
                  <w:vMerge w:val="restart"/>
                  <w:tcBorders>
                    <w:tl2br w:val="nil"/>
                    <w:tr2bl w:val="nil"/>
                  </w:tcBorders>
                  <w:vAlign w:val="center"/>
                </w:tcPr>
                <w:p w14:paraId="1CE88A0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固废</w:t>
                  </w:r>
                </w:p>
              </w:tc>
              <w:tc>
                <w:tcPr>
                  <w:tcW w:w="6175" w:type="dxa"/>
                  <w:tcBorders>
                    <w:tl2br w:val="nil"/>
                    <w:tr2bl w:val="nil"/>
                  </w:tcBorders>
                  <w:vAlign w:val="center"/>
                </w:tcPr>
                <w:p w14:paraId="2C7C28E7">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color w:val="auto"/>
                      <w:sz w:val="21"/>
                      <w:szCs w:val="21"/>
                      <w:u w:val="none"/>
                    </w:rPr>
                  </w:pPr>
                  <w:r>
                    <w:rPr>
                      <w:rFonts w:hint="eastAsia"/>
                      <w:color w:val="auto"/>
                      <w:sz w:val="21"/>
                      <w:szCs w:val="21"/>
                      <w:u w:val="none"/>
                      <w:lang w:val="en-US" w:eastAsia="zh-CN"/>
                    </w:rPr>
                    <w:t>一般</w:t>
                  </w:r>
                  <w:r>
                    <w:rPr>
                      <w:rFonts w:hint="eastAsia"/>
                      <w:color w:val="auto"/>
                      <w:sz w:val="21"/>
                      <w:szCs w:val="21"/>
                      <w:u w:val="none"/>
                    </w:rPr>
                    <w:t>固废分类收集</w:t>
                  </w:r>
                  <w:r>
                    <w:rPr>
                      <w:rFonts w:hint="eastAsia"/>
                      <w:color w:val="auto"/>
                      <w:sz w:val="21"/>
                      <w:szCs w:val="21"/>
                      <w:u w:val="none"/>
                      <w:lang w:eastAsia="zh-CN"/>
                    </w:rPr>
                    <w:t>，</w:t>
                  </w:r>
                  <w:r>
                    <w:rPr>
                      <w:rFonts w:hint="eastAsia"/>
                      <w:color w:val="auto"/>
                      <w:sz w:val="21"/>
                      <w:szCs w:val="21"/>
                      <w:u w:val="none"/>
                      <w:lang w:val="en-US" w:eastAsia="zh-CN"/>
                    </w:rPr>
                    <w:t>暂存于一</w:t>
                  </w:r>
                  <w:r>
                    <w:rPr>
                      <w:rFonts w:hint="eastAsia"/>
                      <w:color w:val="auto"/>
                      <w:sz w:val="21"/>
                      <w:szCs w:val="21"/>
                      <w:u w:val="none"/>
                    </w:rPr>
                    <w:t>般固废暂存</w:t>
                  </w:r>
                  <w:r>
                    <w:rPr>
                      <w:rFonts w:hint="eastAsia"/>
                      <w:color w:val="auto"/>
                      <w:sz w:val="21"/>
                      <w:szCs w:val="21"/>
                      <w:u w:val="none"/>
                      <w:lang w:val="en-US" w:eastAsia="zh-CN"/>
                    </w:rPr>
                    <w:t>间，面积100m</w:t>
                  </w:r>
                  <w:r>
                    <w:rPr>
                      <w:rFonts w:hint="eastAsia"/>
                      <w:color w:val="auto"/>
                      <w:sz w:val="21"/>
                      <w:szCs w:val="21"/>
                      <w:u w:val="none"/>
                      <w:vertAlign w:val="superscript"/>
                      <w:lang w:val="en-US" w:eastAsia="zh-CN"/>
                    </w:rPr>
                    <w:t>2</w:t>
                  </w:r>
                  <w:r>
                    <w:rPr>
                      <w:rFonts w:hint="eastAsia"/>
                      <w:color w:val="auto"/>
                      <w:sz w:val="21"/>
                      <w:szCs w:val="21"/>
                      <w:u w:val="none"/>
                    </w:rPr>
                    <w:t>。</w:t>
                  </w:r>
                </w:p>
              </w:tc>
              <w:tc>
                <w:tcPr>
                  <w:tcW w:w="638" w:type="dxa"/>
                  <w:vMerge w:val="restart"/>
                  <w:tcBorders>
                    <w:tl2br w:val="nil"/>
                    <w:tr2bl w:val="nil"/>
                  </w:tcBorders>
                  <w:vAlign w:val="center"/>
                </w:tcPr>
                <w:p w14:paraId="10016CD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sz w:val="21"/>
                      <w:szCs w:val="21"/>
                      <w:u w:val="single"/>
                    </w:rPr>
                  </w:pPr>
                  <w:r>
                    <w:rPr>
                      <w:rFonts w:hint="eastAsia"/>
                      <w:color w:val="auto"/>
                      <w:sz w:val="21"/>
                      <w:szCs w:val="21"/>
                      <w:lang w:val="en-US" w:eastAsia="zh-CN"/>
                    </w:rPr>
                    <w:t>新建</w:t>
                  </w:r>
                </w:p>
              </w:tc>
            </w:tr>
            <w:tr w14:paraId="2641EB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495" w:type="dxa"/>
                  <w:vMerge w:val="continue"/>
                  <w:tcBorders>
                    <w:tl2br w:val="nil"/>
                    <w:tr2bl w:val="nil"/>
                  </w:tcBorders>
                  <w:vAlign w:val="center"/>
                </w:tcPr>
                <w:p w14:paraId="5062217D">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pPr>
                </w:p>
              </w:tc>
              <w:tc>
                <w:tcPr>
                  <w:tcW w:w="859" w:type="dxa"/>
                  <w:vMerge w:val="continue"/>
                  <w:tcBorders>
                    <w:tl2br w:val="nil"/>
                    <w:tr2bl w:val="nil"/>
                  </w:tcBorders>
                  <w:vAlign w:val="center"/>
                </w:tcPr>
                <w:p w14:paraId="7D706686">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pPr>
                </w:p>
              </w:tc>
              <w:tc>
                <w:tcPr>
                  <w:tcW w:w="6175" w:type="dxa"/>
                  <w:tcBorders>
                    <w:tl2br w:val="nil"/>
                    <w:tr2bl w:val="nil"/>
                  </w:tcBorders>
                  <w:vAlign w:val="center"/>
                </w:tcPr>
                <w:p w14:paraId="3542D10E">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default" w:eastAsia="宋体"/>
                      <w:color w:val="auto"/>
                      <w:sz w:val="21"/>
                      <w:szCs w:val="21"/>
                      <w:u w:val="none"/>
                      <w:lang w:val="en-US" w:eastAsia="zh-CN"/>
                    </w:rPr>
                  </w:pPr>
                  <w:r>
                    <w:rPr>
                      <w:rFonts w:hint="eastAsia"/>
                      <w:color w:val="auto"/>
                      <w:sz w:val="21"/>
                      <w:szCs w:val="21"/>
                      <w:u w:val="none"/>
                      <w:lang w:val="en-US" w:eastAsia="zh-CN"/>
                    </w:rPr>
                    <w:t>危废暂存暂存于危废暂存间，面积50m</w:t>
                  </w:r>
                  <w:r>
                    <w:rPr>
                      <w:rFonts w:hint="eastAsia"/>
                      <w:color w:val="auto"/>
                      <w:sz w:val="21"/>
                      <w:szCs w:val="21"/>
                      <w:u w:val="none"/>
                      <w:vertAlign w:val="superscript"/>
                      <w:lang w:val="en-US" w:eastAsia="zh-CN"/>
                    </w:rPr>
                    <w:t>2</w:t>
                  </w:r>
                  <w:r>
                    <w:rPr>
                      <w:rFonts w:hint="eastAsia"/>
                      <w:color w:val="auto"/>
                      <w:sz w:val="21"/>
                      <w:szCs w:val="21"/>
                      <w:u w:val="none"/>
                    </w:rPr>
                    <w:t>。</w:t>
                  </w:r>
                </w:p>
              </w:tc>
              <w:tc>
                <w:tcPr>
                  <w:tcW w:w="638" w:type="dxa"/>
                  <w:vMerge w:val="continue"/>
                  <w:tcBorders>
                    <w:tl2br w:val="nil"/>
                    <w:tr2bl w:val="nil"/>
                  </w:tcBorders>
                  <w:vAlign w:val="center"/>
                </w:tcPr>
                <w:p w14:paraId="0DA929DD">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color w:val="auto"/>
                      <w:sz w:val="21"/>
                      <w:szCs w:val="21"/>
                      <w:u w:val="single"/>
                    </w:rPr>
                  </w:pPr>
                </w:p>
              </w:tc>
            </w:tr>
            <w:tr w14:paraId="2B55BC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jc w:val="center"/>
              </w:trPr>
              <w:tc>
                <w:tcPr>
                  <w:tcW w:w="495" w:type="dxa"/>
                  <w:vMerge w:val="continue"/>
                  <w:tcBorders>
                    <w:tl2br w:val="nil"/>
                    <w:tr2bl w:val="nil"/>
                  </w:tcBorders>
                  <w:vAlign w:val="center"/>
                </w:tcPr>
                <w:p w14:paraId="547F3CB3">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pPr>
                </w:p>
              </w:tc>
              <w:tc>
                <w:tcPr>
                  <w:tcW w:w="859" w:type="dxa"/>
                  <w:vMerge w:val="continue"/>
                  <w:tcBorders>
                    <w:tl2br w:val="nil"/>
                    <w:tr2bl w:val="nil"/>
                  </w:tcBorders>
                  <w:vAlign w:val="center"/>
                </w:tcPr>
                <w:p w14:paraId="62FBC552">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pPr>
                </w:p>
              </w:tc>
              <w:tc>
                <w:tcPr>
                  <w:tcW w:w="6175" w:type="dxa"/>
                  <w:tcBorders>
                    <w:tl2br w:val="nil"/>
                    <w:tr2bl w:val="nil"/>
                  </w:tcBorders>
                  <w:vAlign w:val="center"/>
                </w:tcPr>
                <w:p w14:paraId="488F9DA6">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default"/>
                      <w:color w:val="auto"/>
                      <w:sz w:val="21"/>
                      <w:szCs w:val="21"/>
                      <w:u w:val="none"/>
                      <w:lang w:val="en-US" w:eastAsia="zh-CN"/>
                    </w:rPr>
                  </w:pPr>
                  <w:r>
                    <w:rPr>
                      <w:rFonts w:hint="eastAsia"/>
                      <w:color w:val="auto"/>
                      <w:sz w:val="21"/>
                      <w:szCs w:val="21"/>
                      <w:u w:val="none"/>
                      <w:lang w:val="en-US" w:eastAsia="zh-CN"/>
                    </w:rPr>
                    <w:t>生活垃圾设置若干垃圾桶</w:t>
                  </w:r>
                </w:p>
              </w:tc>
              <w:tc>
                <w:tcPr>
                  <w:tcW w:w="638" w:type="dxa"/>
                  <w:vMerge w:val="continue"/>
                  <w:tcBorders>
                    <w:tl2br w:val="nil"/>
                    <w:tr2bl w:val="nil"/>
                  </w:tcBorders>
                  <w:vAlign w:val="center"/>
                </w:tcPr>
                <w:p w14:paraId="46A2F250">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color w:val="auto"/>
                      <w:sz w:val="21"/>
                      <w:szCs w:val="21"/>
                      <w:u w:val="single"/>
                    </w:rPr>
                  </w:pPr>
                </w:p>
              </w:tc>
            </w:tr>
          </w:tbl>
          <w:p w14:paraId="38BCDB5D">
            <w:pPr>
              <w:pageBreakBefore w:val="0"/>
              <w:widowControl w:val="0"/>
              <w:kinsoku/>
              <w:wordWrap w:val="0"/>
              <w:overflowPunct/>
              <w:topLinePunct w:val="0"/>
              <w:autoSpaceDE/>
              <w:autoSpaceDN/>
              <w:bidi w:val="0"/>
              <w:snapToGrid/>
              <w:spacing w:line="360" w:lineRule="auto"/>
              <w:ind w:left="0" w:firstLine="0" w:firstLineChars="0"/>
              <w:rPr>
                <w:b/>
                <w:bCs/>
                <w:color w:val="auto"/>
              </w:rPr>
            </w:pPr>
            <w:r>
              <w:rPr>
                <w:rFonts w:hint="eastAsia"/>
                <w:b/>
                <w:bCs/>
                <w:color w:val="auto"/>
              </w:rPr>
              <w:t>3.产品方案</w:t>
            </w:r>
          </w:p>
          <w:p w14:paraId="68E00C7F">
            <w:pPr>
              <w:ind w:firstLine="480"/>
              <w:rPr>
                <w:rFonts w:hint="eastAsia" w:ascii="宋体" w:hAnsi="宋体" w:cs="宋体"/>
                <w:color w:val="auto"/>
                <w:kern w:val="0"/>
                <w:szCs w:val="21"/>
                <w:lang w:val="zh-CN"/>
              </w:rPr>
            </w:pPr>
            <w:r>
              <w:rPr>
                <w:color w:val="auto"/>
              </w:rPr>
              <w:t>项目建设规模和产品方案详见下表</w:t>
            </w:r>
            <w:r>
              <w:rPr>
                <w:rFonts w:hint="eastAsia" w:ascii="宋体" w:hAnsi="宋体" w:cs="宋体"/>
                <w:color w:val="auto"/>
                <w:kern w:val="0"/>
                <w:szCs w:val="21"/>
                <w:lang w:val="zh-CN"/>
              </w:rPr>
              <w:t>。</w:t>
            </w:r>
          </w:p>
          <w:p w14:paraId="707D3F48">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425" w:leftChars="0" w:hanging="425" w:firstLineChars="0"/>
              <w:jc w:val="center"/>
              <w:textAlignment w:val="auto"/>
              <w:rPr>
                <w:rFonts w:hint="eastAsia" w:ascii="Times New Roman" w:hAnsi="Times New Roman" w:eastAsia="宋体" w:cs="Times New Roman"/>
                <w:b/>
                <w:bCs/>
                <w:color w:val="000000" w:themeColor="text1"/>
                <w:sz w:val="21"/>
                <w:szCs w:val="21"/>
                <w:lang w:val="zh-CN"/>
                <w14:textFill>
                  <w14:solidFill>
                    <w14:schemeClr w14:val="tx1"/>
                  </w14:solidFill>
                </w14:textFill>
              </w:rPr>
            </w:pPr>
            <w:r>
              <w:rPr>
                <w:rFonts w:hint="eastAsia" w:ascii="Times New Roman" w:hAnsi="Times New Roman" w:eastAsia="宋体" w:cs="Times New Roman"/>
                <w:b/>
                <w:bCs/>
                <w:color w:val="000000" w:themeColor="text1"/>
                <w:sz w:val="21"/>
                <w:szCs w:val="21"/>
                <w:lang w:val="zh-CN"/>
                <w14:textFill>
                  <w14:solidFill>
                    <w14:schemeClr w14:val="tx1"/>
                  </w14:solidFill>
                </w14:textFill>
              </w:rPr>
              <w:t>主要产品一览表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81"/>
              <w:gridCol w:w="1811"/>
              <w:gridCol w:w="1838"/>
              <w:gridCol w:w="1198"/>
              <w:gridCol w:w="1951"/>
            </w:tblGrid>
            <w:tr w14:paraId="56F5E7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2093" w:type="pct"/>
                  <w:gridSpan w:val="2"/>
                  <w:noWrap w:val="0"/>
                  <w:vAlign w:val="center"/>
                </w:tcPr>
                <w:p w14:paraId="0C26B882">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bidi="ar"/>
                    </w:rPr>
                    <w:t>产品名称</w:t>
                  </w:r>
                </w:p>
              </w:tc>
              <w:tc>
                <w:tcPr>
                  <w:tcW w:w="1071" w:type="pct"/>
                  <w:noWrap w:val="0"/>
                  <w:vAlign w:val="center"/>
                </w:tcPr>
                <w:p w14:paraId="413EAC98">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z w:val="21"/>
                      <w:szCs w:val="21"/>
                      <w:lang w:val="en-US"/>
                    </w:rPr>
                  </w:pPr>
                  <w:r>
                    <w:rPr>
                      <w:rFonts w:hint="default" w:ascii="Times New Roman" w:hAnsi="Times New Roman" w:eastAsia="宋体" w:cs="Times New Roman"/>
                      <w:b/>
                      <w:bCs/>
                      <w:sz w:val="21"/>
                      <w:szCs w:val="21"/>
                      <w:lang w:val="en-US" w:eastAsia="zh-CN" w:bidi="ar"/>
                    </w:rPr>
                    <w:t>包装形式</w:t>
                  </w:r>
                </w:p>
              </w:tc>
              <w:tc>
                <w:tcPr>
                  <w:tcW w:w="698" w:type="pct"/>
                  <w:noWrap w:val="0"/>
                  <w:vAlign w:val="center"/>
                </w:tcPr>
                <w:p w14:paraId="07E46DCF">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z w:val="21"/>
                      <w:szCs w:val="21"/>
                      <w:lang w:bidi="ar"/>
                    </w:rPr>
                  </w:pPr>
                  <w:r>
                    <w:rPr>
                      <w:rFonts w:hint="default" w:ascii="Times New Roman" w:hAnsi="Times New Roman" w:eastAsia="宋体" w:cs="Times New Roman"/>
                      <w:b/>
                      <w:bCs/>
                      <w:sz w:val="21"/>
                      <w:szCs w:val="21"/>
                      <w:lang w:bidi="ar"/>
                    </w:rPr>
                    <w:t>单位</w:t>
                  </w:r>
                </w:p>
              </w:tc>
              <w:tc>
                <w:tcPr>
                  <w:tcW w:w="1137" w:type="pct"/>
                  <w:noWrap w:val="0"/>
                  <w:vAlign w:val="center"/>
                </w:tcPr>
                <w:p w14:paraId="50318D02">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bidi="ar"/>
                    </w:rPr>
                    <w:t>产量</w:t>
                  </w:r>
                </w:p>
              </w:tc>
            </w:tr>
            <w:tr w14:paraId="4DDE0F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038" w:type="pct"/>
                  <w:vMerge w:val="restart"/>
                  <w:noWrap w:val="0"/>
                  <w:vAlign w:val="center"/>
                </w:tcPr>
                <w:p w14:paraId="02867983">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毒性中药饮片</w:t>
                  </w:r>
                </w:p>
              </w:tc>
              <w:tc>
                <w:tcPr>
                  <w:tcW w:w="1054" w:type="pct"/>
                  <w:noWrap w:val="0"/>
                  <w:vAlign w:val="center"/>
                </w:tcPr>
                <w:p w14:paraId="483E8D5A">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半夏</w:t>
                  </w:r>
                </w:p>
              </w:tc>
              <w:tc>
                <w:tcPr>
                  <w:tcW w:w="1071" w:type="pct"/>
                  <w:vMerge w:val="restart"/>
                  <w:noWrap w:val="0"/>
                  <w:vAlign w:val="center"/>
                </w:tcPr>
                <w:p w14:paraId="5E3E31A4">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pacing w:val="8"/>
                      <w:kern w:val="24"/>
                      <w:sz w:val="21"/>
                      <w:szCs w:val="21"/>
                      <w:lang w:val="en-US" w:eastAsia="zh-CN" w:bidi="ar"/>
                    </w:rPr>
                  </w:pPr>
                  <w:r>
                    <w:rPr>
                      <w:rFonts w:hint="default" w:ascii="Times New Roman" w:hAnsi="Times New Roman" w:eastAsia="宋体" w:cs="Times New Roman"/>
                      <w:bCs/>
                      <w:spacing w:val="8"/>
                      <w:kern w:val="24"/>
                      <w:sz w:val="21"/>
                      <w:szCs w:val="21"/>
                      <w:lang w:val="en-US" w:eastAsia="zh-CN" w:bidi="ar"/>
                    </w:rPr>
                    <w:t>袋装</w:t>
                  </w:r>
                </w:p>
              </w:tc>
              <w:tc>
                <w:tcPr>
                  <w:tcW w:w="698" w:type="pct"/>
                  <w:vMerge w:val="restart"/>
                  <w:noWrap w:val="0"/>
                  <w:vAlign w:val="center"/>
                </w:tcPr>
                <w:p w14:paraId="3CD9DBE7">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spacing w:val="8"/>
                      <w:kern w:val="24"/>
                      <w:sz w:val="21"/>
                      <w:szCs w:val="21"/>
                      <w:lang w:val="en-US" w:eastAsia="zh-CN" w:bidi="ar"/>
                    </w:rPr>
                  </w:pPr>
                  <w:r>
                    <w:rPr>
                      <w:rFonts w:hint="default" w:ascii="Times New Roman" w:hAnsi="Times New Roman" w:eastAsia="宋体" w:cs="Times New Roman"/>
                      <w:bCs/>
                      <w:sz w:val="21"/>
                      <w:szCs w:val="21"/>
                      <w:lang w:val="en-US" w:eastAsia="zh-CN" w:bidi="ar"/>
                    </w:rPr>
                    <w:t>吨</w:t>
                  </w:r>
                  <w:r>
                    <w:rPr>
                      <w:rFonts w:hint="default" w:ascii="Times New Roman" w:hAnsi="Times New Roman" w:eastAsia="宋体" w:cs="Times New Roman"/>
                      <w:bCs/>
                      <w:sz w:val="21"/>
                      <w:szCs w:val="21"/>
                      <w:lang w:eastAsia="zh-CN" w:bidi="ar"/>
                    </w:rPr>
                    <w:t>/年</w:t>
                  </w:r>
                </w:p>
              </w:tc>
              <w:tc>
                <w:tcPr>
                  <w:tcW w:w="1137" w:type="pct"/>
                  <w:vMerge w:val="restart"/>
                  <w:noWrap w:val="0"/>
                  <w:vAlign w:val="center"/>
                </w:tcPr>
                <w:p w14:paraId="78055CD8">
                  <w:pPr>
                    <w:keepNext w:val="0"/>
                    <w:keepLines w:val="0"/>
                    <w:pageBreakBefore w:val="0"/>
                    <w:widowControl w:val="0"/>
                    <w:suppressLineNumbers w:val="0"/>
                    <w:kinsoku/>
                    <w:wordWrap w:val="0"/>
                    <w:overflowPunct/>
                    <w:topLinePunct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150吨</w:t>
                  </w:r>
                </w:p>
              </w:tc>
            </w:tr>
            <w:tr w14:paraId="2D0509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038" w:type="pct"/>
                  <w:vMerge w:val="continue"/>
                  <w:noWrap w:val="0"/>
                  <w:vAlign w:val="center"/>
                </w:tcPr>
                <w:p w14:paraId="1B2DB5AE">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p>
              </w:tc>
              <w:tc>
                <w:tcPr>
                  <w:tcW w:w="1054" w:type="pct"/>
                  <w:noWrap w:val="0"/>
                  <w:vAlign w:val="center"/>
                </w:tcPr>
                <w:p w14:paraId="56FD5A07">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附子</w:t>
                  </w:r>
                </w:p>
              </w:tc>
              <w:tc>
                <w:tcPr>
                  <w:tcW w:w="1071" w:type="pct"/>
                  <w:vMerge w:val="continue"/>
                  <w:noWrap w:val="0"/>
                  <w:vAlign w:val="center"/>
                </w:tcPr>
                <w:p w14:paraId="34E4A83D">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c>
                <w:tcPr>
                  <w:tcW w:w="698" w:type="pct"/>
                  <w:vMerge w:val="continue"/>
                  <w:noWrap w:val="0"/>
                  <w:vAlign w:val="center"/>
                </w:tcPr>
                <w:p w14:paraId="26419555">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c>
                <w:tcPr>
                  <w:tcW w:w="1137" w:type="pct"/>
                  <w:vMerge w:val="continue"/>
                  <w:noWrap w:val="0"/>
                  <w:vAlign w:val="center"/>
                </w:tcPr>
                <w:p w14:paraId="22E18FC4">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r>
            <w:tr w14:paraId="1060F7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038" w:type="pct"/>
                  <w:vMerge w:val="continue"/>
                  <w:noWrap w:val="0"/>
                  <w:vAlign w:val="center"/>
                </w:tcPr>
                <w:p w14:paraId="63AA21DD">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c>
                <w:tcPr>
                  <w:tcW w:w="1054" w:type="pct"/>
                  <w:noWrap w:val="0"/>
                  <w:vAlign w:val="center"/>
                </w:tcPr>
                <w:p w14:paraId="2A81AF76">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马钱子</w:t>
                  </w:r>
                </w:p>
              </w:tc>
              <w:tc>
                <w:tcPr>
                  <w:tcW w:w="1071" w:type="pct"/>
                  <w:vMerge w:val="continue"/>
                  <w:noWrap w:val="0"/>
                  <w:vAlign w:val="center"/>
                </w:tcPr>
                <w:p w14:paraId="6D2195E4">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c>
                <w:tcPr>
                  <w:tcW w:w="698" w:type="pct"/>
                  <w:vMerge w:val="continue"/>
                  <w:noWrap w:val="0"/>
                  <w:vAlign w:val="center"/>
                </w:tcPr>
                <w:p w14:paraId="36940030">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c>
                <w:tcPr>
                  <w:tcW w:w="1137" w:type="pct"/>
                  <w:vMerge w:val="continue"/>
                  <w:noWrap w:val="0"/>
                  <w:vAlign w:val="center"/>
                </w:tcPr>
                <w:p w14:paraId="7146F44C">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r>
            <w:tr w14:paraId="1C8B60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038" w:type="pct"/>
                  <w:noWrap w:val="0"/>
                  <w:vAlign w:val="center"/>
                </w:tcPr>
                <w:p w14:paraId="63518809">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口服中药饮片</w:t>
                  </w:r>
                </w:p>
              </w:tc>
              <w:tc>
                <w:tcPr>
                  <w:tcW w:w="1054" w:type="pct"/>
                  <w:noWrap w:val="0"/>
                  <w:vAlign w:val="center"/>
                </w:tcPr>
                <w:p w14:paraId="3B577BEE">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三七</w:t>
                  </w:r>
                </w:p>
              </w:tc>
              <w:tc>
                <w:tcPr>
                  <w:tcW w:w="1071" w:type="pct"/>
                  <w:noWrap w:val="0"/>
                  <w:vAlign w:val="center"/>
                </w:tcPr>
                <w:p w14:paraId="736049B5">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袋装</w:t>
                  </w:r>
                </w:p>
              </w:tc>
              <w:tc>
                <w:tcPr>
                  <w:tcW w:w="698" w:type="pct"/>
                  <w:noWrap w:val="0"/>
                  <w:vAlign w:val="center"/>
                </w:tcPr>
                <w:p w14:paraId="59A4AB50">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吨/年</w:t>
                  </w:r>
                </w:p>
              </w:tc>
              <w:tc>
                <w:tcPr>
                  <w:tcW w:w="1137" w:type="pct"/>
                  <w:noWrap w:val="0"/>
                  <w:vAlign w:val="center"/>
                </w:tcPr>
                <w:p w14:paraId="35E6F9AC">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10吨</w:t>
                  </w:r>
                </w:p>
              </w:tc>
            </w:tr>
            <w:tr w14:paraId="1919A1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8" w:type="pct"/>
                  <w:vMerge w:val="restart"/>
                  <w:noWrap w:val="0"/>
                  <w:vAlign w:val="center"/>
                </w:tcPr>
                <w:p w14:paraId="675B5B4C">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普通中药饮片</w:t>
                  </w:r>
                  <w:r>
                    <w:rPr>
                      <w:rFonts w:hint="eastAsia" w:cs="Times New Roman"/>
                      <w:bCs/>
                      <w:sz w:val="21"/>
                      <w:szCs w:val="21"/>
                      <w:lang w:val="en-US" w:eastAsia="zh-CN" w:bidi="ar"/>
                    </w:rPr>
                    <w:t>（含新型中药饮片）</w:t>
                  </w:r>
                </w:p>
              </w:tc>
              <w:tc>
                <w:tcPr>
                  <w:tcW w:w="1054" w:type="pct"/>
                  <w:shd w:val="clear" w:color="auto" w:fill="auto"/>
                  <w:noWrap w:val="0"/>
                  <w:vAlign w:val="top"/>
                </w:tcPr>
                <w:p w14:paraId="11F59BD4">
                  <w:pPr>
                    <w:keepNext w:val="0"/>
                    <w:keepLines w:val="0"/>
                    <w:pageBreakBefore w:val="0"/>
                    <w:widowControl w:val="0"/>
                    <w:kinsoku/>
                    <w:wordWrap w:val="0"/>
                    <w:overflowPunct/>
                    <w:topLinePunct w:val="0"/>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白扁豆</w:t>
                  </w:r>
                </w:p>
              </w:tc>
              <w:tc>
                <w:tcPr>
                  <w:tcW w:w="1071" w:type="pct"/>
                  <w:vMerge w:val="restart"/>
                  <w:noWrap w:val="0"/>
                  <w:vAlign w:val="center"/>
                </w:tcPr>
                <w:p w14:paraId="6D4D61B6">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袋装</w:t>
                  </w:r>
                </w:p>
              </w:tc>
              <w:tc>
                <w:tcPr>
                  <w:tcW w:w="698" w:type="pct"/>
                  <w:vMerge w:val="restart"/>
                  <w:noWrap w:val="0"/>
                  <w:vAlign w:val="center"/>
                </w:tcPr>
                <w:p w14:paraId="6D0B4409">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吨/年</w:t>
                  </w:r>
                </w:p>
              </w:tc>
              <w:tc>
                <w:tcPr>
                  <w:tcW w:w="1137" w:type="pct"/>
                  <w:vMerge w:val="restart"/>
                  <w:noWrap w:val="0"/>
                  <w:vAlign w:val="center"/>
                </w:tcPr>
                <w:p w14:paraId="1A499A2F">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1500吨</w:t>
                  </w:r>
                </w:p>
              </w:tc>
            </w:tr>
            <w:tr w14:paraId="067E42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038" w:type="pct"/>
                  <w:vMerge w:val="continue"/>
                  <w:noWrap w:val="0"/>
                  <w:vAlign w:val="center"/>
                </w:tcPr>
                <w:p w14:paraId="097ACA6C">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c>
                <w:tcPr>
                  <w:tcW w:w="1054" w:type="pct"/>
                  <w:shd w:val="clear" w:color="auto" w:fill="auto"/>
                  <w:noWrap w:val="0"/>
                  <w:vAlign w:val="top"/>
                </w:tcPr>
                <w:p w14:paraId="4BDDAE00">
                  <w:pPr>
                    <w:keepNext w:val="0"/>
                    <w:keepLines w:val="0"/>
                    <w:pageBreakBefore w:val="0"/>
                    <w:widowControl w:val="0"/>
                    <w:kinsoku/>
                    <w:wordWrap w:val="0"/>
                    <w:overflowPunct/>
                    <w:topLinePunct w:val="0"/>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冬瓜皮</w:t>
                  </w:r>
                </w:p>
              </w:tc>
              <w:tc>
                <w:tcPr>
                  <w:tcW w:w="1071" w:type="pct"/>
                  <w:vMerge w:val="continue"/>
                  <w:noWrap w:val="0"/>
                  <w:vAlign w:val="center"/>
                </w:tcPr>
                <w:p w14:paraId="61D72BF0">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c>
                <w:tcPr>
                  <w:tcW w:w="698" w:type="pct"/>
                  <w:vMerge w:val="continue"/>
                  <w:noWrap w:val="0"/>
                  <w:vAlign w:val="center"/>
                </w:tcPr>
                <w:p w14:paraId="52F89348">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c>
                <w:tcPr>
                  <w:tcW w:w="1137" w:type="pct"/>
                  <w:vMerge w:val="continue"/>
                  <w:noWrap w:val="0"/>
                  <w:vAlign w:val="center"/>
                </w:tcPr>
                <w:p w14:paraId="50AC74FC">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r>
            <w:tr w14:paraId="2F2ABE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038" w:type="pct"/>
                  <w:vMerge w:val="continue"/>
                  <w:noWrap w:val="0"/>
                  <w:vAlign w:val="center"/>
                </w:tcPr>
                <w:p w14:paraId="30B44582">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c>
                <w:tcPr>
                  <w:tcW w:w="1054" w:type="pct"/>
                  <w:shd w:val="clear" w:color="auto" w:fill="auto"/>
                  <w:noWrap w:val="0"/>
                  <w:vAlign w:val="top"/>
                </w:tcPr>
                <w:p w14:paraId="6CCA680B">
                  <w:pPr>
                    <w:keepNext w:val="0"/>
                    <w:keepLines w:val="0"/>
                    <w:pageBreakBefore w:val="0"/>
                    <w:widowControl w:val="0"/>
                    <w:kinsoku/>
                    <w:wordWrap w:val="0"/>
                    <w:overflowPunct/>
                    <w:topLinePunct w:val="0"/>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白扁豆</w:t>
                  </w:r>
                </w:p>
              </w:tc>
              <w:tc>
                <w:tcPr>
                  <w:tcW w:w="1071" w:type="pct"/>
                  <w:vMerge w:val="continue"/>
                  <w:noWrap w:val="0"/>
                  <w:vAlign w:val="center"/>
                </w:tcPr>
                <w:p w14:paraId="5F909AF8">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c>
                <w:tcPr>
                  <w:tcW w:w="698" w:type="pct"/>
                  <w:vMerge w:val="continue"/>
                  <w:noWrap w:val="0"/>
                  <w:vAlign w:val="center"/>
                </w:tcPr>
                <w:p w14:paraId="77C1D589">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c>
                <w:tcPr>
                  <w:tcW w:w="1137" w:type="pct"/>
                  <w:vMerge w:val="continue"/>
                  <w:noWrap w:val="0"/>
                  <w:vAlign w:val="center"/>
                </w:tcPr>
                <w:p w14:paraId="4E6AC84D">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r>
            <w:tr w14:paraId="729A45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8" w:type="pct"/>
                  <w:vMerge w:val="continue"/>
                  <w:noWrap w:val="0"/>
                  <w:vAlign w:val="center"/>
                </w:tcPr>
                <w:p w14:paraId="7708FA0F">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c>
                <w:tcPr>
                  <w:tcW w:w="1054" w:type="pct"/>
                  <w:shd w:val="clear" w:color="auto" w:fill="auto"/>
                  <w:noWrap w:val="0"/>
                  <w:vAlign w:val="top"/>
                </w:tcPr>
                <w:p w14:paraId="1F7C7890">
                  <w:pPr>
                    <w:keepNext w:val="0"/>
                    <w:keepLines w:val="0"/>
                    <w:pageBreakBefore w:val="0"/>
                    <w:widowControl w:val="0"/>
                    <w:kinsoku/>
                    <w:wordWrap w:val="0"/>
                    <w:overflowPunct/>
                    <w:topLinePunct w:val="0"/>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补骨脂</w:t>
                  </w:r>
                </w:p>
              </w:tc>
              <w:tc>
                <w:tcPr>
                  <w:tcW w:w="1071" w:type="pct"/>
                  <w:vMerge w:val="continue"/>
                  <w:noWrap w:val="0"/>
                  <w:vAlign w:val="center"/>
                </w:tcPr>
                <w:p w14:paraId="4FFF3CDA">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c>
                <w:tcPr>
                  <w:tcW w:w="698" w:type="pct"/>
                  <w:vMerge w:val="continue"/>
                  <w:noWrap w:val="0"/>
                  <w:vAlign w:val="center"/>
                </w:tcPr>
                <w:p w14:paraId="79D1B82B">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c>
                <w:tcPr>
                  <w:tcW w:w="1137" w:type="pct"/>
                  <w:vMerge w:val="continue"/>
                  <w:noWrap w:val="0"/>
                  <w:vAlign w:val="center"/>
                </w:tcPr>
                <w:p w14:paraId="037997C6">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r>
            <w:tr w14:paraId="552954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038" w:type="pct"/>
                  <w:vMerge w:val="continue"/>
                  <w:noWrap w:val="0"/>
                  <w:vAlign w:val="center"/>
                </w:tcPr>
                <w:p w14:paraId="66D10433">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c>
                <w:tcPr>
                  <w:tcW w:w="1054" w:type="pct"/>
                  <w:shd w:val="clear" w:color="auto" w:fill="auto"/>
                  <w:noWrap w:val="0"/>
                  <w:vAlign w:val="top"/>
                </w:tcPr>
                <w:p w14:paraId="433ED31F">
                  <w:pPr>
                    <w:keepNext w:val="0"/>
                    <w:keepLines w:val="0"/>
                    <w:pageBreakBefore w:val="0"/>
                    <w:widowControl w:val="0"/>
                    <w:kinsoku/>
                    <w:wordWrap w:val="0"/>
                    <w:overflowPunct/>
                    <w:topLinePunct w:val="0"/>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地榆</w:t>
                  </w:r>
                </w:p>
              </w:tc>
              <w:tc>
                <w:tcPr>
                  <w:tcW w:w="1071" w:type="pct"/>
                  <w:vMerge w:val="continue"/>
                  <w:noWrap w:val="0"/>
                  <w:vAlign w:val="center"/>
                </w:tcPr>
                <w:p w14:paraId="71A402D2">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c>
                <w:tcPr>
                  <w:tcW w:w="698" w:type="pct"/>
                  <w:vMerge w:val="continue"/>
                  <w:noWrap w:val="0"/>
                  <w:vAlign w:val="center"/>
                </w:tcPr>
                <w:p w14:paraId="634C3247">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c>
                <w:tcPr>
                  <w:tcW w:w="1137" w:type="pct"/>
                  <w:vMerge w:val="continue"/>
                  <w:noWrap w:val="0"/>
                  <w:vAlign w:val="center"/>
                </w:tcPr>
                <w:p w14:paraId="7A08E261">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r>
            <w:tr w14:paraId="79AF97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038" w:type="pct"/>
                  <w:vMerge w:val="continue"/>
                  <w:noWrap w:val="0"/>
                  <w:vAlign w:val="center"/>
                </w:tcPr>
                <w:p w14:paraId="0DD19B65">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c>
                <w:tcPr>
                  <w:tcW w:w="1054" w:type="pct"/>
                  <w:shd w:val="clear" w:color="auto" w:fill="auto"/>
                  <w:noWrap w:val="0"/>
                  <w:vAlign w:val="top"/>
                </w:tcPr>
                <w:p w14:paraId="513151E1">
                  <w:pPr>
                    <w:keepNext w:val="0"/>
                    <w:keepLines w:val="0"/>
                    <w:pageBreakBefore w:val="0"/>
                    <w:widowControl w:val="0"/>
                    <w:kinsoku/>
                    <w:wordWrap w:val="0"/>
                    <w:overflowPunct/>
                    <w:topLinePunct w:val="0"/>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肉豆蔻</w:t>
                  </w:r>
                </w:p>
              </w:tc>
              <w:tc>
                <w:tcPr>
                  <w:tcW w:w="1071" w:type="pct"/>
                  <w:vMerge w:val="continue"/>
                  <w:noWrap w:val="0"/>
                  <w:vAlign w:val="center"/>
                </w:tcPr>
                <w:p w14:paraId="66966148">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c>
                <w:tcPr>
                  <w:tcW w:w="698" w:type="pct"/>
                  <w:vMerge w:val="continue"/>
                  <w:noWrap w:val="0"/>
                  <w:vAlign w:val="center"/>
                </w:tcPr>
                <w:p w14:paraId="199EFFA1">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c>
                <w:tcPr>
                  <w:tcW w:w="1137" w:type="pct"/>
                  <w:vMerge w:val="continue"/>
                  <w:noWrap w:val="0"/>
                  <w:vAlign w:val="center"/>
                </w:tcPr>
                <w:p w14:paraId="54AAC58B">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r>
            <w:tr w14:paraId="7AF8B2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038" w:type="pct"/>
                  <w:vMerge w:val="continue"/>
                  <w:noWrap w:val="0"/>
                  <w:vAlign w:val="center"/>
                </w:tcPr>
                <w:p w14:paraId="28F36F52">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c>
                <w:tcPr>
                  <w:tcW w:w="1054" w:type="pct"/>
                  <w:shd w:val="clear" w:color="auto" w:fill="auto"/>
                  <w:noWrap w:val="0"/>
                  <w:vAlign w:val="top"/>
                </w:tcPr>
                <w:p w14:paraId="17D9731D">
                  <w:pPr>
                    <w:keepNext w:val="0"/>
                    <w:keepLines w:val="0"/>
                    <w:pageBreakBefore w:val="0"/>
                    <w:widowControl w:val="0"/>
                    <w:kinsoku/>
                    <w:wordWrap w:val="0"/>
                    <w:overflowPunct/>
                    <w:topLinePunct w:val="0"/>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石决明</w:t>
                  </w:r>
                </w:p>
              </w:tc>
              <w:tc>
                <w:tcPr>
                  <w:tcW w:w="1071" w:type="pct"/>
                  <w:vMerge w:val="continue"/>
                  <w:noWrap w:val="0"/>
                  <w:vAlign w:val="center"/>
                </w:tcPr>
                <w:p w14:paraId="37B7A3E7">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c>
                <w:tcPr>
                  <w:tcW w:w="698" w:type="pct"/>
                  <w:vMerge w:val="continue"/>
                  <w:noWrap w:val="0"/>
                  <w:vAlign w:val="center"/>
                </w:tcPr>
                <w:p w14:paraId="2B3AA6DF">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c>
                <w:tcPr>
                  <w:tcW w:w="1137" w:type="pct"/>
                  <w:vMerge w:val="continue"/>
                  <w:noWrap w:val="0"/>
                  <w:vAlign w:val="center"/>
                </w:tcPr>
                <w:p w14:paraId="23082025">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r>
            <w:tr w14:paraId="61D950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038" w:type="pct"/>
                  <w:vMerge w:val="continue"/>
                  <w:noWrap w:val="0"/>
                  <w:vAlign w:val="center"/>
                </w:tcPr>
                <w:p w14:paraId="23CA5027">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c>
                <w:tcPr>
                  <w:tcW w:w="1054" w:type="pct"/>
                  <w:shd w:val="clear" w:color="auto" w:fill="auto"/>
                  <w:noWrap w:val="0"/>
                  <w:vAlign w:val="top"/>
                </w:tcPr>
                <w:p w14:paraId="1A6EC398">
                  <w:pPr>
                    <w:keepNext w:val="0"/>
                    <w:keepLines w:val="0"/>
                    <w:pageBreakBefore w:val="0"/>
                    <w:widowControl w:val="0"/>
                    <w:kinsoku/>
                    <w:wordWrap w:val="0"/>
                    <w:overflowPunct/>
                    <w:topLinePunct w:val="0"/>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女贞子</w:t>
                  </w:r>
                </w:p>
              </w:tc>
              <w:tc>
                <w:tcPr>
                  <w:tcW w:w="1071" w:type="pct"/>
                  <w:vMerge w:val="continue"/>
                  <w:noWrap w:val="0"/>
                  <w:vAlign w:val="center"/>
                </w:tcPr>
                <w:p w14:paraId="0DCE614D">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c>
                <w:tcPr>
                  <w:tcW w:w="698" w:type="pct"/>
                  <w:vMerge w:val="continue"/>
                  <w:noWrap w:val="0"/>
                  <w:vAlign w:val="center"/>
                </w:tcPr>
                <w:p w14:paraId="4A7E2AA4">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c>
                <w:tcPr>
                  <w:tcW w:w="1137" w:type="pct"/>
                  <w:vMerge w:val="continue"/>
                  <w:noWrap w:val="0"/>
                  <w:vAlign w:val="center"/>
                </w:tcPr>
                <w:p w14:paraId="318BCA14">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r>
            <w:tr w14:paraId="6F25E8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038" w:type="pct"/>
                  <w:vMerge w:val="continue"/>
                  <w:noWrap w:val="0"/>
                  <w:vAlign w:val="center"/>
                </w:tcPr>
                <w:p w14:paraId="4BC798D6">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c>
                <w:tcPr>
                  <w:tcW w:w="1054" w:type="pct"/>
                  <w:shd w:val="clear" w:color="auto" w:fill="auto"/>
                  <w:noWrap w:val="0"/>
                  <w:vAlign w:val="top"/>
                </w:tcPr>
                <w:p w14:paraId="0BE52F62">
                  <w:pPr>
                    <w:keepNext w:val="0"/>
                    <w:keepLines w:val="0"/>
                    <w:pageBreakBefore w:val="0"/>
                    <w:widowControl w:val="0"/>
                    <w:kinsoku/>
                    <w:wordWrap w:val="0"/>
                    <w:overflowPunct/>
                    <w:topLinePunct w:val="0"/>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延胡索</w:t>
                  </w:r>
                </w:p>
              </w:tc>
              <w:tc>
                <w:tcPr>
                  <w:tcW w:w="1071" w:type="pct"/>
                  <w:vMerge w:val="continue"/>
                  <w:noWrap w:val="0"/>
                  <w:vAlign w:val="center"/>
                </w:tcPr>
                <w:p w14:paraId="76E10DAC">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c>
                <w:tcPr>
                  <w:tcW w:w="698" w:type="pct"/>
                  <w:vMerge w:val="continue"/>
                  <w:noWrap w:val="0"/>
                  <w:vAlign w:val="center"/>
                </w:tcPr>
                <w:p w14:paraId="3F7E005C">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c>
                <w:tcPr>
                  <w:tcW w:w="1137" w:type="pct"/>
                  <w:vMerge w:val="continue"/>
                  <w:noWrap w:val="0"/>
                  <w:vAlign w:val="center"/>
                </w:tcPr>
                <w:p w14:paraId="689F37AD">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r>
            <w:tr w14:paraId="69AE0B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038" w:type="pct"/>
                  <w:vMerge w:val="continue"/>
                  <w:noWrap w:val="0"/>
                  <w:vAlign w:val="center"/>
                </w:tcPr>
                <w:p w14:paraId="4BF14CBA">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c>
                <w:tcPr>
                  <w:tcW w:w="1054" w:type="pct"/>
                  <w:shd w:val="clear" w:color="auto" w:fill="auto"/>
                  <w:noWrap w:val="0"/>
                  <w:vAlign w:val="top"/>
                </w:tcPr>
                <w:p w14:paraId="0F64E577">
                  <w:pPr>
                    <w:keepNext w:val="0"/>
                    <w:keepLines w:val="0"/>
                    <w:pageBreakBefore w:val="0"/>
                    <w:widowControl w:val="0"/>
                    <w:kinsoku/>
                    <w:wordWrap w:val="0"/>
                    <w:overflowPunct/>
                    <w:topLinePunct w:val="0"/>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苦杏仁</w:t>
                  </w:r>
                </w:p>
              </w:tc>
              <w:tc>
                <w:tcPr>
                  <w:tcW w:w="1071" w:type="pct"/>
                  <w:vMerge w:val="continue"/>
                  <w:noWrap w:val="0"/>
                  <w:vAlign w:val="center"/>
                </w:tcPr>
                <w:p w14:paraId="1088C6D1">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c>
                <w:tcPr>
                  <w:tcW w:w="698" w:type="pct"/>
                  <w:vMerge w:val="continue"/>
                  <w:noWrap w:val="0"/>
                  <w:vAlign w:val="center"/>
                </w:tcPr>
                <w:p w14:paraId="39582002">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c>
                <w:tcPr>
                  <w:tcW w:w="1137" w:type="pct"/>
                  <w:vMerge w:val="continue"/>
                  <w:noWrap w:val="0"/>
                  <w:vAlign w:val="center"/>
                </w:tcPr>
                <w:p w14:paraId="4768E889">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r>
            <w:tr w14:paraId="63C6B0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4" w:hRule="atLeast"/>
                <w:jc w:val="center"/>
              </w:trPr>
              <w:tc>
                <w:tcPr>
                  <w:tcW w:w="1038" w:type="pct"/>
                  <w:vMerge w:val="continue"/>
                  <w:noWrap w:val="0"/>
                  <w:vAlign w:val="center"/>
                </w:tcPr>
                <w:p w14:paraId="24602D19">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c>
                <w:tcPr>
                  <w:tcW w:w="1054" w:type="pct"/>
                  <w:shd w:val="clear" w:color="auto" w:fill="auto"/>
                  <w:noWrap w:val="0"/>
                  <w:vAlign w:val="top"/>
                </w:tcPr>
                <w:p w14:paraId="16C9C593">
                  <w:pPr>
                    <w:keepNext w:val="0"/>
                    <w:keepLines w:val="0"/>
                    <w:pageBreakBefore w:val="0"/>
                    <w:widowControl w:val="0"/>
                    <w:kinsoku/>
                    <w:wordWrap w:val="0"/>
                    <w:overflowPunct/>
                    <w:topLinePunct w:val="0"/>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滑石</w:t>
                  </w:r>
                </w:p>
              </w:tc>
              <w:tc>
                <w:tcPr>
                  <w:tcW w:w="1071" w:type="pct"/>
                  <w:vMerge w:val="continue"/>
                  <w:noWrap w:val="0"/>
                  <w:vAlign w:val="center"/>
                </w:tcPr>
                <w:p w14:paraId="34BA70B1">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c>
                <w:tcPr>
                  <w:tcW w:w="698" w:type="pct"/>
                  <w:vMerge w:val="continue"/>
                  <w:noWrap w:val="0"/>
                  <w:vAlign w:val="center"/>
                </w:tcPr>
                <w:p w14:paraId="72CFA0D1">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c>
                <w:tcPr>
                  <w:tcW w:w="1137" w:type="pct"/>
                  <w:vMerge w:val="continue"/>
                  <w:noWrap w:val="0"/>
                  <w:vAlign w:val="center"/>
                </w:tcPr>
                <w:p w14:paraId="1F1673F3">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r>
            <w:tr w14:paraId="0B7B42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038" w:type="pct"/>
                  <w:vMerge w:val="continue"/>
                  <w:noWrap w:val="0"/>
                  <w:vAlign w:val="center"/>
                </w:tcPr>
                <w:p w14:paraId="51ECDDA5">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c>
                <w:tcPr>
                  <w:tcW w:w="1054" w:type="pct"/>
                  <w:shd w:val="clear" w:color="auto" w:fill="auto"/>
                  <w:noWrap w:val="0"/>
                  <w:vAlign w:val="top"/>
                </w:tcPr>
                <w:p w14:paraId="41A9363A">
                  <w:pPr>
                    <w:keepNext w:val="0"/>
                    <w:keepLines w:val="0"/>
                    <w:pageBreakBefore w:val="0"/>
                    <w:widowControl w:val="0"/>
                    <w:kinsoku/>
                    <w:wordWrap w:val="0"/>
                    <w:overflowPunct/>
                    <w:topLinePunct w:val="0"/>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红曲</w:t>
                  </w:r>
                </w:p>
              </w:tc>
              <w:tc>
                <w:tcPr>
                  <w:tcW w:w="1071" w:type="pct"/>
                  <w:vMerge w:val="continue"/>
                  <w:noWrap w:val="0"/>
                  <w:vAlign w:val="center"/>
                </w:tcPr>
                <w:p w14:paraId="5C27BD59">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c>
                <w:tcPr>
                  <w:tcW w:w="698" w:type="pct"/>
                  <w:vMerge w:val="continue"/>
                  <w:noWrap w:val="0"/>
                  <w:vAlign w:val="center"/>
                </w:tcPr>
                <w:p w14:paraId="06601140">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c>
                <w:tcPr>
                  <w:tcW w:w="1137" w:type="pct"/>
                  <w:vMerge w:val="continue"/>
                  <w:noWrap w:val="0"/>
                  <w:vAlign w:val="center"/>
                </w:tcPr>
                <w:p w14:paraId="3DEC8632">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r>
            <w:tr w14:paraId="7084DE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1038" w:type="pct"/>
                  <w:vMerge w:val="restart"/>
                  <w:noWrap w:val="0"/>
                  <w:vAlign w:val="center"/>
                </w:tcPr>
                <w:p w14:paraId="4C740479">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食品</w:t>
                  </w:r>
                </w:p>
              </w:tc>
              <w:tc>
                <w:tcPr>
                  <w:tcW w:w="1054" w:type="pct"/>
                  <w:noWrap w:val="0"/>
                  <w:vAlign w:val="center"/>
                </w:tcPr>
                <w:p w14:paraId="2626EC52">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硒片</w:t>
                  </w:r>
                </w:p>
              </w:tc>
              <w:tc>
                <w:tcPr>
                  <w:tcW w:w="1071" w:type="pct"/>
                  <w:vMerge w:val="restart"/>
                  <w:noWrap w:val="0"/>
                  <w:vAlign w:val="center"/>
                </w:tcPr>
                <w:p w14:paraId="74C209DB">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瓶装、袋装</w:t>
                  </w:r>
                </w:p>
              </w:tc>
              <w:tc>
                <w:tcPr>
                  <w:tcW w:w="698" w:type="pct"/>
                  <w:vMerge w:val="restart"/>
                  <w:noWrap w:val="0"/>
                  <w:vAlign w:val="center"/>
                </w:tcPr>
                <w:p w14:paraId="1052D2A6">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kern w:val="2"/>
                      <w:sz w:val="21"/>
                      <w:szCs w:val="21"/>
                      <w:lang w:val="en-US" w:eastAsia="zh-CN" w:bidi="ar"/>
                    </w:rPr>
                  </w:pPr>
                  <w:r>
                    <w:rPr>
                      <w:rFonts w:hint="default" w:ascii="Times New Roman" w:hAnsi="Times New Roman" w:eastAsia="宋体" w:cs="Times New Roman"/>
                      <w:bCs/>
                      <w:sz w:val="21"/>
                      <w:szCs w:val="21"/>
                      <w:lang w:val="en-US" w:eastAsia="zh-CN" w:bidi="ar"/>
                    </w:rPr>
                    <w:t>吨</w:t>
                  </w:r>
                  <w:r>
                    <w:rPr>
                      <w:rFonts w:hint="default" w:ascii="Times New Roman" w:hAnsi="Times New Roman" w:eastAsia="宋体" w:cs="Times New Roman"/>
                      <w:bCs/>
                      <w:sz w:val="21"/>
                      <w:szCs w:val="21"/>
                      <w:lang w:eastAsia="zh-CN" w:bidi="ar"/>
                    </w:rPr>
                    <w:t>/年</w:t>
                  </w:r>
                </w:p>
              </w:tc>
              <w:tc>
                <w:tcPr>
                  <w:tcW w:w="1137" w:type="pct"/>
                  <w:vMerge w:val="restart"/>
                  <w:noWrap w:val="0"/>
                  <w:vAlign w:val="center"/>
                </w:tcPr>
                <w:p w14:paraId="116540AB">
                  <w:pPr>
                    <w:keepNext w:val="0"/>
                    <w:keepLines w:val="0"/>
                    <w:pageBreakBefore w:val="0"/>
                    <w:widowControl w:val="0"/>
                    <w:suppressLineNumbers w:val="0"/>
                    <w:kinsoku/>
                    <w:wordWrap w:val="0"/>
                    <w:overflowPunct/>
                    <w:topLinePunct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2000吨</w:t>
                  </w:r>
                </w:p>
              </w:tc>
            </w:tr>
            <w:tr w14:paraId="0F1E9A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1038" w:type="pct"/>
                  <w:vMerge w:val="continue"/>
                  <w:noWrap w:val="0"/>
                  <w:vAlign w:val="center"/>
                </w:tcPr>
                <w:p w14:paraId="40B35A53">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p>
              </w:tc>
              <w:tc>
                <w:tcPr>
                  <w:tcW w:w="1054" w:type="pct"/>
                  <w:noWrap w:val="0"/>
                  <w:vAlign w:val="center"/>
                </w:tcPr>
                <w:p w14:paraId="24C4F1D4">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硒胶囊</w:t>
                  </w:r>
                </w:p>
              </w:tc>
              <w:tc>
                <w:tcPr>
                  <w:tcW w:w="1071" w:type="pct"/>
                  <w:vMerge w:val="continue"/>
                  <w:noWrap w:val="0"/>
                  <w:vAlign w:val="center"/>
                </w:tcPr>
                <w:p w14:paraId="7E025FE0">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c>
                <w:tcPr>
                  <w:tcW w:w="698" w:type="pct"/>
                  <w:vMerge w:val="continue"/>
                  <w:noWrap w:val="0"/>
                  <w:vAlign w:val="center"/>
                </w:tcPr>
                <w:p w14:paraId="4ED12DA0">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c>
                <w:tcPr>
                  <w:tcW w:w="1137" w:type="pct"/>
                  <w:vMerge w:val="continue"/>
                  <w:noWrap w:val="0"/>
                  <w:vAlign w:val="center"/>
                </w:tcPr>
                <w:p w14:paraId="4B8E28D7">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r>
            <w:tr w14:paraId="21A376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1038" w:type="pct"/>
                  <w:vMerge w:val="continue"/>
                  <w:noWrap w:val="0"/>
                  <w:vAlign w:val="center"/>
                </w:tcPr>
                <w:p w14:paraId="1FCE8C38">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c>
                <w:tcPr>
                  <w:tcW w:w="1054" w:type="pct"/>
                  <w:noWrap w:val="0"/>
                  <w:vAlign w:val="center"/>
                </w:tcPr>
                <w:p w14:paraId="223C3160">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硒颗粒</w:t>
                  </w:r>
                </w:p>
              </w:tc>
              <w:tc>
                <w:tcPr>
                  <w:tcW w:w="1071" w:type="pct"/>
                  <w:vMerge w:val="continue"/>
                  <w:noWrap w:val="0"/>
                  <w:vAlign w:val="center"/>
                </w:tcPr>
                <w:p w14:paraId="618B0ABC">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c>
                <w:tcPr>
                  <w:tcW w:w="698" w:type="pct"/>
                  <w:vMerge w:val="continue"/>
                  <w:noWrap w:val="0"/>
                  <w:vAlign w:val="center"/>
                </w:tcPr>
                <w:p w14:paraId="7FE91BF3">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c>
                <w:tcPr>
                  <w:tcW w:w="1137" w:type="pct"/>
                  <w:vMerge w:val="continue"/>
                  <w:noWrap w:val="0"/>
                  <w:vAlign w:val="center"/>
                </w:tcPr>
                <w:p w14:paraId="709FBDBB">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z w:val="21"/>
                      <w:szCs w:val="21"/>
                      <w:lang w:val="en-US" w:eastAsia="zh-CN" w:bidi="ar"/>
                    </w:rPr>
                  </w:pPr>
                </w:p>
              </w:tc>
            </w:tr>
          </w:tbl>
          <w:p w14:paraId="66675CBF">
            <w:pPr>
              <w:pageBreakBefore w:val="0"/>
              <w:widowControl w:val="0"/>
              <w:kinsoku/>
              <w:wordWrap w:val="0"/>
              <w:overflowPunct/>
              <w:topLinePunct w:val="0"/>
              <w:autoSpaceDE/>
              <w:autoSpaceDN/>
              <w:bidi w:val="0"/>
              <w:snapToGrid/>
              <w:spacing w:line="360" w:lineRule="auto"/>
              <w:ind w:left="0" w:firstLine="0" w:firstLineChars="0"/>
              <w:rPr>
                <w:b/>
                <w:bCs/>
                <w:color w:val="auto"/>
              </w:rPr>
            </w:pPr>
            <w:r>
              <w:rPr>
                <w:rFonts w:hint="eastAsia"/>
                <w:b/>
                <w:bCs/>
                <w:color w:val="auto"/>
              </w:rPr>
              <w:t>4.主要生产设备</w:t>
            </w:r>
          </w:p>
          <w:p w14:paraId="3B085501">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425" w:leftChars="0" w:hanging="425" w:firstLineChars="0"/>
              <w:jc w:val="center"/>
              <w:textAlignment w:val="auto"/>
              <w:rPr>
                <w:rFonts w:hint="eastAsia" w:ascii="Times New Roman" w:hAnsi="Times New Roman" w:eastAsia="宋体" w:cs="Times New Roman"/>
                <w:b/>
                <w:bCs/>
                <w:color w:val="000000" w:themeColor="text1"/>
                <w:sz w:val="21"/>
                <w:szCs w:val="21"/>
                <w:u w:val="single"/>
                <w:lang w:val="zh-CN"/>
                <w14:textFill>
                  <w14:solidFill>
                    <w14:schemeClr w14:val="tx1"/>
                  </w14:solidFill>
                </w14:textFill>
              </w:rPr>
            </w:pPr>
            <w:r>
              <w:rPr>
                <w:rFonts w:hint="eastAsia" w:ascii="Times New Roman" w:hAnsi="Times New Roman" w:eastAsia="宋体" w:cs="Times New Roman"/>
                <w:b/>
                <w:bCs/>
                <w:color w:val="000000" w:themeColor="text1"/>
                <w:sz w:val="21"/>
                <w:szCs w:val="21"/>
                <w:u w:val="single"/>
                <w:lang w:val="zh-CN"/>
                <w14:textFill>
                  <w14:solidFill>
                    <w14:schemeClr w14:val="tx1"/>
                  </w14:solidFill>
                </w14:textFill>
              </w:rPr>
              <w:t>主要设备情况一览表</w:t>
            </w:r>
          </w:p>
          <w:tbl>
            <w:tblPr>
              <w:tblStyle w:val="20"/>
              <w:tblW w:w="860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3"/>
              <w:gridCol w:w="1791"/>
              <w:gridCol w:w="2617"/>
              <w:gridCol w:w="2476"/>
              <w:gridCol w:w="975"/>
            </w:tblGrid>
            <w:tr w14:paraId="75185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blHeader/>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B0A8B">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序号</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DAE57">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eastAsia" w:ascii="Times New Roman" w:hAnsi="Times New Roman" w:eastAsia="宋体" w:cs="Times New Roman"/>
                      <w:b/>
                      <w:bCs/>
                      <w:i w:val="0"/>
                      <w:iCs w:val="0"/>
                      <w:color w:val="000000"/>
                      <w:kern w:val="0"/>
                      <w:sz w:val="21"/>
                      <w:szCs w:val="21"/>
                      <w:u w:val="single"/>
                      <w:lang w:val="en-US" w:eastAsia="zh-CN" w:bidi="ar"/>
                    </w:rPr>
                    <w:t>车间位置</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8F449">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设备名称</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5A997">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设备型号</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6C674C65">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设备数量</w:t>
                  </w:r>
                </w:p>
              </w:tc>
            </w:tr>
            <w:tr w14:paraId="53640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000" w:type="pct"/>
                  <w:gridSpan w:val="5"/>
                  <w:tcBorders>
                    <w:top w:val="single" w:color="000000" w:sz="4" w:space="0"/>
                    <w:left w:val="single" w:color="000000" w:sz="4" w:space="0"/>
                    <w:bottom w:val="single" w:color="000000" w:sz="4" w:space="0"/>
                    <w:right w:val="nil"/>
                  </w:tcBorders>
                  <w:shd w:val="clear" w:color="auto" w:fill="auto"/>
                  <w:vAlign w:val="center"/>
                </w:tcPr>
                <w:p w14:paraId="6EA6CB9C">
                  <w:pPr>
                    <w:keepNext w:val="0"/>
                    <w:keepLines w:val="0"/>
                    <w:pageBreakBefore w:val="0"/>
                    <w:widowControl/>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default" w:ascii="Times New Roman" w:hAnsi="Times New Roman" w:eastAsia="宋体" w:cs="Times New Roman"/>
                      <w:b/>
                      <w:bCs/>
                      <w:i w:val="0"/>
                      <w:iCs w:val="0"/>
                      <w:color w:val="000000"/>
                      <w:kern w:val="0"/>
                      <w:sz w:val="21"/>
                      <w:szCs w:val="21"/>
                      <w:u w:val="single"/>
                      <w:lang w:val="en-US" w:eastAsia="zh-CN" w:bidi="ar"/>
                    </w:rPr>
                    <w:t>一、普通饮片生产车间</w:t>
                  </w:r>
                </w:p>
              </w:tc>
            </w:tr>
            <w:tr w14:paraId="6DF94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3787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0703A">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2"/>
                      <w:sz w:val="21"/>
                      <w:szCs w:val="21"/>
                      <w:u w:val="single"/>
                      <w:lang w:val="en-US" w:eastAsia="zh-CN" w:bidi="ar-SA"/>
                    </w:rPr>
                  </w:pPr>
                  <w:r>
                    <w:rPr>
                      <w:rFonts w:hint="default" w:ascii="Times New Roman" w:hAnsi="Times New Roman" w:eastAsia="宋体" w:cs="Times New Roman"/>
                      <w:b/>
                      <w:bCs/>
                      <w:i w:val="0"/>
                      <w:iCs w:val="0"/>
                      <w:color w:val="000000"/>
                      <w:kern w:val="0"/>
                      <w:sz w:val="21"/>
                      <w:szCs w:val="21"/>
                      <w:u w:val="single"/>
                      <w:lang w:val="en-US" w:eastAsia="zh-CN" w:bidi="ar"/>
                    </w:rPr>
                    <w:t>净选间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B7274">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2"/>
                      <w:sz w:val="21"/>
                      <w:szCs w:val="21"/>
                      <w:u w:val="single"/>
                      <w:lang w:val="en-US" w:eastAsia="zh-CN" w:bidi="ar-SA"/>
                    </w:rPr>
                  </w:pPr>
                  <w:r>
                    <w:rPr>
                      <w:rFonts w:hint="default" w:ascii="Times New Roman" w:hAnsi="Times New Roman" w:eastAsia="宋体" w:cs="Times New Roman"/>
                      <w:b/>
                      <w:bCs/>
                      <w:i w:val="0"/>
                      <w:iCs w:val="0"/>
                      <w:color w:val="000000"/>
                      <w:kern w:val="0"/>
                      <w:sz w:val="21"/>
                      <w:szCs w:val="21"/>
                      <w:u w:val="single"/>
                      <w:lang w:val="en-US" w:eastAsia="zh-CN" w:bidi="ar"/>
                    </w:rPr>
                    <w:t>拣选台</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8A566">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2"/>
                      <w:sz w:val="21"/>
                      <w:szCs w:val="21"/>
                      <w:u w:val="single"/>
                      <w:lang w:val="en-US" w:eastAsia="zh-CN" w:bidi="ar-SA"/>
                    </w:rPr>
                  </w:pPr>
                  <w:r>
                    <w:rPr>
                      <w:rFonts w:hint="default" w:ascii="Times New Roman" w:hAnsi="Times New Roman" w:eastAsia="宋体" w:cs="Times New Roman"/>
                      <w:b/>
                      <w:bCs/>
                      <w:i w:val="0"/>
                      <w:iCs w:val="0"/>
                      <w:color w:val="000000"/>
                      <w:kern w:val="0"/>
                      <w:sz w:val="21"/>
                      <w:szCs w:val="21"/>
                      <w:u w:val="single"/>
                      <w:lang w:val="en-US" w:eastAsia="zh-CN" w:bidi="ar"/>
                    </w:rPr>
                    <w:t>2000*1000*800</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57B5A230">
                  <w:pPr>
                    <w:keepNext w:val="0"/>
                    <w:keepLines w:val="0"/>
                    <w:pageBreakBefore w:val="0"/>
                    <w:widowControl/>
                    <w:kinsoku/>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1</w:t>
                  </w:r>
                </w:p>
              </w:tc>
            </w:tr>
            <w:tr w14:paraId="68B9F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95929">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2</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A2DCB">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2"/>
                      <w:sz w:val="21"/>
                      <w:szCs w:val="21"/>
                      <w:u w:val="single"/>
                      <w:lang w:val="en-US" w:eastAsia="zh-CN" w:bidi="ar-SA"/>
                    </w:rPr>
                  </w:pPr>
                  <w:r>
                    <w:rPr>
                      <w:rFonts w:hint="default" w:ascii="Times New Roman" w:hAnsi="Times New Roman" w:eastAsia="宋体" w:cs="Times New Roman"/>
                      <w:b/>
                      <w:bCs/>
                      <w:i w:val="0"/>
                      <w:iCs w:val="0"/>
                      <w:color w:val="000000"/>
                      <w:kern w:val="0"/>
                      <w:sz w:val="21"/>
                      <w:szCs w:val="21"/>
                      <w:u w:val="single"/>
                      <w:lang w:val="en-US" w:eastAsia="zh-CN" w:bidi="ar"/>
                    </w:rPr>
                    <w:t>包装间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6D518">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2"/>
                      <w:sz w:val="21"/>
                      <w:szCs w:val="21"/>
                      <w:u w:val="single"/>
                      <w:lang w:val="en-US" w:eastAsia="zh-CN" w:bidi="ar-SA"/>
                    </w:rPr>
                  </w:pPr>
                  <w:r>
                    <w:rPr>
                      <w:rFonts w:hint="default" w:ascii="Times New Roman" w:hAnsi="Times New Roman" w:eastAsia="宋体" w:cs="Times New Roman"/>
                      <w:b/>
                      <w:bCs/>
                      <w:i w:val="0"/>
                      <w:iCs w:val="0"/>
                      <w:color w:val="000000"/>
                      <w:kern w:val="0"/>
                      <w:sz w:val="21"/>
                      <w:szCs w:val="21"/>
                      <w:u w:val="single"/>
                      <w:lang w:val="en-US" w:eastAsia="zh-CN" w:bidi="ar"/>
                    </w:rPr>
                    <w:t>包装台</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2C124">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2"/>
                      <w:sz w:val="21"/>
                      <w:szCs w:val="21"/>
                      <w:u w:val="single"/>
                      <w:lang w:val="en-US" w:eastAsia="zh-CN" w:bidi="ar-SA"/>
                    </w:rPr>
                  </w:pPr>
                  <w:r>
                    <w:rPr>
                      <w:rFonts w:hint="default" w:ascii="Times New Roman" w:hAnsi="Times New Roman" w:eastAsia="宋体" w:cs="Times New Roman"/>
                      <w:b/>
                      <w:bCs/>
                      <w:i w:val="0"/>
                      <w:iCs w:val="0"/>
                      <w:color w:val="000000"/>
                      <w:kern w:val="0"/>
                      <w:sz w:val="21"/>
                      <w:szCs w:val="21"/>
                      <w:u w:val="single"/>
                      <w:lang w:val="en-US" w:eastAsia="zh-CN" w:bidi="ar"/>
                    </w:rPr>
                    <w:t>2000*1000*800</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6AD5668C">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6B20D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8D63C">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3</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A489A">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2"/>
                      <w:sz w:val="21"/>
                      <w:szCs w:val="21"/>
                      <w:u w:val="single"/>
                      <w:lang w:val="en-US" w:eastAsia="zh-CN" w:bidi="ar-SA"/>
                    </w:rPr>
                  </w:pPr>
                  <w:r>
                    <w:rPr>
                      <w:rFonts w:hint="default" w:ascii="Times New Roman" w:hAnsi="Times New Roman" w:eastAsia="宋体" w:cs="Times New Roman"/>
                      <w:b/>
                      <w:bCs/>
                      <w:i w:val="0"/>
                      <w:iCs w:val="0"/>
                      <w:color w:val="000000"/>
                      <w:kern w:val="0"/>
                      <w:sz w:val="21"/>
                      <w:szCs w:val="21"/>
                      <w:u w:val="single"/>
                      <w:lang w:val="en-US" w:eastAsia="zh-CN" w:bidi="ar"/>
                    </w:rPr>
                    <w:t>洗润切间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23BCE">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2"/>
                      <w:sz w:val="21"/>
                      <w:szCs w:val="21"/>
                      <w:u w:val="single"/>
                      <w:lang w:val="en-US" w:eastAsia="zh-CN" w:bidi="ar-SA"/>
                    </w:rPr>
                  </w:pPr>
                  <w:r>
                    <w:rPr>
                      <w:rFonts w:hint="default" w:ascii="Times New Roman" w:hAnsi="Times New Roman" w:eastAsia="宋体" w:cs="Times New Roman"/>
                      <w:b/>
                      <w:bCs/>
                      <w:i w:val="0"/>
                      <w:iCs w:val="0"/>
                      <w:color w:val="000000"/>
                      <w:kern w:val="0"/>
                      <w:sz w:val="21"/>
                      <w:szCs w:val="21"/>
                      <w:u w:val="single"/>
                      <w:lang w:val="en-US" w:eastAsia="zh-CN" w:bidi="ar"/>
                    </w:rPr>
                    <w:t>循环水洗药机</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CC151">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2"/>
                      <w:sz w:val="21"/>
                      <w:szCs w:val="21"/>
                      <w:u w:val="single"/>
                      <w:lang w:val="en-US" w:eastAsia="zh-CN" w:bidi="ar-SA"/>
                    </w:rPr>
                  </w:pPr>
                  <w:r>
                    <w:rPr>
                      <w:rFonts w:hint="default" w:ascii="Times New Roman" w:hAnsi="Times New Roman" w:eastAsia="宋体" w:cs="Times New Roman"/>
                      <w:b/>
                      <w:bCs/>
                      <w:i w:val="0"/>
                      <w:iCs w:val="0"/>
                      <w:color w:val="000000"/>
                      <w:kern w:val="0"/>
                      <w:sz w:val="21"/>
                      <w:szCs w:val="21"/>
                      <w:u w:val="single"/>
                      <w:lang w:val="en-US" w:eastAsia="zh-CN" w:bidi="ar"/>
                    </w:rPr>
                    <w:t>XYS-600</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6565EA1B">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295E8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8BAC6">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4</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250A9">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2"/>
                      <w:sz w:val="21"/>
                      <w:szCs w:val="21"/>
                      <w:u w:val="single"/>
                      <w:lang w:val="en-US" w:eastAsia="zh-CN" w:bidi="ar-SA"/>
                    </w:rPr>
                  </w:pPr>
                  <w:r>
                    <w:rPr>
                      <w:rFonts w:hint="default" w:ascii="Times New Roman" w:hAnsi="Times New Roman" w:eastAsia="宋体" w:cs="Times New Roman"/>
                      <w:b/>
                      <w:bCs/>
                      <w:i w:val="0"/>
                      <w:iCs w:val="0"/>
                      <w:color w:val="000000"/>
                      <w:kern w:val="0"/>
                      <w:sz w:val="21"/>
                      <w:szCs w:val="21"/>
                      <w:u w:val="single"/>
                      <w:lang w:val="en-US" w:eastAsia="zh-CN" w:bidi="ar"/>
                    </w:rPr>
                    <w:t>洗润切间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DADFE">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2"/>
                      <w:sz w:val="21"/>
                      <w:szCs w:val="21"/>
                      <w:u w:val="single"/>
                      <w:lang w:val="en-US" w:eastAsia="zh-CN" w:bidi="ar-SA"/>
                    </w:rPr>
                  </w:pPr>
                  <w:r>
                    <w:rPr>
                      <w:rFonts w:hint="default" w:ascii="Times New Roman" w:hAnsi="Times New Roman" w:eastAsia="宋体" w:cs="Times New Roman"/>
                      <w:b/>
                      <w:bCs/>
                      <w:i w:val="0"/>
                      <w:iCs w:val="0"/>
                      <w:color w:val="000000"/>
                      <w:kern w:val="0"/>
                      <w:sz w:val="21"/>
                      <w:szCs w:val="21"/>
                      <w:u w:val="single"/>
                      <w:lang w:val="en-US" w:eastAsia="zh-CN" w:bidi="ar"/>
                    </w:rPr>
                    <w:t>真空气相置换式润药机</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855FD">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2"/>
                      <w:sz w:val="21"/>
                      <w:szCs w:val="21"/>
                      <w:u w:val="single"/>
                      <w:lang w:val="en-US" w:eastAsia="zh-CN" w:bidi="ar-SA"/>
                    </w:rPr>
                  </w:pPr>
                  <w:r>
                    <w:rPr>
                      <w:rFonts w:hint="default" w:ascii="Times New Roman" w:hAnsi="Times New Roman" w:eastAsia="宋体" w:cs="Times New Roman"/>
                      <w:b/>
                      <w:bCs/>
                      <w:i w:val="0"/>
                      <w:iCs w:val="0"/>
                      <w:color w:val="000000"/>
                      <w:kern w:val="0"/>
                      <w:sz w:val="21"/>
                      <w:szCs w:val="21"/>
                      <w:u w:val="single"/>
                      <w:lang w:val="en-US" w:eastAsia="zh-CN" w:bidi="ar"/>
                    </w:rPr>
                    <w:t>QRY-2000</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1EA22E09">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27E9F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18071">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5</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FA90C">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2"/>
                      <w:sz w:val="21"/>
                      <w:szCs w:val="21"/>
                      <w:u w:val="single"/>
                      <w:lang w:val="en-US" w:eastAsia="zh-CN" w:bidi="ar-SA"/>
                    </w:rPr>
                  </w:pPr>
                  <w:r>
                    <w:rPr>
                      <w:rFonts w:hint="default" w:ascii="Times New Roman" w:hAnsi="Times New Roman" w:eastAsia="宋体" w:cs="Times New Roman"/>
                      <w:b/>
                      <w:bCs/>
                      <w:i w:val="0"/>
                      <w:iCs w:val="0"/>
                      <w:color w:val="000000"/>
                      <w:kern w:val="0"/>
                      <w:sz w:val="21"/>
                      <w:szCs w:val="21"/>
                      <w:u w:val="single"/>
                      <w:lang w:val="en-US" w:eastAsia="zh-CN" w:bidi="ar"/>
                    </w:rPr>
                    <w:t>洗润切间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94028">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2"/>
                      <w:sz w:val="21"/>
                      <w:szCs w:val="21"/>
                      <w:u w:val="single"/>
                      <w:lang w:val="en-US" w:eastAsia="zh-CN" w:bidi="ar-SA"/>
                    </w:rPr>
                  </w:pPr>
                  <w:r>
                    <w:rPr>
                      <w:rFonts w:hint="default" w:ascii="Times New Roman" w:hAnsi="Times New Roman" w:eastAsia="宋体" w:cs="Times New Roman"/>
                      <w:b/>
                      <w:bCs/>
                      <w:i w:val="0"/>
                      <w:iCs w:val="0"/>
                      <w:color w:val="000000"/>
                      <w:kern w:val="0"/>
                      <w:sz w:val="21"/>
                      <w:szCs w:val="21"/>
                      <w:u w:val="single"/>
                      <w:lang w:val="en-US" w:eastAsia="zh-CN" w:bidi="ar"/>
                    </w:rPr>
                    <w:t>配有润药池</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18622">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2"/>
                      <w:sz w:val="21"/>
                      <w:szCs w:val="21"/>
                      <w:u w:val="single"/>
                      <w:lang w:val="en-US" w:eastAsia="zh-CN" w:bidi="ar-SA"/>
                    </w:rPr>
                  </w:pPr>
                  <w:r>
                    <w:rPr>
                      <w:rFonts w:hint="default" w:ascii="Times New Roman" w:hAnsi="Times New Roman" w:eastAsia="宋体" w:cs="Times New Roman"/>
                      <w:b/>
                      <w:bCs/>
                      <w:i w:val="0"/>
                      <w:iCs w:val="0"/>
                      <w:color w:val="000000"/>
                      <w:kern w:val="0"/>
                      <w:sz w:val="21"/>
                      <w:szCs w:val="21"/>
                      <w:u w:val="single"/>
                      <w:lang w:val="en-US" w:eastAsia="zh-CN" w:bidi="ar"/>
                    </w:rPr>
                    <w:t>2000*1000*800带移动轮</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5B2083F8">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3D210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16589">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6</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81EAB">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2"/>
                      <w:sz w:val="21"/>
                      <w:szCs w:val="21"/>
                      <w:u w:val="single"/>
                      <w:lang w:val="en-US" w:eastAsia="zh-CN" w:bidi="ar-SA"/>
                    </w:rPr>
                  </w:pPr>
                  <w:r>
                    <w:rPr>
                      <w:rFonts w:hint="default" w:ascii="Times New Roman" w:hAnsi="Times New Roman" w:eastAsia="宋体" w:cs="Times New Roman"/>
                      <w:b/>
                      <w:bCs/>
                      <w:i w:val="0"/>
                      <w:iCs w:val="0"/>
                      <w:color w:val="000000"/>
                      <w:kern w:val="0"/>
                      <w:sz w:val="21"/>
                      <w:szCs w:val="21"/>
                      <w:u w:val="single"/>
                      <w:lang w:val="en-US" w:eastAsia="zh-CN" w:bidi="ar"/>
                    </w:rPr>
                    <w:t>洗润切间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2D49F">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2"/>
                      <w:sz w:val="21"/>
                      <w:szCs w:val="21"/>
                      <w:u w:val="single"/>
                      <w:lang w:val="en-US" w:eastAsia="zh-CN" w:bidi="ar-SA"/>
                    </w:rPr>
                  </w:pPr>
                  <w:r>
                    <w:rPr>
                      <w:rFonts w:hint="default" w:ascii="Times New Roman" w:hAnsi="Times New Roman" w:eastAsia="宋体" w:cs="Times New Roman"/>
                      <w:b/>
                      <w:bCs/>
                      <w:i w:val="0"/>
                      <w:iCs w:val="0"/>
                      <w:color w:val="000000"/>
                      <w:kern w:val="0"/>
                      <w:sz w:val="21"/>
                      <w:szCs w:val="21"/>
                      <w:u w:val="single"/>
                      <w:lang w:val="en-US" w:eastAsia="zh-CN" w:bidi="ar"/>
                    </w:rPr>
                    <w:t>直线往复式切药机</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9C98A">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2"/>
                      <w:sz w:val="21"/>
                      <w:szCs w:val="21"/>
                      <w:u w:val="single"/>
                      <w:lang w:val="en-US" w:eastAsia="zh-CN" w:bidi="ar-SA"/>
                    </w:rPr>
                  </w:pPr>
                  <w:r>
                    <w:rPr>
                      <w:rFonts w:hint="default" w:ascii="Times New Roman" w:hAnsi="Times New Roman" w:eastAsia="宋体" w:cs="Times New Roman"/>
                      <w:b/>
                      <w:bCs/>
                      <w:i w:val="0"/>
                      <w:iCs w:val="0"/>
                      <w:color w:val="000000"/>
                      <w:kern w:val="0"/>
                      <w:sz w:val="21"/>
                      <w:szCs w:val="21"/>
                      <w:u w:val="single"/>
                      <w:lang w:val="en-US" w:eastAsia="zh-CN" w:bidi="ar"/>
                    </w:rPr>
                    <w:t>QWZ-300</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2A5A7571">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704D1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7F38D">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7</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E69AF">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2"/>
                      <w:sz w:val="21"/>
                      <w:szCs w:val="21"/>
                      <w:u w:val="single"/>
                      <w:lang w:val="en-US" w:eastAsia="zh-CN" w:bidi="ar-SA"/>
                    </w:rPr>
                  </w:pPr>
                  <w:r>
                    <w:rPr>
                      <w:rFonts w:hint="default" w:ascii="Times New Roman" w:hAnsi="Times New Roman" w:eastAsia="宋体" w:cs="Times New Roman"/>
                      <w:b/>
                      <w:bCs/>
                      <w:i w:val="0"/>
                      <w:iCs w:val="0"/>
                      <w:color w:val="000000"/>
                      <w:kern w:val="0"/>
                      <w:sz w:val="21"/>
                      <w:szCs w:val="21"/>
                      <w:u w:val="single"/>
                      <w:lang w:val="en-US" w:eastAsia="zh-CN" w:bidi="ar"/>
                    </w:rPr>
                    <w:t>洗润切间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1F675">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2"/>
                      <w:sz w:val="21"/>
                      <w:szCs w:val="21"/>
                      <w:u w:val="single"/>
                      <w:lang w:val="en-US" w:eastAsia="zh-CN" w:bidi="ar-SA"/>
                    </w:rPr>
                  </w:pPr>
                  <w:r>
                    <w:rPr>
                      <w:rFonts w:hint="default" w:ascii="Times New Roman" w:hAnsi="Times New Roman" w:eastAsia="宋体" w:cs="Times New Roman"/>
                      <w:b/>
                      <w:bCs/>
                      <w:i w:val="0"/>
                      <w:iCs w:val="0"/>
                      <w:color w:val="000000"/>
                      <w:kern w:val="0"/>
                      <w:sz w:val="21"/>
                      <w:szCs w:val="21"/>
                      <w:u w:val="single"/>
                      <w:lang w:val="en-US" w:eastAsia="zh-CN" w:bidi="ar"/>
                    </w:rPr>
                    <w:t>旋料式切片机</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0A538">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2"/>
                      <w:sz w:val="21"/>
                      <w:szCs w:val="21"/>
                      <w:u w:val="single"/>
                      <w:lang w:val="en-US" w:eastAsia="zh-CN" w:bidi="ar-SA"/>
                    </w:rPr>
                  </w:pPr>
                  <w:r>
                    <w:rPr>
                      <w:rFonts w:hint="default" w:ascii="Times New Roman" w:hAnsi="Times New Roman" w:eastAsia="宋体" w:cs="Times New Roman"/>
                      <w:b/>
                      <w:bCs/>
                      <w:i w:val="0"/>
                      <w:iCs w:val="0"/>
                      <w:color w:val="000000"/>
                      <w:kern w:val="0"/>
                      <w:sz w:val="21"/>
                      <w:szCs w:val="21"/>
                      <w:u w:val="single"/>
                      <w:lang w:val="en-US" w:eastAsia="zh-CN" w:bidi="ar"/>
                    </w:rPr>
                    <w:t>QXL-100</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5C10F515">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33138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92F26">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8</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4FEB1">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2"/>
                      <w:sz w:val="21"/>
                      <w:szCs w:val="21"/>
                      <w:u w:val="single"/>
                      <w:lang w:val="en-US" w:eastAsia="zh-CN" w:bidi="ar-SA"/>
                    </w:rPr>
                  </w:pPr>
                  <w:r>
                    <w:rPr>
                      <w:rFonts w:hint="default" w:ascii="Times New Roman" w:hAnsi="Times New Roman" w:eastAsia="宋体" w:cs="Times New Roman"/>
                      <w:b/>
                      <w:bCs/>
                      <w:i w:val="0"/>
                      <w:iCs w:val="0"/>
                      <w:color w:val="000000"/>
                      <w:kern w:val="0"/>
                      <w:sz w:val="21"/>
                      <w:szCs w:val="21"/>
                      <w:u w:val="single"/>
                      <w:lang w:val="en-US" w:eastAsia="zh-CN" w:bidi="ar"/>
                    </w:rPr>
                    <w:t>洗润切间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29BF7">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2"/>
                      <w:sz w:val="21"/>
                      <w:szCs w:val="21"/>
                      <w:u w:val="single"/>
                      <w:lang w:val="en-US" w:eastAsia="zh-CN" w:bidi="ar-SA"/>
                    </w:rPr>
                  </w:pPr>
                  <w:r>
                    <w:rPr>
                      <w:rFonts w:hint="default" w:ascii="Times New Roman" w:hAnsi="Times New Roman" w:eastAsia="宋体" w:cs="Times New Roman"/>
                      <w:b/>
                      <w:bCs/>
                      <w:i w:val="0"/>
                      <w:iCs w:val="0"/>
                      <w:color w:val="000000"/>
                      <w:kern w:val="0"/>
                      <w:sz w:val="21"/>
                      <w:szCs w:val="21"/>
                      <w:u w:val="single"/>
                      <w:lang w:val="en-US" w:eastAsia="zh-CN" w:bidi="ar"/>
                    </w:rPr>
                    <w:t>小型磨刀机</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496E4">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2"/>
                      <w:sz w:val="21"/>
                      <w:szCs w:val="21"/>
                      <w:u w:val="single"/>
                      <w:lang w:val="en-US" w:eastAsia="zh-CN" w:bidi="ar-SA"/>
                    </w:rPr>
                  </w:pPr>
                  <w:r>
                    <w:rPr>
                      <w:rFonts w:hint="default" w:ascii="Times New Roman" w:hAnsi="Times New Roman" w:eastAsia="宋体" w:cs="Times New Roman"/>
                      <w:b/>
                      <w:bCs/>
                      <w:i w:val="0"/>
                      <w:iCs w:val="0"/>
                      <w:color w:val="000000"/>
                      <w:kern w:val="0"/>
                      <w:sz w:val="21"/>
                      <w:szCs w:val="21"/>
                      <w:u w:val="single"/>
                      <w:lang w:val="en-US" w:eastAsia="zh-CN" w:bidi="ar"/>
                    </w:rPr>
                    <w:t>MD-360</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12490BB7">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3BCD3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F4432">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9</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3AED5">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2"/>
                      <w:sz w:val="21"/>
                      <w:szCs w:val="21"/>
                      <w:u w:val="single"/>
                      <w:lang w:val="en-US" w:eastAsia="zh-CN" w:bidi="ar-SA"/>
                    </w:rPr>
                  </w:pPr>
                  <w:r>
                    <w:rPr>
                      <w:rFonts w:hint="default" w:ascii="Times New Roman" w:hAnsi="Times New Roman" w:eastAsia="宋体" w:cs="Times New Roman"/>
                      <w:b/>
                      <w:bCs/>
                      <w:i w:val="0"/>
                      <w:iCs w:val="0"/>
                      <w:color w:val="000000"/>
                      <w:kern w:val="0"/>
                      <w:sz w:val="21"/>
                      <w:szCs w:val="21"/>
                      <w:u w:val="single"/>
                      <w:lang w:val="en-US" w:eastAsia="zh-CN" w:bidi="ar"/>
                    </w:rPr>
                    <w:t>蒸煮间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DFED7">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2"/>
                      <w:sz w:val="21"/>
                      <w:szCs w:val="21"/>
                      <w:u w:val="single"/>
                      <w:lang w:val="en-US" w:eastAsia="zh-CN" w:bidi="ar-SA"/>
                    </w:rPr>
                  </w:pPr>
                  <w:r>
                    <w:rPr>
                      <w:rFonts w:hint="default" w:ascii="Times New Roman" w:hAnsi="Times New Roman" w:eastAsia="宋体" w:cs="Times New Roman"/>
                      <w:b/>
                      <w:bCs/>
                      <w:i w:val="0"/>
                      <w:iCs w:val="0"/>
                      <w:color w:val="000000"/>
                      <w:kern w:val="0"/>
                      <w:sz w:val="21"/>
                      <w:szCs w:val="21"/>
                      <w:u w:val="single"/>
                      <w:lang w:val="en-US" w:eastAsia="zh-CN" w:bidi="ar"/>
                    </w:rPr>
                    <w:t>蒸汽发生器</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8AAB8">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2"/>
                      <w:sz w:val="21"/>
                      <w:szCs w:val="21"/>
                      <w:u w:val="single"/>
                      <w:lang w:val="en-US" w:eastAsia="zh-CN" w:bidi="ar-SA"/>
                    </w:rPr>
                  </w:pPr>
                  <w:r>
                    <w:rPr>
                      <w:rFonts w:hint="default" w:ascii="Times New Roman" w:hAnsi="Times New Roman" w:eastAsia="宋体" w:cs="Times New Roman"/>
                      <w:b/>
                      <w:bCs/>
                      <w:i w:val="0"/>
                      <w:iCs w:val="0"/>
                      <w:color w:val="000000"/>
                      <w:kern w:val="0"/>
                      <w:sz w:val="21"/>
                      <w:szCs w:val="21"/>
                      <w:u w:val="single"/>
                      <w:lang w:val="en-US" w:eastAsia="zh-CN" w:bidi="ar"/>
                    </w:rPr>
                    <w:t>DLD24（36）-0.4</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74D34A57">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7AADE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6EAC0">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10</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B1E1E">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2"/>
                      <w:sz w:val="21"/>
                      <w:szCs w:val="21"/>
                      <w:u w:val="single"/>
                      <w:lang w:val="en-US" w:eastAsia="zh-CN" w:bidi="ar-SA"/>
                    </w:rPr>
                  </w:pPr>
                  <w:r>
                    <w:rPr>
                      <w:rFonts w:hint="default" w:ascii="Times New Roman" w:hAnsi="Times New Roman" w:eastAsia="宋体" w:cs="Times New Roman"/>
                      <w:b/>
                      <w:bCs/>
                      <w:i w:val="0"/>
                      <w:iCs w:val="0"/>
                      <w:color w:val="000000"/>
                      <w:kern w:val="0"/>
                      <w:sz w:val="21"/>
                      <w:szCs w:val="21"/>
                      <w:u w:val="single"/>
                      <w:lang w:val="en-US" w:eastAsia="zh-CN" w:bidi="ar"/>
                    </w:rPr>
                    <w:t>润药间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63D5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2"/>
                      <w:sz w:val="21"/>
                      <w:szCs w:val="21"/>
                      <w:u w:val="single"/>
                      <w:lang w:val="en-US" w:eastAsia="zh-CN" w:bidi="ar-SA"/>
                    </w:rPr>
                  </w:pPr>
                  <w:r>
                    <w:rPr>
                      <w:rFonts w:hint="default" w:ascii="Times New Roman" w:hAnsi="Times New Roman" w:eastAsia="宋体" w:cs="Times New Roman"/>
                      <w:b/>
                      <w:bCs/>
                      <w:i w:val="0"/>
                      <w:iCs w:val="0"/>
                      <w:color w:val="000000"/>
                      <w:kern w:val="0"/>
                      <w:sz w:val="21"/>
                      <w:szCs w:val="21"/>
                      <w:u w:val="single"/>
                      <w:lang w:val="en-US" w:eastAsia="zh-CN" w:bidi="ar"/>
                    </w:rPr>
                    <w:t>蒸汽发生器</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E9839">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2"/>
                      <w:sz w:val="21"/>
                      <w:szCs w:val="21"/>
                      <w:u w:val="single"/>
                      <w:lang w:val="en-US" w:eastAsia="zh-CN" w:bidi="ar-SA"/>
                    </w:rPr>
                  </w:pPr>
                  <w:r>
                    <w:rPr>
                      <w:rFonts w:hint="default" w:ascii="Times New Roman" w:hAnsi="Times New Roman" w:eastAsia="宋体" w:cs="Times New Roman"/>
                      <w:b/>
                      <w:bCs/>
                      <w:i w:val="0"/>
                      <w:iCs w:val="0"/>
                      <w:color w:val="000000"/>
                      <w:kern w:val="0"/>
                      <w:sz w:val="21"/>
                      <w:szCs w:val="21"/>
                      <w:u w:val="single"/>
                      <w:lang w:val="en-US" w:eastAsia="zh-CN" w:bidi="ar"/>
                    </w:rPr>
                    <w:t>DLD24（36）-0.4</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4654871D">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460A8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B2966">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11</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E8417">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蒸煮间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196B1">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可倾式蒸煮锅</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40AFC">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ZYG-1000配接料盘</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10CC639B">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3010D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CAE4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12</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BBCCC">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蒸煮间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E63DF">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炼蜜锅</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E71B8">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JDG-300</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48F573D5">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6D46B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F740C">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13</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DAF89">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干燥间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EE21F">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热风循环烘箱</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1E542">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8车</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6DDBCB46">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459DA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1D4AE">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14</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F8296">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炒煅间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0E21D">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煅药机</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8CA96">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DY-600型</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44F36901">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6ED90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5198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15</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083DC">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炒煅间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DE9D8">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电磁炒药机</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C8774">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CYZ-750</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202A952C">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02408C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7C48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16</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3C758">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炒煅间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C6CB2">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筛选机</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1E5D9">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SXRL-4B</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4CA88CC9">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320F3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47B78">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17</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825FD">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炒煅间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6F6DE">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双塔水浴除尘器</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D8325">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CF-380</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7F2D38BE">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64E2DB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1783A">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18</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5E17B">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粉碎间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55097">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粗碎机</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883FC">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CJS-200</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5F2290FB">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0DCD4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BFCA7">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19</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70AF7">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粉碎间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2CAFB">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涡轮粉碎机</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5A3E6">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WF-30B</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575EE9B5">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0D8ED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AFEB6">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20</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E4484">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粉碎间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76C6D">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榨汁机</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72CFB">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ZZJ-125</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3D51E2D9">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0D153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9857C">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21</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8CD77">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混合间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262B9">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槽形混合机</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A61C6">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CH-200</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2BE75CBD">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60D05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388EC">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22</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E32B4">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发酵间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9E6DD">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数控发酵箱</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06A4E">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FYX-1000</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15D11730">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5D364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000" w:type="pct"/>
                  <w:gridSpan w:val="5"/>
                  <w:tcBorders>
                    <w:top w:val="single" w:color="000000" w:sz="4" w:space="0"/>
                    <w:left w:val="single" w:color="000000" w:sz="4" w:space="0"/>
                    <w:bottom w:val="single" w:color="000000" w:sz="4" w:space="0"/>
                    <w:right w:val="nil"/>
                  </w:tcBorders>
                  <w:shd w:val="clear" w:color="auto" w:fill="auto"/>
                  <w:vAlign w:val="center"/>
                </w:tcPr>
                <w:p w14:paraId="52131F80">
                  <w:pPr>
                    <w:keepNext w:val="0"/>
                    <w:keepLines w:val="0"/>
                    <w:pageBreakBefore w:val="0"/>
                    <w:widowControl/>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default" w:ascii="Times New Roman" w:hAnsi="Times New Roman" w:eastAsia="宋体" w:cs="Times New Roman"/>
                      <w:b/>
                      <w:bCs/>
                      <w:i w:val="0"/>
                      <w:iCs w:val="0"/>
                      <w:color w:val="000000"/>
                      <w:kern w:val="0"/>
                      <w:sz w:val="21"/>
                      <w:szCs w:val="21"/>
                      <w:u w:val="single"/>
                      <w:lang w:val="en-US" w:eastAsia="zh-CN" w:bidi="ar"/>
                    </w:rPr>
                    <w:t>二、发酵、提取生产车间</w:t>
                  </w:r>
                </w:p>
              </w:tc>
            </w:tr>
            <w:tr w14:paraId="20085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EFD5F">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1</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78ADF">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发酵车间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D2B85">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一级种子罐</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5680F">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50L</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690504C1">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8</w:t>
                  </w:r>
                </w:p>
              </w:tc>
            </w:tr>
            <w:tr w14:paraId="44792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7FE1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2</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62514">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发酵车间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47E98">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二级种子罐</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47402">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500L</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5CD17EA4">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2</w:t>
                  </w:r>
                </w:p>
              </w:tc>
            </w:tr>
            <w:tr w14:paraId="7C07E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A344C">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3</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382C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发酵车间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B325F">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发酵罐</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5AD24">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5KL</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71F2E88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4</w:t>
                  </w:r>
                </w:p>
              </w:tc>
            </w:tr>
            <w:tr w14:paraId="53AAC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1F18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4</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03AED">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发酵车间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74826">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一级种子罐</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9419F">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30L</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2A26C7BC">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6</w:t>
                  </w:r>
                </w:p>
              </w:tc>
            </w:tr>
            <w:tr w14:paraId="319A7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4F145">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5</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F2506">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发酵车间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A2AA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二级种子罐</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D87D0">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300L</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52B685F9">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1EEFD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16226">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6</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7BE58">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发酵车间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CAC00">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发酵罐</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61A8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3KL</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38DF8E8B">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2</w:t>
                  </w:r>
                </w:p>
              </w:tc>
            </w:tr>
            <w:tr w14:paraId="4B497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A129F">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7</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8B876">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发酵车间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728F1">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补料罐、碱罐</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1C624">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200L</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28A174EC">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2022A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6C401">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8</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965A5">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发酵车间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EFD19">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储液罐</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29249">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5KL</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1645C065">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2</w:t>
                  </w:r>
                </w:p>
              </w:tc>
            </w:tr>
            <w:tr w14:paraId="60532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ACB47">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9</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2999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发酵车间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DBD95">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配料罐</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1BDEC">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2000L</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1AD902EB">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52A9A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A19A5">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10</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D5ADD">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发酵车间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D9CF0">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恒温水罐</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94230">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5KL</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457CDE1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44DC5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337B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11</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02806">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发酵车间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F1531">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100L实验室固体发酵罐</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60467">
                  <w:pPr>
                    <w:keepNext w:val="0"/>
                    <w:keepLines w:val="0"/>
                    <w:pageBreakBefore w:val="0"/>
                    <w:widowControl/>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sz w:val="21"/>
                      <w:szCs w:val="21"/>
                      <w:u w:val="single"/>
                    </w:rPr>
                  </w:pPr>
                </w:p>
              </w:tc>
              <w:tc>
                <w:tcPr>
                  <w:tcW w:w="566" w:type="pct"/>
                  <w:tcBorders>
                    <w:top w:val="single" w:color="000000" w:sz="4" w:space="0"/>
                    <w:left w:val="single" w:color="000000" w:sz="4" w:space="0"/>
                    <w:bottom w:val="single" w:color="000000" w:sz="4" w:space="0"/>
                    <w:right w:val="nil"/>
                  </w:tcBorders>
                  <w:shd w:val="clear" w:color="auto" w:fill="auto"/>
                  <w:vAlign w:val="center"/>
                </w:tcPr>
                <w:p w14:paraId="7B39FC60">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61FC1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1BEE1">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12</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D8255">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发酵车间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051F9">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过滤系统</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EA7F1">
                  <w:pPr>
                    <w:keepNext w:val="0"/>
                    <w:keepLines w:val="0"/>
                    <w:pageBreakBefore w:val="0"/>
                    <w:widowControl/>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sz w:val="21"/>
                      <w:szCs w:val="21"/>
                      <w:u w:val="single"/>
                    </w:rPr>
                  </w:pPr>
                </w:p>
              </w:tc>
              <w:tc>
                <w:tcPr>
                  <w:tcW w:w="566" w:type="pct"/>
                  <w:tcBorders>
                    <w:top w:val="single" w:color="000000" w:sz="4" w:space="0"/>
                    <w:left w:val="single" w:color="000000" w:sz="4" w:space="0"/>
                    <w:bottom w:val="single" w:color="000000" w:sz="4" w:space="0"/>
                    <w:right w:val="nil"/>
                  </w:tcBorders>
                  <w:shd w:val="clear" w:color="auto" w:fill="auto"/>
                  <w:vAlign w:val="center"/>
                </w:tcPr>
                <w:p w14:paraId="528D3D91">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4291A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D4D7B">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13</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EAA82">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提取车间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79E97">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多功能提取罐</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287E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3000L</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0713C2B9">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39A5B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44A86">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14</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73460">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提取车间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685C0">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双联过滤器</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D9FAC">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Φ273</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7F71A31D">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61C1E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A3CCF">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15</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A120B">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提取车间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E9F06">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卫生级输送泵</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FD4A0">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5L/h</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09BB529E">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037EE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16A2B">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16</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8E942">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提取车间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EF774">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提取液贮罐</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76578">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3000L</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71DF50F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6A548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57C45">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17</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01508">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提取车间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C711A">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管式离心机</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F61A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G150</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26E19BAA">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2</w:t>
                  </w:r>
                </w:p>
              </w:tc>
            </w:tr>
            <w:tr w14:paraId="0D1BE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98B3D">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18</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73F0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提取车间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AD38D">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离心液储罐</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BADDC">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100L</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45C1F449">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6BB66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C5A28">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19</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30DCD">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提取车间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1720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双效节能浓缩器</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A891B">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1000L/h</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3819FD67">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1AC43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01772">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20</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4AD94">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提取车间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3BDE8">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保温储罐</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E9CB0">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500L</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3CA047BE">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3C042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B50D0">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21</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F3655">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提取车间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F4A20">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电蒸汽发生器</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8A4D2">
                  <w:pPr>
                    <w:keepNext w:val="0"/>
                    <w:keepLines w:val="0"/>
                    <w:pageBreakBefore w:val="0"/>
                    <w:widowControl/>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sz w:val="21"/>
                      <w:szCs w:val="21"/>
                      <w:u w:val="single"/>
                    </w:rPr>
                  </w:pPr>
                </w:p>
              </w:tc>
              <w:tc>
                <w:tcPr>
                  <w:tcW w:w="566" w:type="pct"/>
                  <w:tcBorders>
                    <w:top w:val="single" w:color="000000" w:sz="4" w:space="0"/>
                    <w:left w:val="single" w:color="000000" w:sz="4" w:space="0"/>
                    <w:bottom w:val="single" w:color="000000" w:sz="4" w:space="0"/>
                    <w:right w:val="nil"/>
                  </w:tcBorders>
                  <w:shd w:val="clear" w:color="auto" w:fill="auto"/>
                  <w:vAlign w:val="center"/>
                </w:tcPr>
                <w:p w14:paraId="2F60B8C4">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7234D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C0342">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22</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49DF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提取车间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FAA99">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水环式真空泵</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AFD62">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2BV</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64738E0E">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5E5BF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96587">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23</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08C3A">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提取车间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6E50D">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真空缓冲罐</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0B3FF">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D800</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0581010F">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5D3A1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54982">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24</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0EEA6">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提取车间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19A58">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提取罐平台</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B4696">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Style w:val="41"/>
                      <w:rFonts w:hint="default" w:ascii="Times New Roman" w:hAnsi="Times New Roman" w:eastAsia="宋体" w:cs="Times New Roman"/>
                      <w:b/>
                      <w:bCs/>
                      <w:sz w:val="21"/>
                      <w:szCs w:val="21"/>
                      <w:u w:val="single"/>
                      <w:lang w:val="en-US" w:eastAsia="zh-CN" w:bidi="ar"/>
                    </w:rPr>
                    <w:t>12m</w:t>
                  </w:r>
                  <w:r>
                    <w:rPr>
                      <w:rStyle w:val="42"/>
                      <w:rFonts w:hint="default" w:ascii="Times New Roman" w:hAnsi="Times New Roman" w:eastAsia="宋体" w:cs="Times New Roman"/>
                      <w:b/>
                      <w:bCs/>
                      <w:sz w:val="21"/>
                      <w:szCs w:val="21"/>
                      <w:u w:val="single"/>
                      <w:lang w:val="en-US" w:eastAsia="zh-CN" w:bidi="ar"/>
                    </w:rPr>
                    <w:t>2</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559D1475">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2E410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FEFC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25</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AABF5">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毒性发酵车间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32E5E">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一级种子罐</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D968C">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30L</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12F12566">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4</w:t>
                  </w:r>
                </w:p>
              </w:tc>
            </w:tr>
            <w:tr w14:paraId="2181D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81676">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26</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6E2DC">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毒性发酵车间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F0538">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二级种子罐</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F10AF">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300L</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32EE3704">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081A9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8FFB6">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27</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87CBA">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毒性发酵车间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1BEDE">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发酵罐</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1041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3KL</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315F0E61">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2</w:t>
                  </w:r>
                </w:p>
              </w:tc>
            </w:tr>
            <w:tr w14:paraId="12469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0BEA6">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28</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903CD">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毒性发酵车间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1BCBB">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热水罐</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66AC4">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1000L</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49A0E297">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2C4A3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68582">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29</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A08A9">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毒性发酵车间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6D21A">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循环水泵</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B6C0C">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3T/h</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0A03C2CB">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4511B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4F845">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30</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A28FA">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毒性发酵车间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32B68">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发酵罐平台</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C7098">
                  <w:pPr>
                    <w:keepNext w:val="0"/>
                    <w:keepLines w:val="0"/>
                    <w:pageBreakBefore w:val="0"/>
                    <w:widowControl/>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sz w:val="21"/>
                      <w:szCs w:val="21"/>
                      <w:u w:val="single"/>
                    </w:rPr>
                  </w:pPr>
                </w:p>
              </w:tc>
              <w:tc>
                <w:tcPr>
                  <w:tcW w:w="566" w:type="pct"/>
                  <w:tcBorders>
                    <w:top w:val="single" w:color="000000" w:sz="4" w:space="0"/>
                    <w:left w:val="single" w:color="000000" w:sz="4" w:space="0"/>
                    <w:bottom w:val="single" w:color="000000" w:sz="4" w:space="0"/>
                    <w:right w:val="nil"/>
                  </w:tcBorders>
                  <w:shd w:val="clear" w:color="auto" w:fill="auto"/>
                  <w:vAlign w:val="center"/>
                </w:tcPr>
                <w:p w14:paraId="5B0BF93D">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63D4A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11E15">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31</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70CD7">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毒性发酵车间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2AB74">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过滤系统</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AE936">
                  <w:pPr>
                    <w:keepNext w:val="0"/>
                    <w:keepLines w:val="0"/>
                    <w:pageBreakBefore w:val="0"/>
                    <w:widowControl/>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sz w:val="21"/>
                      <w:szCs w:val="21"/>
                      <w:u w:val="single"/>
                    </w:rPr>
                  </w:pPr>
                </w:p>
              </w:tc>
              <w:tc>
                <w:tcPr>
                  <w:tcW w:w="566" w:type="pct"/>
                  <w:tcBorders>
                    <w:top w:val="single" w:color="000000" w:sz="4" w:space="0"/>
                    <w:left w:val="single" w:color="000000" w:sz="4" w:space="0"/>
                    <w:bottom w:val="single" w:color="000000" w:sz="4" w:space="0"/>
                    <w:right w:val="nil"/>
                  </w:tcBorders>
                  <w:shd w:val="clear" w:color="auto" w:fill="auto"/>
                  <w:vAlign w:val="center"/>
                </w:tcPr>
                <w:p w14:paraId="1EEF99B8">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4A54F8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F5227">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32</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6B4E8">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毒性提取</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AA1AF">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多功能提取罐</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6BAC9">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1000L</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55C7847B">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73DA9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67631">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33</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53834">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毒性提取</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9B4C7">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卫生级输送泵</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1FD4E">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3T/h</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63F6650E">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2</w:t>
                  </w:r>
                </w:p>
              </w:tc>
            </w:tr>
            <w:tr w14:paraId="5B79A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3BACC">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34</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AFFA5">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毒性提取</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0BCDE">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提取液贮罐</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44B8B">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1000L</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7BC48687">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02BFF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085EA">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35</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A0D4E">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毒性提取</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92036">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平板离心机</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64739">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800型</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2157D22B">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3E818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BDC5D">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36</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0B502">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毒性提取</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AB1AE">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离心液储罐</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69D82">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3000L</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29851FF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17A67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ECDB4">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37</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92B3F">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毒性提取</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11255">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单效浓缩器</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9BFD7">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500L/H</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21A04875">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0B658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B0604">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38</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17DB4">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毒性提取</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47A99">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提取罐平台</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C515E">
                  <w:pPr>
                    <w:keepNext w:val="0"/>
                    <w:keepLines w:val="0"/>
                    <w:pageBreakBefore w:val="0"/>
                    <w:widowControl/>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sz w:val="21"/>
                      <w:szCs w:val="21"/>
                      <w:u w:val="single"/>
                    </w:rPr>
                  </w:pPr>
                </w:p>
              </w:tc>
              <w:tc>
                <w:tcPr>
                  <w:tcW w:w="566" w:type="pct"/>
                  <w:tcBorders>
                    <w:top w:val="single" w:color="000000" w:sz="4" w:space="0"/>
                    <w:left w:val="single" w:color="000000" w:sz="4" w:space="0"/>
                    <w:bottom w:val="single" w:color="000000" w:sz="4" w:space="0"/>
                    <w:right w:val="nil"/>
                  </w:tcBorders>
                  <w:shd w:val="clear" w:color="auto" w:fill="auto"/>
                  <w:vAlign w:val="center"/>
                </w:tcPr>
                <w:p w14:paraId="3D5CC929">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2664F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A085E">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39</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0CEB5">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毒性提取</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EA21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真空缓冲罐</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6A9CB">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300L</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168B2749">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3C6BFB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2616A">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40</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73960">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毒性提取</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76024">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水环式真空泵</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66C64">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 xml:space="preserve">3.0 </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510617C4">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241B9D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7ACEE">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41</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3129C">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喷雾干燥</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15E2A">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喷雾干燥机</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CA6BA">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50kg/h</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7F2894F6">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4E600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7163C">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42</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05081">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毒性提取</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2DA8D">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三维混合机</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0ED15">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200L</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0F54A3AE">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190B6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58E6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43</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6213B">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毒性提取</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A26E0">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制粒机（首选干法制粒）</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DD50F">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100型</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0EBBAFDC">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36D09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7055B">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44</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BE9DC">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喷雾干燥</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91881">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喷雾干燥机</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1FC7B">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100kg/h</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75BE8798">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65BED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000" w:type="pct"/>
                  <w:gridSpan w:val="5"/>
                  <w:tcBorders>
                    <w:top w:val="single" w:color="000000" w:sz="4" w:space="0"/>
                    <w:left w:val="single" w:color="000000" w:sz="4" w:space="0"/>
                    <w:bottom w:val="single" w:color="000000" w:sz="4" w:space="0"/>
                    <w:right w:val="nil"/>
                  </w:tcBorders>
                  <w:shd w:val="clear" w:color="auto" w:fill="auto"/>
                  <w:vAlign w:val="center"/>
                </w:tcPr>
                <w:p w14:paraId="1D81E2A3">
                  <w:pPr>
                    <w:keepNext w:val="0"/>
                    <w:keepLines w:val="0"/>
                    <w:pageBreakBefore w:val="0"/>
                    <w:widowControl/>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default" w:ascii="Times New Roman" w:hAnsi="Times New Roman" w:eastAsia="宋体" w:cs="Times New Roman"/>
                      <w:b/>
                      <w:bCs/>
                      <w:i w:val="0"/>
                      <w:iCs w:val="0"/>
                      <w:color w:val="000000"/>
                      <w:kern w:val="0"/>
                      <w:sz w:val="21"/>
                      <w:szCs w:val="21"/>
                      <w:u w:val="single"/>
                      <w:lang w:val="en-US" w:eastAsia="zh-CN" w:bidi="ar"/>
                    </w:rPr>
                    <w:t>三、丸剂生产车间</w:t>
                  </w:r>
                </w:p>
              </w:tc>
            </w:tr>
            <w:tr w14:paraId="59242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966C7">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1</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0A1B0">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洁净车间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F41C1">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槽形混合机</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BFB69">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CH-200</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1603EF5B">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35547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8691E">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2</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E9A67">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洁净车间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B49BE">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水蜜丸制丸机</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A5275">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ZTM   2.8万/h</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3537EA06">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58DA0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7996E">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3</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610AA">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洁净车间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A4132">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水丸制丸机</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A4FC0">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ZMY200</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7F2D8DA1">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09585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362B2">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4</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21840">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洁净车间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0AB5E">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筛丸机</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C607A">
                  <w:pPr>
                    <w:keepNext w:val="0"/>
                    <w:keepLines w:val="0"/>
                    <w:pageBreakBefore w:val="0"/>
                    <w:widowControl/>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sz w:val="21"/>
                      <w:szCs w:val="21"/>
                      <w:u w:val="single"/>
                    </w:rPr>
                  </w:pPr>
                </w:p>
              </w:tc>
              <w:tc>
                <w:tcPr>
                  <w:tcW w:w="566" w:type="pct"/>
                  <w:tcBorders>
                    <w:top w:val="single" w:color="000000" w:sz="4" w:space="0"/>
                    <w:left w:val="single" w:color="000000" w:sz="4" w:space="0"/>
                    <w:bottom w:val="single" w:color="000000" w:sz="4" w:space="0"/>
                    <w:right w:val="nil"/>
                  </w:tcBorders>
                  <w:shd w:val="clear" w:color="auto" w:fill="auto"/>
                  <w:vAlign w:val="center"/>
                </w:tcPr>
                <w:p w14:paraId="2B19C890">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6DBB2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87CF7">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5</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D839B">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洁净车间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1CB97">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中药丸剂干燥机</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FF3CF">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GW90II型</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70EDE408">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40CC8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03DA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6</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E3F7B">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洁净车间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64B91">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糖衣抛光机</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F92BE">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1000型</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5E20D1CD">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7D742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46DD4">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7</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EAB2A">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洁净车间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E20CD">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炼蜜锅</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F30CF">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200L</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44B324D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6C663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000" w:type="pct"/>
                  <w:gridSpan w:val="5"/>
                  <w:tcBorders>
                    <w:top w:val="single" w:color="000000" w:sz="4" w:space="0"/>
                    <w:left w:val="single" w:color="000000" w:sz="4" w:space="0"/>
                    <w:bottom w:val="single" w:color="000000" w:sz="4" w:space="0"/>
                    <w:right w:val="nil"/>
                  </w:tcBorders>
                  <w:shd w:val="clear" w:color="auto" w:fill="auto"/>
                  <w:vAlign w:val="center"/>
                </w:tcPr>
                <w:p w14:paraId="32D8FD46">
                  <w:pPr>
                    <w:keepNext w:val="0"/>
                    <w:keepLines w:val="0"/>
                    <w:pageBreakBefore w:val="0"/>
                    <w:widowControl/>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default" w:ascii="Times New Roman" w:hAnsi="Times New Roman" w:eastAsia="宋体" w:cs="Times New Roman"/>
                      <w:b/>
                      <w:bCs/>
                      <w:i w:val="0"/>
                      <w:iCs w:val="0"/>
                      <w:color w:val="000000"/>
                      <w:kern w:val="0"/>
                      <w:sz w:val="21"/>
                      <w:szCs w:val="21"/>
                      <w:u w:val="single"/>
                      <w:lang w:val="en-US" w:eastAsia="zh-CN" w:bidi="ar"/>
                    </w:rPr>
                    <w:t>四、口服饮片车间</w:t>
                  </w:r>
                </w:p>
              </w:tc>
            </w:tr>
            <w:tr w14:paraId="2416B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5CC46">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1</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B175B">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洁净车间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7C7ED">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西林瓶灌装线</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80532">
                  <w:pPr>
                    <w:keepNext w:val="0"/>
                    <w:keepLines w:val="0"/>
                    <w:pageBreakBefore w:val="0"/>
                    <w:widowControl/>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sz w:val="21"/>
                      <w:szCs w:val="21"/>
                      <w:u w:val="single"/>
                    </w:rPr>
                  </w:pPr>
                </w:p>
              </w:tc>
              <w:tc>
                <w:tcPr>
                  <w:tcW w:w="566" w:type="pct"/>
                  <w:tcBorders>
                    <w:top w:val="single" w:color="000000" w:sz="4" w:space="0"/>
                    <w:left w:val="single" w:color="000000" w:sz="4" w:space="0"/>
                    <w:bottom w:val="single" w:color="000000" w:sz="4" w:space="0"/>
                    <w:right w:val="nil"/>
                  </w:tcBorders>
                  <w:shd w:val="clear" w:color="auto" w:fill="auto"/>
                  <w:vAlign w:val="center"/>
                </w:tcPr>
                <w:p w14:paraId="5FE19856">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49574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88C09">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2</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3E525">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洁净车间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D2EF2">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热风干燥箱</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3B158">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2门4车</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435E8E00">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5D335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21481">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3</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D3F49">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洁净车间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D3628">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低温破壁粉碎机</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0769B">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60L</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2D1D80D1">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559CA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8F6B6">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4</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0C629">
                  <w:pPr>
                    <w:keepNext w:val="0"/>
                    <w:keepLines w:val="0"/>
                    <w:pageBreakBefore w:val="0"/>
                    <w:widowControl/>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洁净车间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BA83E">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三维混合机</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C6117">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400型</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4141FDB0">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21E54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000" w:type="pct"/>
                  <w:gridSpan w:val="5"/>
                  <w:tcBorders>
                    <w:top w:val="single" w:color="000000" w:sz="4" w:space="0"/>
                    <w:left w:val="single" w:color="000000" w:sz="4" w:space="0"/>
                    <w:bottom w:val="single" w:color="000000" w:sz="4" w:space="0"/>
                    <w:right w:val="nil"/>
                  </w:tcBorders>
                  <w:shd w:val="clear" w:color="auto" w:fill="auto"/>
                  <w:vAlign w:val="center"/>
                </w:tcPr>
                <w:p w14:paraId="1960486A">
                  <w:pPr>
                    <w:keepNext w:val="0"/>
                    <w:keepLines w:val="0"/>
                    <w:pageBreakBefore w:val="0"/>
                    <w:widowControl/>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default" w:ascii="Times New Roman" w:hAnsi="Times New Roman" w:eastAsia="宋体" w:cs="Times New Roman"/>
                      <w:b/>
                      <w:bCs/>
                      <w:i w:val="0"/>
                      <w:iCs w:val="0"/>
                      <w:color w:val="000000"/>
                      <w:kern w:val="0"/>
                      <w:sz w:val="21"/>
                      <w:szCs w:val="21"/>
                      <w:u w:val="single"/>
                      <w:lang w:val="en-US" w:eastAsia="zh-CN" w:bidi="ar"/>
                    </w:rPr>
                    <w:t>五、毒性饮片车间</w:t>
                  </w:r>
                </w:p>
              </w:tc>
            </w:tr>
            <w:tr w14:paraId="56BCB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F09E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1</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40ACB">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净选洗润切</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DF621">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拣选台</w:t>
                  </w:r>
                </w:p>
              </w:tc>
              <w:tc>
                <w:tcPr>
                  <w:tcW w:w="1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FF32D">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2000*1000*800</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3377C614">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06535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47B7E">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2</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6B56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净选洗润切</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4F17B">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润药池</w:t>
                  </w:r>
                </w:p>
              </w:tc>
              <w:tc>
                <w:tcPr>
                  <w:tcW w:w="1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774A1">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2000*1000*800带移动轮</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58073EE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59735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944E2">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3</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A6776">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包装间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463E0">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包装台</w:t>
                  </w:r>
                </w:p>
              </w:tc>
              <w:tc>
                <w:tcPr>
                  <w:tcW w:w="1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B8011">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2000*1000*800</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72CA4E88">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6522D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1E3E2">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4</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D186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净选洗润切</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49CED">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旋料式切片机</w:t>
                  </w:r>
                </w:p>
              </w:tc>
              <w:tc>
                <w:tcPr>
                  <w:tcW w:w="1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29996">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QXL-100</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0BFA06C1">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0CEC8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93A8A">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5</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000D8">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净选洗润切</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6C61A">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小型磨刀机</w:t>
                  </w:r>
                </w:p>
              </w:tc>
              <w:tc>
                <w:tcPr>
                  <w:tcW w:w="1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E6F6D">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MD-360</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287A8B2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1B7AD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152CA">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6</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89FE8">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净选洗润切</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95120">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蒸汽发生器</w:t>
                  </w:r>
                </w:p>
              </w:tc>
              <w:tc>
                <w:tcPr>
                  <w:tcW w:w="1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DCAA0">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DLD18（36）-0.4</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3C8F946D">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3ED45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06385">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7</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DA02C">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净选洗润切</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5F9A2">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可倾式蒸煮锅</w:t>
                  </w:r>
                </w:p>
              </w:tc>
              <w:tc>
                <w:tcPr>
                  <w:tcW w:w="1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1B2B2">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ZYG-1000配接料盘</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6532806B">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469CF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BCAB6">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8</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82881">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干燥间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50F4F">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热风循环烘箱</w:t>
                  </w:r>
                </w:p>
              </w:tc>
              <w:tc>
                <w:tcPr>
                  <w:tcW w:w="1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27E2A">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2门4车</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5578459A">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097A6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C618B">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9</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F67CA">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炒药间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BB25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电磁炒药机</w:t>
                  </w:r>
                </w:p>
              </w:tc>
              <w:tc>
                <w:tcPr>
                  <w:tcW w:w="1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73917">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CYZ-750</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586CDA18">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15FD5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D0C6A">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10</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F025A">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净选洗润切</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ACAED">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筛选机</w:t>
                  </w:r>
                </w:p>
              </w:tc>
              <w:tc>
                <w:tcPr>
                  <w:tcW w:w="1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0D06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ZSX-1500（3出口）</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136301EE">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62FE9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E46A9">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11</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04FE8">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炒药间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0412F">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双塔水浴除尘器</w:t>
                  </w:r>
                </w:p>
              </w:tc>
              <w:tc>
                <w:tcPr>
                  <w:tcW w:w="1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83250">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CF-380</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6422FF68">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0E1BC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5AFDE">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12</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8957B">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发酵间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84E6B">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涡轮粉碎机</w:t>
                  </w:r>
                </w:p>
              </w:tc>
              <w:tc>
                <w:tcPr>
                  <w:tcW w:w="1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92A78">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WF-30B</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4D2A29C5">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7EBFB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579B0">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13</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B62FE">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发酵间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2B147">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槽形混合机</w:t>
                  </w:r>
                </w:p>
              </w:tc>
              <w:tc>
                <w:tcPr>
                  <w:tcW w:w="1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9D26E">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CH-200</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343DCD37">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1FF04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1CABE">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14</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62AD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发酵间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83398">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制丁机</w:t>
                  </w:r>
                </w:p>
              </w:tc>
              <w:tc>
                <w:tcPr>
                  <w:tcW w:w="1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946F6">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QDJ-500</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32298B5B">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530B2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6DD22">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15</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9AFB0">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发酵间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ED5A8">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数控发酵箱</w:t>
                  </w:r>
                </w:p>
              </w:tc>
              <w:tc>
                <w:tcPr>
                  <w:tcW w:w="1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D5AAF">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FYX-1000</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44AE67C8">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6D277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000" w:type="pct"/>
                  <w:gridSpan w:val="5"/>
                  <w:tcBorders>
                    <w:top w:val="single" w:color="000000" w:sz="4" w:space="0"/>
                    <w:left w:val="single" w:color="000000" w:sz="4" w:space="0"/>
                    <w:bottom w:val="single" w:color="000000" w:sz="4" w:space="0"/>
                    <w:right w:val="nil"/>
                  </w:tcBorders>
                  <w:shd w:val="clear" w:color="auto" w:fill="auto"/>
                  <w:vAlign w:val="center"/>
                </w:tcPr>
                <w:p w14:paraId="4105E8A8">
                  <w:pPr>
                    <w:keepNext w:val="0"/>
                    <w:keepLines w:val="0"/>
                    <w:pageBreakBefore w:val="0"/>
                    <w:widowControl/>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default" w:ascii="Times New Roman" w:hAnsi="Times New Roman" w:eastAsia="宋体" w:cs="Times New Roman"/>
                      <w:b/>
                      <w:bCs/>
                      <w:i w:val="0"/>
                      <w:iCs w:val="0"/>
                      <w:color w:val="000000"/>
                      <w:kern w:val="0"/>
                      <w:sz w:val="21"/>
                      <w:szCs w:val="21"/>
                      <w:u w:val="single"/>
                      <w:lang w:val="en-US" w:eastAsia="zh-CN" w:bidi="ar"/>
                    </w:rPr>
                    <w:t>六、保健食品固体制剂车间（片剂、胶囊剂、颗粒剂、粉剂）</w:t>
                  </w:r>
                </w:p>
              </w:tc>
            </w:tr>
            <w:tr w14:paraId="0DAA4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47A4C">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1</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E58CB">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食品保健食品</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FD858">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高效粉碎机</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A6D21">
                  <w:pPr>
                    <w:keepNext w:val="0"/>
                    <w:keepLines w:val="0"/>
                    <w:pageBreakBefore w:val="0"/>
                    <w:widowControl/>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sz w:val="21"/>
                      <w:szCs w:val="21"/>
                      <w:u w:val="single"/>
                    </w:rPr>
                  </w:pPr>
                </w:p>
              </w:tc>
              <w:tc>
                <w:tcPr>
                  <w:tcW w:w="566" w:type="pct"/>
                  <w:tcBorders>
                    <w:top w:val="single" w:color="000000" w:sz="4" w:space="0"/>
                    <w:left w:val="single" w:color="000000" w:sz="4" w:space="0"/>
                    <w:bottom w:val="single" w:color="000000" w:sz="4" w:space="0"/>
                    <w:right w:val="nil"/>
                  </w:tcBorders>
                  <w:shd w:val="clear" w:color="auto" w:fill="auto"/>
                  <w:vAlign w:val="center"/>
                </w:tcPr>
                <w:p w14:paraId="317A4801">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75AF4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DBC3A">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2</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022C4">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食品保健食品</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A9829">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旋振筛</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697F4">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1米直径</w:t>
                  </w:r>
                </w:p>
              </w:tc>
              <w:tc>
                <w:tcPr>
                  <w:tcW w:w="566" w:type="pct"/>
                  <w:tcBorders>
                    <w:top w:val="single" w:color="000000" w:sz="4" w:space="0"/>
                    <w:left w:val="single" w:color="000000" w:sz="4" w:space="0"/>
                    <w:bottom w:val="single" w:color="000000" w:sz="4" w:space="0"/>
                    <w:right w:val="nil"/>
                  </w:tcBorders>
                  <w:shd w:val="clear" w:color="auto" w:fill="auto"/>
                  <w:vAlign w:val="center"/>
                </w:tcPr>
                <w:p w14:paraId="7AB5D118">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2BE34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549FC">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3</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B73BE">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食品保健食品</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1B13E">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槽型混合机</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D7945">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200型</w:t>
                  </w:r>
                </w:p>
              </w:tc>
              <w:tc>
                <w:tcPr>
                  <w:tcW w:w="566" w:type="pct"/>
                  <w:tcBorders>
                    <w:top w:val="single" w:color="000000" w:sz="4" w:space="0"/>
                    <w:left w:val="single" w:color="000000" w:sz="4" w:space="0"/>
                    <w:bottom w:val="single" w:color="000000" w:sz="4" w:space="0"/>
                    <w:right w:val="nil"/>
                  </w:tcBorders>
                  <w:shd w:val="clear" w:color="auto" w:fill="auto"/>
                  <w:noWrap/>
                  <w:vAlign w:val="center"/>
                </w:tcPr>
                <w:p w14:paraId="3B0D1847">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53D23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7D5DD">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4</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091DF">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食品保健食品</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69B4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旋转制粒带切刀</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93DA5">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ZXL-300</w:t>
                  </w:r>
                </w:p>
              </w:tc>
              <w:tc>
                <w:tcPr>
                  <w:tcW w:w="566" w:type="pct"/>
                  <w:tcBorders>
                    <w:top w:val="single" w:color="000000" w:sz="4" w:space="0"/>
                    <w:left w:val="single" w:color="000000" w:sz="4" w:space="0"/>
                    <w:bottom w:val="single" w:color="000000" w:sz="4" w:space="0"/>
                    <w:right w:val="nil"/>
                  </w:tcBorders>
                  <w:shd w:val="clear" w:color="auto" w:fill="auto"/>
                  <w:noWrap/>
                  <w:vAlign w:val="center"/>
                </w:tcPr>
                <w:p w14:paraId="57CA34E2">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7ADDD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B3EA7">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5</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8392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食品保健食品</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D260C">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抛丸机</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D15A4">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QZL-1000</w:t>
                  </w:r>
                </w:p>
              </w:tc>
              <w:tc>
                <w:tcPr>
                  <w:tcW w:w="566" w:type="pct"/>
                  <w:tcBorders>
                    <w:top w:val="single" w:color="000000" w:sz="4" w:space="0"/>
                    <w:left w:val="single" w:color="000000" w:sz="4" w:space="0"/>
                    <w:bottom w:val="single" w:color="000000" w:sz="4" w:space="0"/>
                    <w:right w:val="nil"/>
                  </w:tcBorders>
                  <w:shd w:val="clear" w:color="auto" w:fill="auto"/>
                  <w:noWrap/>
                  <w:vAlign w:val="center"/>
                </w:tcPr>
                <w:p w14:paraId="6B43D195">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66F4C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552EB">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6</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71172">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食品保健食品</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925DB">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全自动硬胶囊充填机</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08EB5">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NJP-5602C型</w:t>
                  </w:r>
                </w:p>
              </w:tc>
              <w:tc>
                <w:tcPr>
                  <w:tcW w:w="566" w:type="pct"/>
                  <w:tcBorders>
                    <w:top w:val="single" w:color="000000" w:sz="4" w:space="0"/>
                    <w:left w:val="single" w:color="000000" w:sz="4" w:space="0"/>
                    <w:bottom w:val="single" w:color="000000" w:sz="4" w:space="0"/>
                    <w:right w:val="nil"/>
                  </w:tcBorders>
                  <w:shd w:val="clear" w:color="auto" w:fill="auto"/>
                  <w:noWrap/>
                  <w:vAlign w:val="center"/>
                </w:tcPr>
                <w:p w14:paraId="7B22B95E">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3D141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04C1E">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7</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F4C5C">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食品保健食品</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3F4EE">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旋转式压片机</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540D7">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GZPK-50冲</w:t>
                  </w:r>
                </w:p>
              </w:tc>
              <w:tc>
                <w:tcPr>
                  <w:tcW w:w="566" w:type="pct"/>
                  <w:tcBorders>
                    <w:top w:val="single" w:color="000000" w:sz="4" w:space="0"/>
                    <w:left w:val="single" w:color="000000" w:sz="4" w:space="0"/>
                    <w:bottom w:val="single" w:color="000000" w:sz="4" w:space="0"/>
                    <w:right w:val="nil"/>
                  </w:tcBorders>
                  <w:shd w:val="clear" w:color="auto" w:fill="auto"/>
                  <w:noWrap/>
                  <w:vAlign w:val="center"/>
                </w:tcPr>
                <w:p w14:paraId="50190914">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55EA9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6A32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8</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C6EAF">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食品保健食品</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12541">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高效糖衣薄膜包衣机</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B5C54">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200型</w:t>
                  </w:r>
                </w:p>
              </w:tc>
              <w:tc>
                <w:tcPr>
                  <w:tcW w:w="566" w:type="pct"/>
                  <w:tcBorders>
                    <w:top w:val="single" w:color="000000" w:sz="4" w:space="0"/>
                    <w:left w:val="single" w:color="000000" w:sz="4" w:space="0"/>
                    <w:bottom w:val="single" w:color="000000" w:sz="4" w:space="0"/>
                    <w:right w:val="nil"/>
                  </w:tcBorders>
                  <w:shd w:val="clear" w:color="auto" w:fill="auto"/>
                  <w:noWrap/>
                  <w:vAlign w:val="center"/>
                </w:tcPr>
                <w:p w14:paraId="035974E7">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51D59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D64DE">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9</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0D23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食品保健食品</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B3F1E">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理瓶机</w:t>
                  </w:r>
                </w:p>
              </w:tc>
              <w:tc>
                <w:tcPr>
                  <w:tcW w:w="14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FBE9F0">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联动生产线中鲨</w:t>
                  </w:r>
                </w:p>
              </w:tc>
              <w:tc>
                <w:tcPr>
                  <w:tcW w:w="566" w:type="pct"/>
                  <w:vMerge w:val="restart"/>
                  <w:tcBorders>
                    <w:top w:val="single" w:color="000000" w:sz="4" w:space="0"/>
                    <w:left w:val="single" w:color="000000" w:sz="4" w:space="0"/>
                    <w:bottom w:val="single" w:color="000000" w:sz="4" w:space="0"/>
                    <w:right w:val="nil"/>
                  </w:tcBorders>
                  <w:shd w:val="clear" w:color="auto" w:fill="auto"/>
                  <w:noWrap/>
                  <w:vAlign w:val="center"/>
                </w:tcPr>
                <w:p w14:paraId="5B0EB0BD">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4D38A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EFABD">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10</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53DE1">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食品保健食品</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1F136">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高速塞干燥剂机</w:t>
                  </w:r>
                </w:p>
              </w:tc>
              <w:tc>
                <w:tcPr>
                  <w:tcW w:w="14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20E6EE">
                  <w:pPr>
                    <w:keepNext w:val="0"/>
                    <w:keepLines w:val="0"/>
                    <w:pageBreakBefore w:val="0"/>
                    <w:widowControl/>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sz w:val="21"/>
                      <w:szCs w:val="21"/>
                      <w:u w:val="single"/>
                    </w:rPr>
                  </w:pPr>
                </w:p>
              </w:tc>
              <w:tc>
                <w:tcPr>
                  <w:tcW w:w="566" w:type="pct"/>
                  <w:vMerge w:val="continue"/>
                  <w:tcBorders>
                    <w:top w:val="single" w:color="000000" w:sz="4" w:space="0"/>
                    <w:left w:val="single" w:color="000000" w:sz="4" w:space="0"/>
                    <w:bottom w:val="single" w:color="000000" w:sz="4" w:space="0"/>
                    <w:right w:val="nil"/>
                  </w:tcBorders>
                  <w:shd w:val="clear" w:color="auto" w:fill="auto"/>
                  <w:noWrap/>
                  <w:vAlign w:val="center"/>
                </w:tcPr>
                <w:p w14:paraId="45C3B108">
                  <w:pPr>
                    <w:keepNext w:val="0"/>
                    <w:keepLines w:val="0"/>
                    <w:pageBreakBefore w:val="0"/>
                    <w:widowControl/>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sz w:val="21"/>
                      <w:szCs w:val="21"/>
                      <w:u w:val="single"/>
                    </w:rPr>
                  </w:pPr>
                </w:p>
              </w:tc>
            </w:tr>
            <w:tr w14:paraId="5FB6D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06766">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11</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7EA66">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食品保健食品</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711CB">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电子数粒机</w:t>
                  </w:r>
                </w:p>
              </w:tc>
              <w:tc>
                <w:tcPr>
                  <w:tcW w:w="14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45C446">
                  <w:pPr>
                    <w:keepNext w:val="0"/>
                    <w:keepLines w:val="0"/>
                    <w:pageBreakBefore w:val="0"/>
                    <w:widowControl/>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sz w:val="21"/>
                      <w:szCs w:val="21"/>
                      <w:u w:val="single"/>
                    </w:rPr>
                  </w:pPr>
                </w:p>
              </w:tc>
              <w:tc>
                <w:tcPr>
                  <w:tcW w:w="566" w:type="pct"/>
                  <w:vMerge w:val="continue"/>
                  <w:tcBorders>
                    <w:top w:val="single" w:color="000000" w:sz="4" w:space="0"/>
                    <w:left w:val="single" w:color="000000" w:sz="4" w:space="0"/>
                    <w:bottom w:val="single" w:color="000000" w:sz="4" w:space="0"/>
                    <w:right w:val="nil"/>
                  </w:tcBorders>
                  <w:shd w:val="clear" w:color="auto" w:fill="auto"/>
                  <w:noWrap/>
                  <w:vAlign w:val="center"/>
                </w:tcPr>
                <w:p w14:paraId="6A0636AA">
                  <w:pPr>
                    <w:keepNext w:val="0"/>
                    <w:keepLines w:val="0"/>
                    <w:pageBreakBefore w:val="0"/>
                    <w:widowControl/>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sz w:val="21"/>
                      <w:szCs w:val="21"/>
                      <w:u w:val="single"/>
                    </w:rPr>
                  </w:pPr>
                </w:p>
              </w:tc>
            </w:tr>
            <w:tr w14:paraId="6F26D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E5C5A">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12</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C3D11">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食品保健食品</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9FAFF">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高速旋盖机</w:t>
                  </w:r>
                </w:p>
              </w:tc>
              <w:tc>
                <w:tcPr>
                  <w:tcW w:w="14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8558D0">
                  <w:pPr>
                    <w:keepNext w:val="0"/>
                    <w:keepLines w:val="0"/>
                    <w:pageBreakBefore w:val="0"/>
                    <w:widowControl/>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sz w:val="21"/>
                      <w:szCs w:val="21"/>
                      <w:u w:val="single"/>
                    </w:rPr>
                  </w:pPr>
                </w:p>
              </w:tc>
              <w:tc>
                <w:tcPr>
                  <w:tcW w:w="566" w:type="pct"/>
                  <w:vMerge w:val="continue"/>
                  <w:tcBorders>
                    <w:top w:val="single" w:color="000000" w:sz="4" w:space="0"/>
                    <w:left w:val="single" w:color="000000" w:sz="4" w:space="0"/>
                    <w:bottom w:val="single" w:color="000000" w:sz="4" w:space="0"/>
                    <w:right w:val="nil"/>
                  </w:tcBorders>
                  <w:shd w:val="clear" w:color="auto" w:fill="auto"/>
                  <w:noWrap/>
                  <w:vAlign w:val="center"/>
                </w:tcPr>
                <w:p w14:paraId="47F0AEA4">
                  <w:pPr>
                    <w:keepNext w:val="0"/>
                    <w:keepLines w:val="0"/>
                    <w:pageBreakBefore w:val="0"/>
                    <w:widowControl/>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sz w:val="21"/>
                      <w:szCs w:val="21"/>
                      <w:u w:val="single"/>
                    </w:rPr>
                  </w:pPr>
                </w:p>
              </w:tc>
            </w:tr>
            <w:tr w14:paraId="7131A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80E85">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13</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D1D56">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食品保健食品</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8E210">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电磁感应封口机</w:t>
                  </w:r>
                </w:p>
              </w:tc>
              <w:tc>
                <w:tcPr>
                  <w:tcW w:w="14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02A6C8">
                  <w:pPr>
                    <w:keepNext w:val="0"/>
                    <w:keepLines w:val="0"/>
                    <w:pageBreakBefore w:val="0"/>
                    <w:widowControl/>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sz w:val="21"/>
                      <w:szCs w:val="21"/>
                      <w:u w:val="single"/>
                    </w:rPr>
                  </w:pPr>
                </w:p>
              </w:tc>
              <w:tc>
                <w:tcPr>
                  <w:tcW w:w="566" w:type="pct"/>
                  <w:vMerge w:val="continue"/>
                  <w:tcBorders>
                    <w:top w:val="single" w:color="000000" w:sz="4" w:space="0"/>
                    <w:left w:val="single" w:color="000000" w:sz="4" w:space="0"/>
                    <w:bottom w:val="single" w:color="000000" w:sz="4" w:space="0"/>
                    <w:right w:val="nil"/>
                  </w:tcBorders>
                  <w:shd w:val="clear" w:color="auto" w:fill="auto"/>
                  <w:noWrap/>
                  <w:vAlign w:val="center"/>
                </w:tcPr>
                <w:p w14:paraId="007C67D5">
                  <w:pPr>
                    <w:keepNext w:val="0"/>
                    <w:keepLines w:val="0"/>
                    <w:pageBreakBefore w:val="0"/>
                    <w:widowControl/>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sz w:val="21"/>
                      <w:szCs w:val="21"/>
                      <w:u w:val="single"/>
                    </w:rPr>
                  </w:pPr>
                </w:p>
              </w:tc>
            </w:tr>
            <w:tr w14:paraId="3661A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46055">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14</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E4CC1">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食品保健食品</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BF38F">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打码机</w:t>
                  </w:r>
                </w:p>
              </w:tc>
              <w:tc>
                <w:tcPr>
                  <w:tcW w:w="14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AE84F1">
                  <w:pPr>
                    <w:keepNext w:val="0"/>
                    <w:keepLines w:val="0"/>
                    <w:pageBreakBefore w:val="0"/>
                    <w:widowControl/>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sz w:val="21"/>
                      <w:szCs w:val="21"/>
                      <w:u w:val="single"/>
                    </w:rPr>
                  </w:pPr>
                </w:p>
              </w:tc>
              <w:tc>
                <w:tcPr>
                  <w:tcW w:w="566" w:type="pct"/>
                  <w:vMerge w:val="continue"/>
                  <w:tcBorders>
                    <w:top w:val="single" w:color="000000" w:sz="4" w:space="0"/>
                    <w:left w:val="single" w:color="000000" w:sz="4" w:space="0"/>
                    <w:bottom w:val="single" w:color="000000" w:sz="4" w:space="0"/>
                    <w:right w:val="nil"/>
                  </w:tcBorders>
                  <w:shd w:val="clear" w:color="auto" w:fill="auto"/>
                  <w:noWrap/>
                  <w:vAlign w:val="center"/>
                </w:tcPr>
                <w:p w14:paraId="006DB3FB">
                  <w:pPr>
                    <w:keepNext w:val="0"/>
                    <w:keepLines w:val="0"/>
                    <w:pageBreakBefore w:val="0"/>
                    <w:widowControl/>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sz w:val="21"/>
                      <w:szCs w:val="21"/>
                      <w:u w:val="single"/>
                    </w:rPr>
                  </w:pPr>
                </w:p>
              </w:tc>
            </w:tr>
            <w:tr w14:paraId="145C2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CC84F">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15</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8FB40">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食品保健食品</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248A9">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不干胶贴标机</w:t>
                  </w:r>
                </w:p>
              </w:tc>
              <w:tc>
                <w:tcPr>
                  <w:tcW w:w="14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7C6DF0">
                  <w:pPr>
                    <w:keepNext w:val="0"/>
                    <w:keepLines w:val="0"/>
                    <w:pageBreakBefore w:val="0"/>
                    <w:widowControl/>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sz w:val="21"/>
                      <w:szCs w:val="21"/>
                      <w:u w:val="single"/>
                    </w:rPr>
                  </w:pPr>
                </w:p>
              </w:tc>
              <w:tc>
                <w:tcPr>
                  <w:tcW w:w="566" w:type="pct"/>
                  <w:vMerge w:val="continue"/>
                  <w:tcBorders>
                    <w:top w:val="single" w:color="000000" w:sz="4" w:space="0"/>
                    <w:left w:val="single" w:color="000000" w:sz="4" w:space="0"/>
                    <w:bottom w:val="single" w:color="000000" w:sz="4" w:space="0"/>
                    <w:right w:val="nil"/>
                  </w:tcBorders>
                  <w:shd w:val="clear" w:color="auto" w:fill="auto"/>
                  <w:noWrap/>
                  <w:vAlign w:val="center"/>
                </w:tcPr>
                <w:p w14:paraId="4D228419">
                  <w:pPr>
                    <w:keepNext w:val="0"/>
                    <w:keepLines w:val="0"/>
                    <w:pageBreakBefore w:val="0"/>
                    <w:widowControl/>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sz w:val="21"/>
                      <w:szCs w:val="21"/>
                      <w:u w:val="single"/>
                    </w:rPr>
                  </w:pPr>
                </w:p>
              </w:tc>
            </w:tr>
            <w:tr w14:paraId="133B4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3FD04">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16</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464FD">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食品保健食品</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FFDBC">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三维混合机</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759F5">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1200L</w:t>
                  </w:r>
                </w:p>
              </w:tc>
              <w:tc>
                <w:tcPr>
                  <w:tcW w:w="566" w:type="pct"/>
                  <w:tcBorders>
                    <w:top w:val="single" w:color="000000" w:sz="4" w:space="0"/>
                    <w:left w:val="single" w:color="000000" w:sz="4" w:space="0"/>
                    <w:bottom w:val="single" w:color="000000" w:sz="4" w:space="0"/>
                    <w:right w:val="nil"/>
                  </w:tcBorders>
                  <w:shd w:val="clear" w:color="auto" w:fill="auto"/>
                  <w:noWrap/>
                  <w:vAlign w:val="center"/>
                </w:tcPr>
                <w:p w14:paraId="1229AC2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359FC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953A0">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rPr>
                  </w:pPr>
                  <w:r>
                    <w:rPr>
                      <w:rFonts w:hint="eastAsia" w:cs="Times New Roman"/>
                      <w:b/>
                      <w:bCs/>
                      <w:i w:val="0"/>
                      <w:iCs w:val="0"/>
                      <w:color w:val="000000"/>
                      <w:kern w:val="0"/>
                      <w:sz w:val="21"/>
                      <w:szCs w:val="21"/>
                      <w:u w:val="single"/>
                      <w:lang w:val="en-US" w:eastAsia="zh-CN" w:bidi="ar"/>
                    </w:rPr>
                    <w:t>17</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459EA">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食品保健食品</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5D297">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制粒机（首选干法制粒）</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F820F">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160型</w:t>
                  </w:r>
                </w:p>
              </w:tc>
              <w:tc>
                <w:tcPr>
                  <w:tcW w:w="566" w:type="pct"/>
                  <w:tcBorders>
                    <w:top w:val="single" w:color="000000" w:sz="4" w:space="0"/>
                    <w:left w:val="single" w:color="000000" w:sz="4" w:space="0"/>
                    <w:bottom w:val="single" w:color="000000" w:sz="4" w:space="0"/>
                    <w:right w:val="nil"/>
                  </w:tcBorders>
                  <w:shd w:val="clear" w:color="auto" w:fill="auto"/>
                  <w:noWrap/>
                  <w:vAlign w:val="center"/>
                </w:tcPr>
                <w:p w14:paraId="0F037C2B">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5863EB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147DC">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18</w:t>
                  </w:r>
                </w:p>
              </w:tc>
              <w:tc>
                <w:tcPr>
                  <w:tcW w:w="10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6C8AD">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沸腾干燥</w:t>
                  </w:r>
                </w:p>
              </w:tc>
              <w:tc>
                <w:tcPr>
                  <w:tcW w:w="1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0AEEE">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150型</w:t>
                  </w:r>
                </w:p>
              </w:tc>
              <w:tc>
                <w:tcPr>
                  <w:tcW w:w="1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2B48B">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制粒包衣干燥机</w:t>
                  </w:r>
                </w:p>
              </w:tc>
              <w:tc>
                <w:tcPr>
                  <w:tcW w:w="566" w:type="pct"/>
                  <w:tcBorders>
                    <w:top w:val="single" w:color="000000" w:sz="4" w:space="0"/>
                    <w:left w:val="single" w:color="000000" w:sz="4" w:space="0"/>
                    <w:bottom w:val="single" w:color="000000" w:sz="4" w:space="0"/>
                    <w:right w:val="nil"/>
                  </w:tcBorders>
                  <w:shd w:val="clear" w:color="auto" w:fill="auto"/>
                  <w:noWrap/>
                  <w:vAlign w:val="center"/>
                </w:tcPr>
                <w:p w14:paraId="2CB80922">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4D12D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5000" w:type="pct"/>
                  <w:gridSpan w:val="5"/>
                  <w:tcBorders>
                    <w:top w:val="single" w:color="000000" w:sz="4" w:space="0"/>
                    <w:left w:val="single" w:color="000000" w:sz="4" w:space="0"/>
                    <w:bottom w:val="single" w:color="000000" w:sz="4" w:space="0"/>
                    <w:right w:val="nil"/>
                  </w:tcBorders>
                  <w:shd w:val="clear" w:color="auto" w:fill="auto"/>
                  <w:vAlign w:val="center"/>
                </w:tcPr>
                <w:p w14:paraId="4773D63F">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eastAsia" w:cs="Times New Roman"/>
                      <w:b/>
                      <w:bCs/>
                      <w:i w:val="0"/>
                      <w:iCs w:val="0"/>
                      <w:color w:val="000000"/>
                      <w:kern w:val="0"/>
                      <w:sz w:val="21"/>
                      <w:szCs w:val="21"/>
                      <w:u w:val="single"/>
                      <w:lang w:val="en-US" w:eastAsia="zh-CN" w:bidi="ar"/>
                    </w:rPr>
                  </w:pPr>
                  <w:r>
                    <w:rPr>
                      <w:rFonts w:hint="eastAsia" w:cs="Times New Roman"/>
                      <w:b/>
                      <w:bCs/>
                      <w:i w:val="0"/>
                      <w:iCs w:val="0"/>
                      <w:color w:val="000000"/>
                      <w:kern w:val="0"/>
                      <w:sz w:val="21"/>
                      <w:szCs w:val="21"/>
                      <w:u w:val="single"/>
                      <w:lang w:val="en-US" w:eastAsia="zh-CN" w:bidi="ar"/>
                    </w:rPr>
                    <w:t>七、公用设备</w:t>
                  </w:r>
                </w:p>
              </w:tc>
            </w:tr>
            <w:tr w14:paraId="52604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CBA0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1</w:t>
                  </w:r>
                </w:p>
              </w:tc>
              <w:tc>
                <w:tcPr>
                  <w:tcW w:w="10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3873F">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净化设备</w:t>
                  </w:r>
                </w:p>
              </w:tc>
              <w:tc>
                <w:tcPr>
                  <w:tcW w:w="1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59F0A">
                  <w:pPr>
                    <w:keepNext w:val="0"/>
                    <w:keepLines w:val="0"/>
                    <w:pageBreakBefore w:val="0"/>
                    <w:widowControl/>
                    <w:kinsoku/>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w:t>
                  </w:r>
                </w:p>
              </w:tc>
              <w:tc>
                <w:tcPr>
                  <w:tcW w:w="1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393E6">
                  <w:pPr>
                    <w:keepNext w:val="0"/>
                    <w:keepLines w:val="0"/>
                    <w:pageBreakBefore w:val="0"/>
                    <w:widowControl/>
                    <w:kinsoku/>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w:t>
                  </w:r>
                </w:p>
              </w:tc>
              <w:tc>
                <w:tcPr>
                  <w:tcW w:w="566" w:type="pct"/>
                  <w:tcBorders>
                    <w:top w:val="single" w:color="000000" w:sz="4" w:space="0"/>
                    <w:left w:val="single" w:color="000000" w:sz="4" w:space="0"/>
                    <w:bottom w:val="single" w:color="000000" w:sz="4" w:space="0"/>
                    <w:right w:val="nil"/>
                  </w:tcBorders>
                  <w:shd w:val="clear" w:color="auto" w:fill="auto"/>
                  <w:noWrap/>
                  <w:vAlign w:val="center"/>
                </w:tcPr>
                <w:p w14:paraId="6130833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3E967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4556D">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2</w:t>
                  </w:r>
                </w:p>
              </w:tc>
              <w:tc>
                <w:tcPr>
                  <w:tcW w:w="10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204D8">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实验室设备</w:t>
                  </w:r>
                </w:p>
              </w:tc>
              <w:tc>
                <w:tcPr>
                  <w:tcW w:w="1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D76D1">
                  <w:pPr>
                    <w:keepNext w:val="0"/>
                    <w:keepLines w:val="0"/>
                    <w:pageBreakBefore w:val="0"/>
                    <w:widowControl/>
                    <w:kinsoku/>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w:t>
                  </w:r>
                </w:p>
              </w:tc>
              <w:tc>
                <w:tcPr>
                  <w:tcW w:w="1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4DB54">
                  <w:pPr>
                    <w:keepNext w:val="0"/>
                    <w:keepLines w:val="0"/>
                    <w:pageBreakBefore w:val="0"/>
                    <w:widowControl/>
                    <w:kinsoku/>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w:t>
                  </w:r>
                </w:p>
              </w:tc>
              <w:tc>
                <w:tcPr>
                  <w:tcW w:w="566" w:type="pct"/>
                  <w:tcBorders>
                    <w:top w:val="single" w:color="000000" w:sz="4" w:space="0"/>
                    <w:left w:val="single" w:color="000000" w:sz="4" w:space="0"/>
                    <w:bottom w:val="single" w:color="000000" w:sz="4" w:space="0"/>
                    <w:right w:val="nil"/>
                  </w:tcBorders>
                  <w:shd w:val="clear" w:color="auto" w:fill="auto"/>
                  <w:noWrap/>
                  <w:vAlign w:val="center"/>
                </w:tcPr>
                <w:p w14:paraId="508ED59D">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w:t>
                  </w:r>
                </w:p>
              </w:tc>
            </w:tr>
            <w:tr w14:paraId="0183F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41A4D">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lang w:val="en-US" w:eastAsia="zh-CN"/>
                    </w:rPr>
                  </w:pPr>
                  <w:r>
                    <w:rPr>
                      <w:rFonts w:hint="eastAsia" w:cs="Times New Roman"/>
                      <w:b/>
                      <w:bCs/>
                      <w:i w:val="0"/>
                      <w:iCs w:val="0"/>
                      <w:color w:val="000000"/>
                      <w:sz w:val="21"/>
                      <w:szCs w:val="21"/>
                      <w:u w:val="single"/>
                      <w:lang w:val="en-US" w:eastAsia="zh-CN"/>
                    </w:rPr>
                    <w:t>3</w:t>
                  </w:r>
                </w:p>
              </w:tc>
              <w:tc>
                <w:tcPr>
                  <w:tcW w:w="10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29EFA">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洁净区车间</w:t>
                  </w:r>
                </w:p>
              </w:tc>
              <w:tc>
                <w:tcPr>
                  <w:tcW w:w="1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48094">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纯化水系统</w:t>
                  </w:r>
                </w:p>
              </w:tc>
              <w:tc>
                <w:tcPr>
                  <w:tcW w:w="1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F1FE9">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2吨/小时</w:t>
                  </w:r>
                </w:p>
              </w:tc>
              <w:tc>
                <w:tcPr>
                  <w:tcW w:w="5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0009D">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2</w:t>
                  </w:r>
                </w:p>
              </w:tc>
            </w:tr>
          </w:tbl>
          <w:p w14:paraId="42196DEC">
            <w:pPr>
              <w:ind w:firstLine="480"/>
              <w:rPr>
                <w:color w:val="auto"/>
              </w:rPr>
            </w:pPr>
            <w:r>
              <w:rPr>
                <w:rFonts w:hint="eastAsia"/>
                <w:color w:val="auto"/>
              </w:rPr>
              <w:t>根据《产业结构调整指导目录》（2024年），本项目所采用的生产工艺和设备均不属于限制类和淘汰类。</w:t>
            </w:r>
          </w:p>
          <w:p w14:paraId="25E65DCE">
            <w:pPr>
              <w:pageBreakBefore w:val="0"/>
              <w:widowControl w:val="0"/>
              <w:kinsoku/>
              <w:wordWrap w:val="0"/>
              <w:overflowPunct/>
              <w:topLinePunct w:val="0"/>
              <w:autoSpaceDE/>
              <w:autoSpaceDN/>
              <w:bidi w:val="0"/>
              <w:snapToGrid/>
              <w:spacing w:line="360" w:lineRule="auto"/>
              <w:ind w:left="0" w:firstLine="0" w:firstLineChars="0"/>
              <w:rPr>
                <w:b/>
                <w:bCs/>
                <w:color w:val="auto"/>
              </w:rPr>
            </w:pPr>
            <w:r>
              <w:rPr>
                <w:rFonts w:hint="eastAsia"/>
                <w:b/>
                <w:bCs/>
                <w:color w:val="auto"/>
              </w:rPr>
              <w:t>5</w:t>
            </w:r>
            <w:r>
              <w:rPr>
                <w:b/>
                <w:bCs/>
                <w:color w:val="auto"/>
              </w:rPr>
              <w:t>.</w:t>
            </w:r>
            <w:r>
              <w:rPr>
                <w:rFonts w:hint="eastAsia"/>
                <w:b/>
                <w:bCs/>
                <w:color w:val="auto"/>
              </w:rPr>
              <w:t>主要原辅料及能源消耗</w:t>
            </w:r>
          </w:p>
          <w:p w14:paraId="2178A807">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425" w:leftChars="0" w:hanging="425" w:firstLineChars="0"/>
              <w:jc w:val="center"/>
              <w:textAlignment w:val="auto"/>
              <w:rPr>
                <w:rFonts w:hint="eastAsia" w:ascii="Times New Roman" w:hAnsi="Times New Roman" w:eastAsia="宋体" w:cs="Times New Roman"/>
                <w:b/>
                <w:bCs/>
                <w:color w:val="000000" w:themeColor="text1"/>
                <w:sz w:val="21"/>
                <w:szCs w:val="21"/>
                <w:lang w:val="zh-CN"/>
                <w14:textFill>
                  <w14:solidFill>
                    <w14:schemeClr w14:val="tx1"/>
                  </w14:solidFill>
                </w14:textFill>
              </w:rPr>
            </w:pPr>
            <w:r>
              <w:rPr>
                <w:rFonts w:hint="eastAsia" w:ascii="Times New Roman" w:hAnsi="Times New Roman" w:eastAsia="宋体" w:cs="Times New Roman"/>
                <w:b/>
                <w:bCs/>
                <w:color w:val="000000" w:themeColor="text1"/>
                <w:sz w:val="21"/>
                <w:szCs w:val="21"/>
                <w:lang w:val="zh-CN"/>
                <w14:textFill>
                  <w14:solidFill>
                    <w14:schemeClr w14:val="tx1"/>
                  </w14:solidFill>
                </w14:textFill>
              </w:rPr>
              <w:t>主要原辅料及能源消耗一览表</w:t>
            </w:r>
          </w:p>
          <w:tbl>
            <w:tblPr>
              <w:tblStyle w:val="2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3"/>
              <w:gridCol w:w="1779"/>
              <w:gridCol w:w="1154"/>
              <w:gridCol w:w="991"/>
              <w:gridCol w:w="1369"/>
              <w:gridCol w:w="1017"/>
              <w:gridCol w:w="1116"/>
            </w:tblGrid>
            <w:tr w14:paraId="19F451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671" w:type="pct"/>
                  <w:noWrap w:val="0"/>
                  <w:vAlign w:val="center"/>
                </w:tcPr>
                <w:p w14:paraId="432CE846">
                  <w:pPr>
                    <w:keepNext w:val="0"/>
                    <w:keepLines w:val="0"/>
                    <w:pageBreakBefore w:val="0"/>
                    <w:widowControl w:val="0"/>
                    <w:suppressLineNumbers w:val="0"/>
                    <w:kinsoku/>
                    <w:wordWrap/>
                    <w:overflowPunct/>
                    <w:topLinePunct w:val="0"/>
                    <w:autoSpaceDE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bidi="ar"/>
                    </w:rPr>
                  </w:pPr>
                  <w:r>
                    <w:rPr>
                      <w:rFonts w:hint="default" w:ascii="Times New Roman" w:hAnsi="Times New Roman" w:cs="Times New Roman"/>
                      <w:b/>
                      <w:bCs/>
                      <w:color w:val="auto"/>
                      <w:sz w:val="21"/>
                      <w:szCs w:val="21"/>
                      <w:lang w:val="en-US" w:eastAsia="zh-CN" w:bidi="ar"/>
                    </w:rPr>
                    <w:t>产品</w:t>
                  </w:r>
                </w:p>
              </w:tc>
              <w:tc>
                <w:tcPr>
                  <w:tcW w:w="1036" w:type="pct"/>
                  <w:noWrap w:val="0"/>
                  <w:vAlign w:val="center"/>
                </w:tcPr>
                <w:p w14:paraId="20472C75">
                  <w:pPr>
                    <w:keepNext w:val="0"/>
                    <w:keepLines w:val="0"/>
                    <w:pageBreakBefore w:val="0"/>
                    <w:widowControl w:val="0"/>
                    <w:suppressLineNumbers w:val="0"/>
                    <w:kinsoku/>
                    <w:wordWrap/>
                    <w:overflowPunct/>
                    <w:topLinePunct w:val="0"/>
                    <w:autoSpaceDE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bidi="ar"/>
                    </w:rPr>
                    <w:t>原辅料名称</w:t>
                  </w:r>
                </w:p>
              </w:tc>
              <w:tc>
                <w:tcPr>
                  <w:tcW w:w="672" w:type="pct"/>
                  <w:noWrap w:val="0"/>
                  <w:vAlign w:val="center"/>
                </w:tcPr>
                <w:p w14:paraId="40780450">
                  <w:pPr>
                    <w:keepNext w:val="0"/>
                    <w:keepLines w:val="0"/>
                    <w:pageBreakBefore w:val="0"/>
                    <w:widowControl w:val="0"/>
                    <w:suppressLineNumbers w:val="0"/>
                    <w:kinsoku/>
                    <w:wordWrap/>
                    <w:overflowPunct/>
                    <w:topLinePunct w:val="0"/>
                    <w:autoSpaceDE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bidi="ar"/>
                    </w:rPr>
                  </w:pPr>
                  <w:r>
                    <w:rPr>
                      <w:rFonts w:hint="default" w:ascii="Times New Roman" w:hAnsi="Times New Roman" w:cs="Times New Roman"/>
                      <w:b/>
                      <w:bCs/>
                      <w:color w:val="auto"/>
                      <w:sz w:val="21"/>
                      <w:szCs w:val="21"/>
                      <w:lang w:val="en-US" w:eastAsia="zh-CN" w:bidi="ar"/>
                    </w:rPr>
                    <w:t>单位</w:t>
                  </w:r>
                </w:p>
              </w:tc>
              <w:tc>
                <w:tcPr>
                  <w:tcW w:w="577" w:type="pct"/>
                  <w:noWrap w:val="0"/>
                  <w:vAlign w:val="center"/>
                </w:tcPr>
                <w:p w14:paraId="2A525400">
                  <w:pPr>
                    <w:keepNext w:val="0"/>
                    <w:keepLines w:val="0"/>
                    <w:pageBreakBefore w:val="0"/>
                    <w:widowControl w:val="0"/>
                    <w:suppressLineNumbers w:val="0"/>
                    <w:kinsoku/>
                    <w:wordWrap/>
                    <w:overflowPunct/>
                    <w:topLinePunct w:val="0"/>
                    <w:autoSpaceDE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21"/>
                      <w:szCs w:val="21"/>
                      <w:lang w:val="en-US" w:eastAsia="zh-CN" w:bidi="ar"/>
                    </w:rPr>
                  </w:pPr>
                  <w:r>
                    <w:rPr>
                      <w:rFonts w:hint="default" w:ascii="Times New Roman" w:hAnsi="Times New Roman" w:cs="Times New Roman"/>
                      <w:b/>
                      <w:bCs/>
                      <w:color w:val="auto"/>
                      <w:sz w:val="21"/>
                      <w:szCs w:val="21"/>
                      <w:lang w:val="en-US" w:eastAsia="zh-CN" w:bidi="ar"/>
                    </w:rPr>
                    <w:t>用量</w:t>
                  </w:r>
                </w:p>
              </w:tc>
              <w:tc>
                <w:tcPr>
                  <w:tcW w:w="797" w:type="pct"/>
                  <w:noWrap w:val="0"/>
                  <w:vAlign w:val="center"/>
                </w:tcPr>
                <w:p w14:paraId="3A4F7CA0">
                  <w:pPr>
                    <w:keepNext w:val="0"/>
                    <w:keepLines w:val="0"/>
                    <w:pageBreakBefore w:val="0"/>
                    <w:widowControl w:val="0"/>
                    <w:suppressLineNumbers w:val="0"/>
                    <w:kinsoku/>
                    <w:wordWrap/>
                    <w:overflowPunct/>
                    <w:topLinePunct w:val="0"/>
                    <w:autoSpaceDE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21"/>
                      <w:szCs w:val="21"/>
                      <w:lang w:val="en-US" w:eastAsia="zh-CN" w:bidi="ar"/>
                    </w:rPr>
                  </w:pPr>
                  <w:r>
                    <w:rPr>
                      <w:rFonts w:hint="default" w:ascii="Times New Roman" w:hAnsi="Times New Roman" w:cs="Times New Roman"/>
                      <w:b/>
                      <w:bCs/>
                      <w:color w:val="auto"/>
                      <w:sz w:val="21"/>
                      <w:szCs w:val="21"/>
                      <w:lang w:val="en-US" w:eastAsia="zh-CN" w:bidi="ar"/>
                    </w:rPr>
                    <w:t>规格</w:t>
                  </w:r>
                </w:p>
              </w:tc>
              <w:tc>
                <w:tcPr>
                  <w:tcW w:w="592" w:type="pct"/>
                  <w:noWrap w:val="0"/>
                  <w:vAlign w:val="center"/>
                </w:tcPr>
                <w:p w14:paraId="1A0F3FC9">
                  <w:pPr>
                    <w:keepNext w:val="0"/>
                    <w:keepLines w:val="0"/>
                    <w:pageBreakBefore w:val="0"/>
                    <w:widowControl w:val="0"/>
                    <w:suppressLineNumbers w:val="0"/>
                    <w:kinsoku/>
                    <w:wordWrap/>
                    <w:overflowPunct/>
                    <w:topLinePunct w:val="0"/>
                    <w:autoSpaceDE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bidi="ar"/>
                    </w:rPr>
                  </w:pPr>
                  <w:r>
                    <w:rPr>
                      <w:rFonts w:hint="default" w:ascii="Times New Roman" w:hAnsi="Times New Roman" w:cs="Times New Roman"/>
                      <w:b/>
                      <w:bCs/>
                      <w:color w:val="auto"/>
                      <w:sz w:val="21"/>
                      <w:szCs w:val="21"/>
                      <w:lang w:val="en-US" w:eastAsia="zh-CN" w:bidi="ar"/>
                    </w:rPr>
                    <w:t>厂区最大储存量（t）</w:t>
                  </w:r>
                </w:p>
              </w:tc>
              <w:tc>
                <w:tcPr>
                  <w:tcW w:w="650" w:type="pct"/>
                  <w:noWrap w:val="0"/>
                  <w:vAlign w:val="center"/>
                </w:tcPr>
                <w:p w14:paraId="00BFE317">
                  <w:pPr>
                    <w:keepNext w:val="0"/>
                    <w:keepLines w:val="0"/>
                    <w:pageBreakBefore w:val="0"/>
                    <w:widowControl w:val="0"/>
                    <w:suppressLineNumbers w:val="0"/>
                    <w:kinsoku/>
                    <w:wordWrap/>
                    <w:overflowPunct/>
                    <w:topLinePunct w:val="0"/>
                    <w:autoSpaceDE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bidi="ar"/>
                    </w:rPr>
                  </w:pPr>
                  <w:r>
                    <w:rPr>
                      <w:rFonts w:hint="default" w:ascii="Times New Roman" w:hAnsi="Times New Roman" w:cs="Times New Roman"/>
                      <w:b/>
                      <w:bCs/>
                      <w:color w:val="auto"/>
                      <w:sz w:val="21"/>
                      <w:szCs w:val="21"/>
                      <w:lang w:val="en-US" w:eastAsia="zh-CN" w:bidi="ar"/>
                    </w:rPr>
                    <w:t>作用</w:t>
                  </w:r>
                </w:p>
              </w:tc>
            </w:tr>
            <w:tr w14:paraId="43FD01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671" w:type="pct"/>
                  <w:noWrap w:val="0"/>
                  <w:vAlign w:val="center"/>
                </w:tcPr>
                <w:p w14:paraId="75FEB358">
                  <w:pPr>
                    <w:keepNext w:val="0"/>
                    <w:keepLines w:val="0"/>
                    <w:pageBreakBefore w:val="0"/>
                    <w:widowControl w:val="0"/>
                    <w:suppressLineNumbers w:val="0"/>
                    <w:kinsoku/>
                    <w:wordWrap/>
                    <w:overflowPunct/>
                    <w:topLinePunct w:val="0"/>
                    <w:autoSpaceDE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bidi="ar"/>
                    </w:rPr>
                  </w:pPr>
                  <w:r>
                    <w:rPr>
                      <w:rFonts w:hint="eastAsia" w:ascii="Times New Roman" w:hAnsi="Times New Roman" w:cs="Times New Roman"/>
                      <w:color w:val="auto"/>
                      <w:sz w:val="21"/>
                      <w:szCs w:val="21"/>
                      <w:lang w:val="en-US" w:eastAsia="zh-CN" w:bidi="ar"/>
                    </w:rPr>
                    <w:t>普通中药饮片</w:t>
                  </w:r>
                </w:p>
              </w:tc>
              <w:tc>
                <w:tcPr>
                  <w:tcW w:w="1036" w:type="pct"/>
                  <w:noWrap w:val="0"/>
                  <w:vAlign w:val="center"/>
                </w:tcPr>
                <w:p w14:paraId="68DFDCD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各类中药材</w:t>
                  </w:r>
                </w:p>
              </w:tc>
              <w:tc>
                <w:tcPr>
                  <w:tcW w:w="672" w:type="pct"/>
                  <w:shd w:val="clear" w:color="auto" w:fill="auto"/>
                  <w:noWrap w:val="0"/>
                  <w:vAlign w:val="center"/>
                </w:tcPr>
                <w:p w14:paraId="34D128BA">
                  <w:pPr>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吨/年</w:t>
                  </w:r>
                </w:p>
              </w:tc>
              <w:tc>
                <w:tcPr>
                  <w:tcW w:w="577" w:type="pct"/>
                  <w:noWrap w:val="0"/>
                  <w:vAlign w:val="center"/>
                </w:tcPr>
                <w:p w14:paraId="79CCA4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lang w:val="en-US" w:eastAsia="zh-CN" w:bidi="ar"/>
                    </w:rPr>
                  </w:pPr>
                  <w:r>
                    <w:rPr>
                      <w:rFonts w:hint="eastAsia" w:cs="Times New Roman"/>
                      <w:color w:val="auto"/>
                      <w:kern w:val="2"/>
                      <w:sz w:val="21"/>
                      <w:szCs w:val="21"/>
                      <w:lang w:val="en-US" w:eastAsia="zh-CN" w:bidi="ar"/>
                    </w:rPr>
                    <w:t>3000</w:t>
                  </w:r>
                </w:p>
              </w:tc>
              <w:tc>
                <w:tcPr>
                  <w:tcW w:w="797" w:type="pct"/>
                  <w:noWrap w:val="0"/>
                  <w:vAlign w:val="center"/>
                </w:tcPr>
                <w:p w14:paraId="6DE79E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50KG/袋</w:t>
                  </w:r>
                </w:p>
              </w:tc>
              <w:tc>
                <w:tcPr>
                  <w:tcW w:w="592" w:type="pct"/>
                  <w:noWrap w:val="0"/>
                  <w:vAlign w:val="center"/>
                </w:tcPr>
                <w:p w14:paraId="730511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lang w:val="en-US" w:eastAsia="zh-CN" w:bidi="ar"/>
                    </w:rPr>
                  </w:pPr>
                  <w:r>
                    <w:rPr>
                      <w:rFonts w:hint="eastAsia" w:cs="Times New Roman"/>
                      <w:color w:val="auto"/>
                      <w:kern w:val="2"/>
                      <w:sz w:val="21"/>
                      <w:szCs w:val="21"/>
                      <w:lang w:val="en-US" w:eastAsia="zh-CN" w:bidi="ar"/>
                    </w:rPr>
                    <w:t>20</w:t>
                  </w:r>
                </w:p>
              </w:tc>
              <w:tc>
                <w:tcPr>
                  <w:tcW w:w="650" w:type="pct"/>
                  <w:noWrap w:val="0"/>
                  <w:vAlign w:val="center"/>
                </w:tcPr>
                <w:p w14:paraId="5F44E5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lang w:val="en-US" w:eastAsia="zh-CN" w:bidi="ar"/>
                    </w:rPr>
                  </w:pPr>
                  <w:r>
                    <w:rPr>
                      <w:rFonts w:hint="eastAsia" w:cs="Times New Roman"/>
                      <w:color w:val="auto"/>
                      <w:kern w:val="2"/>
                      <w:sz w:val="21"/>
                      <w:szCs w:val="21"/>
                      <w:lang w:val="en-US" w:eastAsia="zh-CN" w:bidi="ar"/>
                    </w:rPr>
                    <w:t>/</w:t>
                  </w:r>
                </w:p>
              </w:tc>
            </w:tr>
            <w:tr w14:paraId="4C0AEA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671" w:type="pct"/>
                  <w:vMerge w:val="restart"/>
                  <w:noWrap w:val="0"/>
                  <w:vAlign w:val="center"/>
                </w:tcPr>
                <w:p w14:paraId="76B3252F">
                  <w:pPr>
                    <w:keepNext w:val="0"/>
                    <w:keepLines w:val="0"/>
                    <w:pageBreakBefore w:val="0"/>
                    <w:widowControl w:val="0"/>
                    <w:suppressLineNumbers w:val="0"/>
                    <w:kinsoku/>
                    <w:wordWrap/>
                    <w:overflowPunct/>
                    <w:topLinePunct w:val="0"/>
                    <w:autoSpaceDE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lang w:val="en-US" w:eastAsia="zh-CN" w:bidi="ar"/>
                    </w:rPr>
                  </w:pPr>
                  <w:r>
                    <w:rPr>
                      <w:rFonts w:hint="eastAsia" w:ascii="Times New Roman" w:hAnsi="Times New Roman" w:cs="Times New Roman"/>
                      <w:color w:val="auto"/>
                      <w:sz w:val="21"/>
                      <w:szCs w:val="21"/>
                      <w:lang w:val="en-US" w:eastAsia="zh-CN" w:bidi="ar"/>
                    </w:rPr>
                    <w:t>毒性中药饮片</w:t>
                  </w:r>
                </w:p>
              </w:tc>
              <w:tc>
                <w:tcPr>
                  <w:tcW w:w="1036" w:type="pct"/>
                  <w:shd w:val="clear" w:color="auto" w:fill="auto"/>
                  <w:noWrap w:val="0"/>
                  <w:vAlign w:val="center"/>
                </w:tcPr>
                <w:p w14:paraId="3C285BDF">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bCs/>
                      <w:color w:val="auto"/>
                      <w:sz w:val="21"/>
                      <w:szCs w:val="21"/>
                      <w:lang w:val="en-US" w:eastAsia="zh-CN" w:bidi="ar"/>
                    </w:rPr>
                    <w:t>半夏</w:t>
                  </w:r>
                </w:p>
              </w:tc>
              <w:tc>
                <w:tcPr>
                  <w:tcW w:w="672" w:type="pct"/>
                  <w:shd w:val="clear" w:color="auto" w:fill="auto"/>
                  <w:noWrap w:val="0"/>
                  <w:vAlign w:val="center"/>
                </w:tcPr>
                <w:p w14:paraId="64498D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吨/年</w:t>
                  </w:r>
                </w:p>
              </w:tc>
              <w:tc>
                <w:tcPr>
                  <w:tcW w:w="577" w:type="pct"/>
                  <w:vMerge w:val="restart"/>
                  <w:noWrap w:val="0"/>
                  <w:vAlign w:val="center"/>
                </w:tcPr>
                <w:p w14:paraId="0A173F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2"/>
                      <w:sz w:val="21"/>
                      <w:szCs w:val="21"/>
                      <w:lang w:val="en-US" w:eastAsia="zh-CN" w:bidi="ar"/>
                    </w:rPr>
                  </w:pPr>
                  <w:r>
                    <w:rPr>
                      <w:rFonts w:hint="eastAsia" w:cs="Times New Roman"/>
                      <w:color w:val="auto"/>
                      <w:kern w:val="2"/>
                      <w:sz w:val="21"/>
                      <w:szCs w:val="21"/>
                      <w:lang w:val="en-US" w:eastAsia="zh-CN" w:bidi="ar"/>
                    </w:rPr>
                    <w:t>160</w:t>
                  </w:r>
                </w:p>
              </w:tc>
              <w:tc>
                <w:tcPr>
                  <w:tcW w:w="797" w:type="pct"/>
                  <w:shd w:val="clear" w:color="auto" w:fill="auto"/>
                  <w:noWrap w:val="0"/>
                  <w:vAlign w:val="center"/>
                </w:tcPr>
                <w:p w14:paraId="3BD39C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50KG/袋</w:t>
                  </w:r>
                </w:p>
              </w:tc>
              <w:tc>
                <w:tcPr>
                  <w:tcW w:w="592" w:type="pct"/>
                  <w:shd w:val="clear" w:color="auto" w:fill="auto"/>
                  <w:noWrap w:val="0"/>
                  <w:vAlign w:val="center"/>
                </w:tcPr>
                <w:p w14:paraId="4E478A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1</w:t>
                  </w:r>
                </w:p>
              </w:tc>
              <w:tc>
                <w:tcPr>
                  <w:tcW w:w="650" w:type="pct"/>
                  <w:shd w:val="clear" w:color="auto" w:fill="auto"/>
                  <w:noWrap w:val="0"/>
                  <w:vAlign w:val="center"/>
                </w:tcPr>
                <w:p w14:paraId="381DA5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w:t>
                  </w:r>
                </w:p>
              </w:tc>
            </w:tr>
            <w:tr w14:paraId="205242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671" w:type="pct"/>
                  <w:vMerge w:val="continue"/>
                  <w:noWrap w:val="0"/>
                  <w:vAlign w:val="center"/>
                </w:tcPr>
                <w:p w14:paraId="7703EA6B">
                  <w:pPr>
                    <w:keepNext w:val="0"/>
                    <w:keepLines w:val="0"/>
                    <w:pageBreakBefore w:val="0"/>
                    <w:widowControl w:val="0"/>
                    <w:suppressLineNumbers w:val="0"/>
                    <w:kinsoku/>
                    <w:wordWrap/>
                    <w:overflowPunct/>
                    <w:topLinePunct w:val="0"/>
                    <w:autoSpaceDE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lang w:val="en-US" w:eastAsia="zh-CN" w:bidi="ar"/>
                    </w:rPr>
                  </w:pPr>
                </w:p>
              </w:tc>
              <w:tc>
                <w:tcPr>
                  <w:tcW w:w="1036" w:type="pct"/>
                  <w:shd w:val="clear" w:color="auto" w:fill="auto"/>
                  <w:noWrap w:val="0"/>
                  <w:vAlign w:val="center"/>
                </w:tcPr>
                <w:p w14:paraId="4BC70FD1">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bCs/>
                      <w:color w:val="auto"/>
                      <w:sz w:val="21"/>
                      <w:szCs w:val="21"/>
                      <w:lang w:val="en-US" w:eastAsia="zh-CN" w:bidi="ar"/>
                    </w:rPr>
                    <w:t>附子</w:t>
                  </w:r>
                </w:p>
              </w:tc>
              <w:tc>
                <w:tcPr>
                  <w:tcW w:w="672" w:type="pct"/>
                  <w:shd w:val="clear" w:color="auto" w:fill="auto"/>
                  <w:noWrap w:val="0"/>
                  <w:vAlign w:val="center"/>
                </w:tcPr>
                <w:p w14:paraId="549521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吨/年</w:t>
                  </w:r>
                </w:p>
              </w:tc>
              <w:tc>
                <w:tcPr>
                  <w:tcW w:w="577" w:type="pct"/>
                  <w:vMerge w:val="continue"/>
                  <w:noWrap w:val="0"/>
                  <w:vAlign w:val="center"/>
                </w:tcPr>
                <w:p w14:paraId="73A593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2"/>
                      <w:sz w:val="21"/>
                      <w:szCs w:val="21"/>
                      <w:lang w:val="en-US" w:eastAsia="zh-CN" w:bidi="ar"/>
                    </w:rPr>
                  </w:pPr>
                </w:p>
              </w:tc>
              <w:tc>
                <w:tcPr>
                  <w:tcW w:w="797" w:type="pct"/>
                  <w:shd w:val="clear" w:color="auto" w:fill="auto"/>
                  <w:noWrap w:val="0"/>
                  <w:vAlign w:val="center"/>
                </w:tcPr>
                <w:p w14:paraId="18A275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50KG/袋</w:t>
                  </w:r>
                </w:p>
              </w:tc>
              <w:tc>
                <w:tcPr>
                  <w:tcW w:w="592" w:type="pct"/>
                  <w:shd w:val="clear" w:color="auto" w:fill="auto"/>
                  <w:noWrap w:val="0"/>
                  <w:vAlign w:val="center"/>
                </w:tcPr>
                <w:p w14:paraId="765AF8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1</w:t>
                  </w:r>
                </w:p>
              </w:tc>
              <w:tc>
                <w:tcPr>
                  <w:tcW w:w="650" w:type="pct"/>
                  <w:shd w:val="clear" w:color="auto" w:fill="auto"/>
                  <w:noWrap w:val="0"/>
                  <w:vAlign w:val="center"/>
                </w:tcPr>
                <w:p w14:paraId="35982D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w:t>
                  </w:r>
                </w:p>
              </w:tc>
            </w:tr>
            <w:tr w14:paraId="26EBA6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671" w:type="pct"/>
                  <w:vMerge w:val="continue"/>
                  <w:noWrap w:val="0"/>
                  <w:vAlign w:val="center"/>
                </w:tcPr>
                <w:p w14:paraId="031BDDBB">
                  <w:pPr>
                    <w:keepNext w:val="0"/>
                    <w:keepLines w:val="0"/>
                    <w:pageBreakBefore w:val="0"/>
                    <w:widowControl w:val="0"/>
                    <w:suppressLineNumbers w:val="0"/>
                    <w:kinsoku/>
                    <w:wordWrap/>
                    <w:overflowPunct/>
                    <w:topLinePunct w:val="0"/>
                    <w:autoSpaceDE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bidi="ar"/>
                    </w:rPr>
                  </w:pPr>
                </w:p>
              </w:tc>
              <w:tc>
                <w:tcPr>
                  <w:tcW w:w="1036" w:type="pct"/>
                  <w:shd w:val="clear" w:color="auto" w:fill="auto"/>
                  <w:noWrap w:val="0"/>
                  <w:vAlign w:val="center"/>
                </w:tcPr>
                <w:p w14:paraId="44963228">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bCs/>
                      <w:color w:val="auto"/>
                      <w:sz w:val="21"/>
                      <w:szCs w:val="21"/>
                      <w:lang w:val="en-US" w:eastAsia="zh-CN" w:bidi="ar"/>
                    </w:rPr>
                    <w:t>马钱子</w:t>
                  </w:r>
                </w:p>
              </w:tc>
              <w:tc>
                <w:tcPr>
                  <w:tcW w:w="672" w:type="pct"/>
                  <w:shd w:val="clear" w:color="auto" w:fill="auto"/>
                  <w:noWrap w:val="0"/>
                  <w:vAlign w:val="center"/>
                </w:tcPr>
                <w:p w14:paraId="7DEF1D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吨/年</w:t>
                  </w:r>
                </w:p>
              </w:tc>
              <w:tc>
                <w:tcPr>
                  <w:tcW w:w="577" w:type="pct"/>
                  <w:vMerge w:val="continue"/>
                  <w:noWrap w:val="0"/>
                  <w:vAlign w:val="center"/>
                </w:tcPr>
                <w:p w14:paraId="486B84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lang w:val="en-US" w:eastAsia="zh-CN" w:bidi="ar"/>
                    </w:rPr>
                  </w:pPr>
                </w:p>
              </w:tc>
              <w:tc>
                <w:tcPr>
                  <w:tcW w:w="797" w:type="pct"/>
                  <w:shd w:val="clear" w:color="auto" w:fill="auto"/>
                  <w:noWrap w:val="0"/>
                  <w:vAlign w:val="center"/>
                </w:tcPr>
                <w:p w14:paraId="6287E3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50KG/袋</w:t>
                  </w:r>
                </w:p>
              </w:tc>
              <w:tc>
                <w:tcPr>
                  <w:tcW w:w="592" w:type="pct"/>
                  <w:shd w:val="clear" w:color="auto" w:fill="auto"/>
                  <w:noWrap w:val="0"/>
                  <w:vAlign w:val="center"/>
                </w:tcPr>
                <w:p w14:paraId="4B6EBC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1</w:t>
                  </w:r>
                </w:p>
              </w:tc>
              <w:tc>
                <w:tcPr>
                  <w:tcW w:w="650" w:type="pct"/>
                  <w:shd w:val="clear" w:color="auto" w:fill="auto"/>
                  <w:noWrap w:val="0"/>
                  <w:vAlign w:val="center"/>
                </w:tcPr>
                <w:p w14:paraId="2EB97F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w:t>
                  </w:r>
                </w:p>
              </w:tc>
            </w:tr>
            <w:tr w14:paraId="1DEAA1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671" w:type="pct"/>
                  <w:vMerge w:val="restart"/>
                  <w:noWrap w:val="0"/>
                  <w:vAlign w:val="center"/>
                </w:tcPr>
                <w:p w14:paraId="7F78AD08">
                  <w:pPr>
                    <w:keepNext w:val="0"/>
                    <w:keepLines w:val="0"/>
                    <w:pageBreakBefore w:val="0"/>
                    <w:widowControl w:val="0"/>
                    <w:suppressLineNumbers w:val="0"/>
                    <w:kinsoku/>
                    <w:wordWrap/>
                    <w:overflowPunct/>
                    <w:topLinePunct w:val="0"/>
                    <w:autoSpaceDE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bidi="ar"/>
                    </w:rPr>
                  </w:pPr>
                  <w:r>
                    <w:rPr>
                      <w:rFonts w:hint="eastAsia" w:cs="Times New Roman"/>
                      <w:color w:val="auto"/>
                      <w:sz w:val="21"/>
                      <w:szCs w:val="21"/>
                      <w:lang w:val="en-US" w:eastAsia="zh-CN" w:bidi="ar"/>
                    </w:rPr>
                    <w:t>辅料</w:t>
                  </w:r>
                </w:p>
              </w:tc>
              <w:tc>
                <w:tcPr>
                  <w:tcW w:w="1036" w:type="pct"/>
                  <w:shd w:val="clear" w:color="auto" w:fill="auto"/>
                  <w:noWrap w:val="0"/>
                  <w:vAlign w:val="center"/>
                </w:tcPr>
                <w:p w14:paraId="05D2A42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醋</w:t>
                  </w:r>
                </w:p>
              </w:tc>
              <w:tc>
                <w:tcPr>
                  <w:tcW w:w="672" w:type="pct"/>
                  <w:shd w:val="clear" w:color="auto" w:fill="auto"/>
                  <w:noWrap w:val="0"/>
                  <w:vAlign w:val="center"/>
                </w:tcPr>
                <w:p w14:paraId="18EA1876">
                  <w:pPr>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eastAsiaTheme="minorEastAsia"/>
                      <w:b w:val="0"/>
                      <w:bCs w:val="0"/>
                      <w:color w:val="auto"/>
                      <w:spacing w:val="8"/>
                      <w:kern w:val="24"/>
                      <w:sz w:val="21"/>
                      <w:szCs w:val="21"/>
                      <w:u w:val="none"/>
                      <w:lang w:val="en-US" w:eastAsia="zh-CN" w:bidi="ar-SA"/>
                    </w:rPr>
                  </w:pPr>
                  <w:r>
                    <w:rPr>
                      <w:rFonts w:hint="eastAsia" w:ascii="Times New Roman" w:hAnsi="Times New Roman" w:cs="Times New Roman"/>
                      <w:color w:val="auto"/>
                      <w:kern w:val="2"/>
                      <w:sz w:val="21"/>
                      <w:szCs w:val="21"/>
                      <w:lang w:val="en-US" w:eastAsia="zh-CN" w:bidi="ar"/>
                    </w:rPr>
                    <w:t>吨/年</w:t>
                  </w:r>
                </w:p>
              </w:tc>
              <w:tc>
                <w:tcPr>
                  <w:tcW w:w="577" w:type="pct"/>
                  <w:shd w:val="clear" w:color="auto" w:fill="auto"/>
                  <w:noWrap w:val="0"/>
                  <w:vAlign w:val="center"/>
                </w:tcPr>
                <w:p w14:paraId="6BFBFB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10</w:t>
                  </w:r>
                </w:p>
              </w:tc>
              <w:tc>
                <w:tcPr>
                  <w:tcW w:w="797" w:type="pct"/>
                  <w:shd w:val="clear" w:color="auto" w:fill="auto"/>
                  <w:noWrap w:val="0"/>
                  <w:vAlign w:val="center"/>
                </w:tcPr>
                <w:p w14:paraId="6BA6F8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50KG/桶</w:t>
                  </w:r>
                </w:p>
              </w:tc>
              <w:tc>
                <w:tcPr>
                  <w:tcW w:w="592" w:type="pct"/>
                  <w:shd w:val="clear" w:color="auto" w:fill="auto"/>
                  <w:noWrap w:val="0"/>
                  <w:vAlign w:val="center"/>
                </w:tcPr>
                <w:p w14:paraId="44D8CF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1</w:t>
                  </w:r>
                </w:p>
              </w:tc>
              <w:tc>
                <w:tcPr>
                  <w:tcW w:w="650" w:type="pct"/>
                  <w:shd w:val="clear" w:color="auto" w:fill="auto"/>
                  <w:noWrap w:val="0"/>
                  <w:vAlign w:val="center"/>
                </w:tcPr>
                <w:p w14:paraId="71D7E0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醋炙</w:t>
                  </w:r>
                </w:p>
              </w:tc>
            </w:tr>
            <w:tr w14:paraId="721556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671" w:type="pct"/>
                  <w:vMerge w:val="continue"/>
                  <w:noWrap w:val="0"/>
                  <w:vAlign w:val="center"/>
                </w:tcPr>
                <w:p w14:paraId="0EB31BFC">
                  <w:pPr>
                    <w:keepNext w:val="0"/>
                    <w:keepLines w:val="0"/>
                    <w:pageBreakBefore w:val="0"/>
                    <w:widowControl w:val="0"/>
                    <w:suppressLineNumbers w:val="0"/>
                    <w:kinsoku/>
                    <w:wordWrap/>
                    <w:overflowPunct/>
                    <w:topLinePunct w:val="0"/>
                    <w:autoSpaceDE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lang w:val="en-US" w:eastAsia="zh-CN" w:bidi="ar"/>
                    </w:rPr>
                  </w:pPr>
                </w:p>
              </w:tc>
              <w:tc>
                <w:tcPr>
                  <w:tcW w:w="1036" w:type="pct"/>
                  <w:noWrap w:val="0"/>
                  <w:vAlign w:val="center"/>
                </w:tcPr>
                <w:p w14:paraId="163D01D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盐</w:t>
                  </w:r>
                </w:p>
              </w:tc>
              <w:tc>
                <w:tcPr>
                  <w:tcW w:w="672" w:type="pct"/>
                  <w:shd w:val="clear" w:color="auto" w:fill="auto"/>
                  <w:noWrap w:val="0"/>
                  <w:vAlign w:val="center"/>
                </w:tcPr>
                <w:p w14:paraId="2592BAD7">
                  <w:pPr>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pacing w:val="8"/>
                      <w:kern w:val="24"/>
                      <w:sz w:val="21"/>
                      <w:szCs w:val="21"/>
                      <w:u w:val="none"/>
                      <w:lang w:val="en-US" w:eastAsia="zh-CN" w:bidi="ar-SA"/>
                    </w:rPr>
                  </w:pPr>
                  <w:r>
                    <w:rPr>
                      <w:rFonts w:hint="eastAsia" w:ascii="Times New Roman" w:hAnsi="Times New Roman" w:cs="Times New Roman"/>
                      <w:color w:val="auto"/>
                      <w:kern w:val="2"/>
                      <w:sz w:val="21"/>
                      <w:szCs w:val="21"/>
                      <w:lang w:val="en-US" w:eastAsia="zh-CN" w:bidi="ar"/>
                    </w:rPr>
                    <w:t>吨/年</w:t>
                  </w:r>
                </w:p>
              </w:tc>
              <w:tc>
                <w:tcPr>
                  <w:tcW w:w="577" w:type="pct"/>
                  <w:noWrap w:val="0"/>
                  <w:vAlign w:val="center"/>
                </w:tcPr>
                <w:p w14:paraId="17D3AD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color w:val="auto"/>
                      <w:kern w:val="2"/>
                      <w:sz w:val="21"/>
                      <w:szCs w:val="21"/>
                      <w:lang w:val="en-US" w:eastAsia="zh-CN" w:bidi="ar"/>
                    </w:rPr>
                  </w:pPr>
                  <w:r>
                    <w:rPr>
                      <w:rFonts w:hint="eastAsia" w:cs="Times New Roman"/>
                      <w:color w:val="auto"/>
                      <w:kern w:val="2"/>
                      <w:sz w:val="21"/>
                      <w:szCs w:val="21"/>
                      <w:lang w:val="en-US" w:eastAsia="zh-CN" w:bidi="ar"/>
                    </w:rPr>
                    <w:t>2</w:t>
                  </w:r>
                </w:p>
              </w:tc>
              <w:tc>
                <w:tcPr>
                  <w:tcW w:w="797" w:type="pct"/>
                  <w:noWrap w:val="0"/>
                  <w:vAlign w:val="center"/>
                </w:tcPr>
                <w:p w14:paraId="64B98C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0.5KG/袋</w:t>
                  </w:r>
                </w:p>
              </w:tc>
              <w:tc>
                <w:tcPr>
                  <w:tcW w:w="592" w:type="pct"/>
                  <w:noWrap w:val="0"/>
                  <w:vAlign w:val="center"/>
                </w:tcPr>
                <w:p w14:paraId="7AF318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0.5</w:t>
                  </w:r>
                </w:p>
              </w:tc>
              <w:tc>
                <w:tcPr>
                  <w:tcW w:w="650" w:type="pct"/>
                  <w:noWrap w:val="0"/>
                  <w:vAlign w:val="center"/>
                </w:tcPr>
                <w:p w14:paraId="4A7CF7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盐炙</w:t>
                  </w:r>
                </w:p>
              </w:tc>
            </w:tr>
            <w:tr w14:paraId="75D3E0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671" w:type="pct"/>
                  <w:vMerge w:val="continue"/>
                  <w:noWrap w:val="0"/>
                  <w:vAlign w:val="center"/>
                </w:tcPr>
                <w:p w14:paraId="70BA16F7">
                  <w:pPr>
                    <w:keepNext w:val="0"/>
                    <w:keepLines w:val="0"/>
                    <w:pageBreakBefore w:val="0"/>
                    <w:widowControl w:val="0"/>
                    <w:suppressLineNumbers w:val="0"/>
                    <w:kinsoku/>
                    <w:wordWrap/>
                    <w:overflowPunct/>
                    <w:topLinePunct w:val="0"/>
                    <w:autoSpaceDE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lang w:val="en-US" w:eastAsia="zh-CN" w:bidi="ar"/>
                    </w:rPr>
                  </w:pPr>
                </w:p>
              </w:tc>
              <w:tc>
                <w:tcPr>
                  <w:tcW w:w="1036" w:type="pct"/>
                  <w:noWrap w:val="0"/>
                  <w:vAlign w:val="center"/>
                </w:tcPr>
                <w:p w14:paraId="6333665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黄酒</w:t>
                  </w:r>
                </w:p>
              </w:tc>
              <w:tc>
                <w:tcPr>
                  <w:tcW w:w="672" w:type="pct"/>
                  <w:shd w:val="clear" w:color="auto" w:fill="auto"/>
                  <w:noWrap w:val="0"/>
                  <w:vAlign w:val="center"/>
                </w:tcPr>
                <w:p w14:paraId="2E81F62B">
                  <w:pPr>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pacing w:val="8"/>
                      <w:kern w:val="24"/>
                      <w:sz w:val="21"/>
                      <w:szCs w:val="21"/>
                      <w:u w:val="none"/>
                      <w:lang w:val="en-US" w:eastAsia="zh-CN" w:bidi="ar-SA"/>
                    </w:rPr>
                  </w:pPr>
                  <w:r>
                    <w:rPr>
                      <w:rFonts w:hint="eastAsia" w:ascii="Times New Roman" w:hAnsi="Times New Roman" w:cs="Times New Roman"/>
                      <w:color w:val="auto"/>
                      <w:kern w:val="2"/>
                      <w:sz w:val="21"/>
                      <w:szCs w:val="21"/>
                      <w:lang w:val="en-US" w:eastAsia="zh-CN" w:bidi="ar"/>
                    </w:rPr>
                    <w:t>吨/年</w:t>
                  </w:r>
                </w:p>
              </w:tc>
              <w:tc>
                <w:tcPr>
                  <w:tcW w:w="577" w:type="pct"/>
                  <w:noWrap w:val="0"/>
                  <w:vAlign w:val="center"/>
                </w:tcPr>
                <w:p w14:paraId="0602A0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color w:val="auto"/>
                      <w:kern w:val="2"/>
                      <w:sz w:val="21"/>
                      <w:szCs w:val="21"/>
                      <w:lang w:val="en-US" w:eastAsia="zh-CN" w:bidi="ar"/>
                    </w:rPr>
                  </w:pPr>
                  <w:r>
                    <w:rPr>
                      <w:rFonts w:hint="eastAsia" w:cs="Times New Roman"/>
                      <w:color w:val="auto"/>
                      <w:kern w:val="2"/>
                      <w:sz w:val="21"/>
                      <w:szCs w:val="21"/>
                      <w:lang w:val="en-US" w:eastAsia="zh-CN" w:bidi="ar"/>
                    </w:rPr>
                    <w:t>10</w:t>
                  </w:r>
                </w:p>
              </w:tc>
              <w:tc>
                <w:tcPr>
                  <w:tcW w:w="797" w:type="pct"/>
                  <w:noWrap w:val="0"/>
                  <w:vAlign w:val="center"/>
                </w:tcPr>
                <w:p w14:paraId="518E8A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5KG/壶</w:t>
                  </w:r>
                </w:p>
              </w:tc>
              <w:tc>
                <w:tcPr>
                  <w:tcW w:w="592" w:type="pct"/>
                  <w:noWrap w:val="0"/>
                  <w:vAlign w:val="center"/>
                </w:tcPr>
                <w:p w14:paraId="387298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1</w:t>
                  </w:r>
                </w:p>
              </w:tc>
              <w:tc>
                <w:tcPr>
                  <w:tcW w:w="650" w:type="pct"/>
                  <w:noWrap w:val="0"/>
                  <w:vAlign w:val="center"/>
                </w:tcPr>
                <w:p w14:paraId="1394DC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酒炙</w:t>
                  </w:r>
                </w:p>
              </w:tc>
            </w:tr>
            <w:tr w14:paraId="28E18F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671" w:type="pct"/>
                  <w:vMerge w:val="continue"/>
                  <w:noWrap w:val="0"/>
                  <w:vAlign w:val="center"/>
                </w:tcPr>
                <w:p w14:paraId="622858C6">
                  <w:pPr>
                    <w:keepNext w:val="0"/>
                    <w:keepLines w:val="0"/>
                    <w:pageBreakBefore w:val="0"/>
                    <w:widowControl w:val="0"/>
                    <w:suppressLineNumbers w:val="0"/>
                    <w:kinsoku/>
                    <w:wordWrap/>
                    <w:overflowPunct/>
                    <w:topLinePunct w:val="0"/>
                    <w:autoSpaceDE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lang w:bidi="ar"/>
                    </w:rPr>
                  </w:pPr>
                </w:p>
              </w:tc>
              <w:tc>
                <w:tcPr>
                  <w:tcW w:w="1036" w:type="pct"/>
                  <w:noWrap w:val="0"/>
                  <w:vAlign w:val="center"/>
                </w:tcPr>
                <w:p w14:paraId="236D8E1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麦麸</w:t>
                  </w:r>
                </w:p>
              </w:tc>
              <w:tc>
                <w:tcPr>
                  <w:tcW w:w="672" w:type="pct"/>
                  <w:shd w:val="clear" w:color="auto" w:fill="auto"/>
                  <w:noWrap w:val="0"/>
                  <w:vAlign w:val="center"/>
                </w:tcPr>
                <w:p w14:paraId="5237ECA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吨/年</w:t>
                  </w:r>
                </w:p>
              </w:tc>
              <w:tc>
                <w:tcPr>
                  <w:tcW w:w="577" w:type="pct"/>
                  <w:noWrap w:val="0"/>
                  <w:vAlign w:val="center"/>
                </w:tcPr>
                <w:p w14:paraId="07F8ED9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797" w:type="pct"/>
                  <w:noWrap w:val="0"/>
                  <w:vAlign w:val="center"/>
                </w:tcPr>
                <w:p w14:paraId="3309DA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50KG/袋</w:t>
                  </w:r>
                </w:p>
              </w:tc>
              <w:tc>
                <w:tcPr>
                  <w:tcW w:w="592" w:type="pct"/>
                  <w:noWrap w:val="0"/>
                  <w:vAlign w:val="center"/>
                </w:tcPr>
                <w:p w14:paraId="3435C3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1</w:t>
                  </w:r>
                </w:p>
              </w:tc>
              <w:tc>
                <w:tcPr>
                  <w:tcW w:w="650" w:type="pct"/>
                  <w:noWrap w:val="0"/>
                  <w:vAlign w:val="center"/>
                </w:tcPr>
                <w:p w14:paraId="5B2C5B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麸炒</w:t>
                  </w:r>
                </w:p>
              </w:tc>
            </w:tr>
            <w:tr w14:paraId="028E48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671" w:type="pct"/>
                  <w:noWrap w:val="0"/>
                  <w:vAlign w:val="center"/>
                </w:tcPr>
                <w:p w14:paraId="35689E6A">
                  <w:pPr>
                    <w:keepNext w:val="0"/>
                    <w:keepLines w:val="0"/>
                    <w:pageBreakBefore w:val="0"/>
                    <w:widowControl w:val="0"/>
                    <w:suppressLineNumbers w:val="0"/>
                    <w:kinsoku/>
                    <w:wordWrap/>
                    <w:overflowPunct/>
                    <w:topLinePunct w:val="0"/>
                    <w:autoSpaceDE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bidi="ar"/>
                    </w:rPr>
                  </w:pPr>
                  <w:r>
                    <w:rPr>
                      <w:rFonts w:hint="eastAsia" w:cs="Times New Roman"/>
                      <w:color w:val="auto"/>
                      <w:sz w:val="21"/>
                      <w:szCs w:val="21"/>
                      <w:lang w:val="en-US" w:eastAsia="zh-CN" w:bidi="ar"/>
                    </w:rPr>
                    <w:t>口服类中药饮片</w:t>
                  </w:r>
                </w:p>
              </w:tc>
              <w:tc>
                <w:tcPr>
                  <w:tcW w:w="1036" w:type="pct"/>
                  <w:noWrap w:val="0"/>
                  <w:vAlign w:val="center"/>
                </w:tcPr>
                <w:p w14:paraId="6B6E257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三七</w:t>
                  </w:r>
                </w:p>
              </w:tc>
              <w:tc>
                <w:tcPr>
                  <w:tcW w:w="672" w:type="pct"/>
                  <w:shd w:val="clear" w:color="auto" w:fill="auto"/>
                  <w:noWrap w:val="0"/>
                  <w:vAlign w:val="center"/>
                </w:tcPr>
                <w:p w14:paraId="0AD6D33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吨/年</w:t>
                  </w:r>
                </w:p>
              </w:tc>
              <w:tc>
                <w:tcPr>
                  <w:tcW w:w="577" w:type="pct"/>
                  <w:noWrap w:val="0"/>
                  <w:vAlign w:val="center"/>
                </w:tcPr>
                <w:p w14:paraId="6867F7E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w:t>
                  </w:r>
                </w:p>
              </w:tc>
              <w:tc>
                <w:tcPr>
                  <w:tcW w:w="797" w:type="pct"/>
                  <w:shd w:val="clear" w:color="auto" w:fill="auto"/>
                  <w:noWrap w:val="0"/>
                  <w:vAlign w:val="center"/>
                </w:tcPr>
                <w:p w14:paraId="6CFA9D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50KG/袋</w:t>
                  </w:r>
                </w:p>
              </w:tc>
              <w:tc>
                <w:tcPr>
                  <w:tcW w:w="592" w:type="pct"/>
                  <w:shd w:val="clear" w:color="auto" w:fill="auto"/>
                  <w:noWrap w:val="0"/>
                  <w:vAlign w:val="center"/>
                </w:tcPr>
                <w:p w14:paraId="73E615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1</w:t>
                  </w:r>
                </w:p>
              </w:tc>
              <w:tc>
                <w:tcPr>
                  <w:tcW w:w="650" w:type="pct"/>
                  <w:shd w:val="clear" w:color="auto" w:fill="auto"/>
                  <w:noWrap w:val="0"/>
                  <w:vAlign w:val="center"/>
                </w:tcPr>
                <w:p w14:paraId="62B5A4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w:t>
                  </w:r>
                </w:p>
              </w:tc>
            </w:tr>
            <w:tr w14:paraId="05F25F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671" w:type="pct"/>
                  <w:vMerge w:val="restart"/>
                  <w:noWrap w:val="0"/>
                  <w:vAlign w:val="center"/>
                </w:tcPr>
                <w:p w14:paraId="5CBAFC4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保健</w:t>
                  </w:r>
                  <w:r>
                    <w:rPr>
                      <w:rFonts w:hint="eastAsia" w:cs="Times New Roman"/>
                      <w:color w:val="auto"/>
                      <w:kern w:val="0"/>
                      <w:sz w:val="21"/>
                      <w:szCs w:val="21"/>
                      <w:highlight w:val="none"/>
                      <w:lang w:val="en-US" w:eastAsia="zh-CN"/>
                    </w:rPr>
                    <w:t>食品</w:t>
                  </w:r>
                  <w:r>
                    <w:rPr>
                      <w:rFonts w:hint="eastAsia" w:ascii="Times New Roman" w:hAnsi="Times New Roman" w:cs="Times New Roman"/>
                      <w:color w:val="auto"/>
                      <w:kern w:val="0"/>
                      <w:sz w:val="21"/>
                      <w:szCs w:val="21"/>
                      <w:highlight w:val="none"/>
                      <w:lang w:val="en-US" w:eastAsia="zh-CN"/>
                    </w:rPr>
                    <w:t>类</w:t>
                  </w:r>
                </w:p>
              </w:tc>
              <w:tc>
                <w:tcPr>
                  <w:tcW w:w="1036" w:type="pct"/>
                  <w:noWrap w:val="0"/>
                  <w:vAlign w:val="center"/>
                </w:tcPr>
                <w:p w14:paraId="5ECFD3D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硒</w:t>
                  </w:r>
                </w:p>
              </w:tc>
              <w:tc>
                <w:tcPr>
                  <w:tcW w:w="672" w:type="pct"/>
                  <w:shd w:val="clear" w:color="auto" w:fill="auto"/>
                  <w:noWrap w:val="0"/>
                  <w:vAlign w:val="center"/>
                </w:tcPr>
                <w:p w14:paraId="7D2834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吨/年</w:t>
                  </w:r>
                </w:p>
              </w:tc>
              <w:tc>
                <w:tcPr>
                  <w:tcW w:w="577" w:type="pct"/>
                  <w:noWrap w:val="0"/>
                  <w:vAlign w:val="center"/>
                </w:tcPr>
                <w:p w14:paraId="3B5089C0">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kern w:val="2"/>
                      <w:sz w:val="21"/>
                      <w:szCs w:val="21"/>
                      <w:u w:val="none"/>
                      <w:lang w:val="en-US" w:eastAsia="zh-CN" w:bidi="ar"/>
                    </w:rPr>
                  </w:pPr>
                  <w:r>
                    <w:rPr>
                      <w:rFonts w:hint="eastAsia" w:ascii="Times New Roman" w:hAnsi="Times New Roman" w:cs="Times New Roman"/>
                      <w:b w:val="0"/>
                      <w:bCs w:val="0"/>
                      <w:color w:val="auto"/>
                      <w:kern w:val="2"/>
                      <w:sz w:val="21"/>
                      <w:szCs w:val="21"/>
                      <w:u w:val="none"/>
                      <w:lang w:val="en-US" w:eastAsia="zh-CN" w:bidi="ar"/>
                    </w:rPr>
                    <w:t>2000</w:t>
                  </w:r>
                </w:p>
              </w:tc>
              <w:tc>
                <w:tcPr>
                  <w:tcW w:w="797" w:type="pct"/>
                  <w:noWrap w:val="0"/>
                  <w:vAlign w:val="center"/>
                </w:tcPr>
                <w:p w14:paraId="328D86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50KG/袋</w:t>
                  </w:r>
                </w:p>
              </w:tc>
              <w:tc>
                <w:tcPr>
                  <w:tcW w:w="592" w:type="pct"/>
                  <w:noWrap w:val="0"/>
                  <w:vAlign w:val="center"/>
                </w:tcPr>
                <w:p w14:paraId="0DCB05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kern w:val="2"/>
                      <w:sz w:val="21"/>
                      <w:szCs w:val="21"/>
                      <w:lang w:val="en-US" w:eastAsia="zh-CN" w:bidi="ar"/>
                    </w:rPr>
                  </w:pPr>
                  <w:r>
                    <w:rPr>
                      <w:rFonts w:hint="eastAsia" w:cs="Times New Roman"/>
                      <w:color w:val="auto"/>
                      <w:kern w:val="2"/>
                      <w:sz w:val="21"/>
                      <w:szCs w:val="21"/>
                      <w:lang w:val="en-US" w:eastAsia="zh-CN" w:bidi="ar"/>
                    </w:rPr>
                    <w:t>20</w:t>
                  </w:r>
                </w:p>
              </w:tc>
              <w:tc>
                <w:tcPr>
                  <w:tcW w:w="650" w:type="pct"/>
                  <w:noWrap w:val="0"/>
                  <w:vAlign w:val="center"/>
                </w:tcPr>
                <w:p w14:paraId="156F74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shd w:val="clear" w:color="auto" w:fill="FFFFFF"/>
                      <w:lang w:val="en-US" w:eastAsia="zh-CN"/>
                    </w:rPr>
                  </w:pPr>
                  <w:r>
                    <w:rPr>
                      <w:rFonts w:hint="eastAsia" w:ascii="Times New Roman" w:hAnsi="Times New Roman" w:cs="Times New Roman"/>
                      <w:b w:val="0"/>
                      <w:bCs w:val="0"/>
                      <w:color w:val="auto"/>
                      <w:sz w:val="21"/>
                      <w:szCs w:val="21"/>
                      <w:lang w:val="en-US" w:eastAsia="zh-CN"/>
                    </w:rPr>
                    <w:t>/</w:t>
                  </w:r>
                </w:p>
              </w:tc>
            </w:tr>
            <w:tr w14:paraId="2FA67D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671" w:type="pct"/>
                  <w:vMerge w:val="continue"/>
                  <w:noWrap w:val="0"/>
                  <w:vAlign w:val="center"/>
                </w:tcPr>
                <w:p w14:paraId="0887ABB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036" w:type="pct"/>
                  <w:noWrap w:val="0"/>
                  <w:vAlign w:val="center"/>
                </w:tcPr>
                <w:p w14:paraId="6861E3F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β</w:t>
                  </w:r>
                  <w:r>
                    <w:rPr>
                      <w:rFonts w:hint="eastAsia" w:ascii="Times New Roman" w:hAnsi="Times New Roman" w:eastAsia="宋体" w:cs="Times New Roman"/>
                      <w:color w:val="auto"/>
                      <w:kern w:val="0"/>
                      <w:sz w:val="21"/>
                      <w:szCs w:val="21"/>
                      <w:highlight w:val="none"/>
                      <w:lang w:val="en-US" w:eastAsia="zh-CN"/>
                    </w:rPr>
                    <w:t>-环糊精</w:t>
                  </w:r>
                </w:p>
              </w:tc>
              <w:tc>
                <w:tcPr>
                  <w:tcW w:w="672" w:type="pct"/>
                  <w:shd w:val="clear" w:color="auto" w:fill="auto"/>
                  <w:noWrap w:val="0"/>
                  <w:vAlign w:val="center"/>
                </w:tcPr>
                <w:p w14:paraId="4A8171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pacing w:val="8"/>
                      <w:kern w:val="24"/>
                      <w:sz w:val="21"/>
                      <w:szCs w:val="21"/>
                      <w:lang w:val="en-US" w:eastAsia="zh-CN" w:bidi="ar-SA"/>
                    </w:rPr>
                  </w:pPr>
                  <w:r>
                    <w:rPr>
                      <w:rFonts w:hint="eastAsia" w:ascii="Times New Roman" w:hAnsi="Times New Roman" w:cs="Times New Roman"/>
                      <w:color w:val="auto"/>
                      <w:kern w:val="2"/>
                      <w:sz w:val="21"/>
                      <w:szCs w:val="21"/>
                      <w:lang w:val="en-US" w:eastAsia="zh-CN" w:bidi="ar"/>
                    </w:rPr>
                    <w:t>吨/年</w:t>
                  </w:r>
                </w:p>
              </w:tc>
              <w:tc>
                <w:tcPr>
                  <w:tcW w:w="577" w:type="pct"/>
                  <w:noWrap w:val="0"/>
                  <w:vAlign w:val="center"/>
                </w:tcPr>
                <w:p w14:paraId="68685933">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kern w:val="2"/>
                      <w:sz w:val="21"/>
                      <w:szCs w:val="21"/>
                      <w:u w:val="none"/>
                      <w:lang w:val="en-US" w:eastAsia="zh-CN" w:bidi="ar"/>
                    </w:rPr>
                  </w:pPr>
                  <w:r>
                    <w:rPr>
                      <w:rFonts w:hint="eastAsia" w:ascii="Times New Roman" w:hAnsi="Times New Roman" w:cs="Times New Roman"/>
                      <w:b w:val="0"/>
                      <w:bCs w:val="0"/>
                      <w:color w:val="auto"/>
                      <w:kern w:val="2"/>
                      <w:sz w:val="21"/>
                      <w:szCs w:val="21"/>
                      <w:u w:val="none"/>
                      <w:lang w:val="en-US" w:eastAsia="zh-CN" w:bidi="ar"/>
                    </w:rPr>
                    <w:t>23</w:t>
                  </w:r>
                </w:p>
              </w:tc>
              <w:tc>
                <w:tcPr>
                  <w:tcW w:w="797" w:type="pct"/>
                  <w:noWrap w:val="0"/>
                  <w:vAlign w:val="center"/>
                </w:tcPr>
                <w:p w14:paraId="2C0D05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50KG/袋</w:t>
                  </w:r>
                </w:p>
              </w:tc>
              <w:tc>
                <w:tcPr>
                  <w:tcW w:w="592" w:type="pct"/>
                  <w:noWrap w:val="0"/>
                  <w:vAlign w:val="center"/>
                </w:tcPr>
                <w:p w14:paraId="028C36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2</w:t>
                  </w:r>
                </w:p>
              </w:tc>
              <w:tc>
                <w:tcPr>
                  <w:tcW w:w="650" w:type="pct"/>
                  <w:noWrap w:val="0"/>
                  <w:vAlign w:val="center"/>
                </w:tcPr>
                <w:p w14:paraId="1871FC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shd w:val="clear" w:color="auto" w:fill="FFFFFF"/>
                      <w:lang w:val="en-US" w:eastAsia="zh-CN"/>
                    </w:rPr>
                  </w:pPr>
                  <w:r>
                    <w:rPr>
                      <w:rFonts w:hint="eastAsia" w:ascii="Times New Roman" w:hAnsi="Times New Roman" w:cs="Times New Roman"/>
                      <w:color w:val="auto"/>
                      <w:sz w:val="21"/>
                      <w:szCs w:val="21"/>
                      <w:shd w:val="clear" w:color="auto" w:fill="FFFFFF"/>
                      <w:lang w:val="en-US" w:eastAsia="zh-CN"/>
                    </w:rPr>
                    <w:t>预混辅料</w:t>
                  </w:r>
                </w:p>
              </w:tc>
            </w:tr>
            <w:tr w14:paraId="560D90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671" w:type="pct"/>
                  <w:vMerge w:val="continue"/>
                  <w:noWrap w:val="0"/>
                  <w:vAlign w:val="center"/>
                </w:tcPr>
                <w:p w14:paraId="3798510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p>
              </w:tc>
              <w:tc>
                <w:tcPr>
                  <w:tcW w:w="1036" w:type="pct"/>
                  <w:noWrap w:val="0"/>
                  <w:vAlign w:val="center"/>
                </w:tcPr>
                <w:p w14:paraId="0B44AC0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羧甲基淀粉钠</w:t>
                  </w:r>
                </w:p>
              </w:tc>
              <w:tc>
                <w:tcPr>
                  <w:tcW w:w="672" w:type="pct"/>
                  <w:shd w:val="clear" w:color="auto" w:fill="auto"/>
                  <w:noWrap w:val="0"/>
                  <w:vAlign w:val="center"/>
                </w:tcPr>
                <w:p w14:paraId="6C637DF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eastAsiaTheme="minorEastAsia"/>
                      <w:color w:val="auto"/>
                      <w:spacing w:val="8"/>
                      <w:kern w:val="24"/>
                      <w:sz w:val="21"/>
                      <w:szCs w:val="21"/>
                      <w:lang w:val="en-US" w:eastAsia="zh-CN" w:bidi="ar-SA"/>
                    </w:rPr>
                  </w:pPr>
                  <w:r>
                    <w:rPr>
                      <w:rFonts w:hint="eastAsia" w:ascii="Times New Roman" w:hAnsi="Times New Roman" w:cs="Times New Roman"/>
                      <w:color w:val="auto"/>
                      <w:kern w:val="2"/>
                      <w:sz w:val="21"/>
                      <w:szCs w:val="21"/>
                      <w:lang w:val="en-US" w:eastAsia="zh-CN" w:bidi="ar"/>
                    </w:rPr>
                    <w:t>吨/年</w:t>
                  </w:r>
                </w:p>
              </w:tc>
              <w:tc>
                <w:tcPr>
                  <w:tcW w:w="577" w:type="pct"/>
                  <w:noWrap w:val="0"/>
                  <w:vAlign w:val="center"/>
                </w:tcPr>
                <w:p w14:paraId="35428C4F">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u w:val="none"/>
                      <w:lang w:val="en-US" w:eastAsia="zh-CN" w:bidi="ar"/>
                    </w:rPr>
                  </w:pPr>
                  <w:r>
                    <w:rPr>
                      <w:rFonts w:hint="eastAsia" w:ascii="Times New Roman" w:hAnsi="Times New Roman" w:eastAsia="宋体" w:cs="Times New Roman"/>
                      <w:b w:val="0"/>
                      <w:bCs w:val="0"/>
                      <w:color w:val="auto"/>
                      <w:kern w:val="2"/>
                      <w:sz w:val="21"/>
                      <w:szCs w:val="21"/>
                      <w:u w:val="none"/>
                      <w:lang w:val="en-US" w:eastAsia="zh-CN" w:bidi="ar"/>
                    </w:rPr>
                    <w:t>80</w:t>
                  </w:r>
                </w:p>
              </w:tc>
              <w:tc>
                <w:tcPr>
                  <w:tcW w:w="797" w:type="pct"/>
                  <w:noWrap w:val="0"/>
                  <w:vAlign w:val="center"/>
                </w:tcPr>
                <w:p w14:paraId="379C52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50KG/袋</w:t>
                  </w:r>
                </w:p>
              </w:tc>
              <w:tc>
                <w:tcPr>
                  <w:tcW w:w="592" w:type="pct"/>
                  <w:noWrap w:val="0"/>
                  <w:vAlign w:val="center"/>
                </w:tcPr>
                <w:p w14:paraId="49148F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8</w:t>
                  </w:r>
                </w:p>
              </w:tc>
              <w:tc>
                <w:tcPr>
                  <w:tcW w:w="650" w:type="pct"/>
                  <w:noWrap w:val="0"/>
                  <w:vAlign w:val="center"/>
                </w:tcPr>
                <w:p w14:paraId="79745C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shd w:val="clear" w:color="auto" w:fill="FFFFFF"/>
                      <w:lang w:val="en-US" w:eastAsia="zh-CN" w:bidi="ar-SA"/>
                    </w:rPr>
                  </w:pPr>
                  <w:r>
                    <w:rPr>
                      <w:rFonts w:hint="eastAsia" w:ascii="Times New Roman" w:hAnsi="Times New Roman" w:cs="Times New Roman"/>
                      <w:color w:val="auto"/>
                      <w:sz w:val="21"/>
                      <w:szCs w:val="21"/>
                      <w:shd w:val="clear" w:color="auto" w:fill="FFFFFF"/>
                      <w:lang w:val="en-US" w:eastAsia="zh-CN"/>
                    </w:rPr>
                    <w:t>预混辅料</w:t>
                  </w:r>
                </w:p>
              </w:tc>
            </w:tr>
            <w:tr w14:paraId="08F5E8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671" w:type="pct"/>
                  <w:vMerge w:val="continue"/>
                  <w:noWrap w:val="0"/>
                  <w:vAlign w:val="center"/>
                </w:tcPr>
                <w:p w14:paraId="19ED290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036" w:type="pct"/>
                  <w:noWrap w:val="0"/>
                  <w:vAlign w:val="center"/>
                </w:tcPr>
                <w:p w14:paraId="7026D69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二氧化硅</w:t>
                  </w:r>
                </w:p>
              </w:tc>
              <w:tc>
                <w:tcPr>
                  <w:tcW w:w="672" w:type="pct"/>
                  <w:shd w:val="clear" w:color="auto" w:fill="auto"/>
                  <w:noWrap w:val="0"/>
                  <w:vAlign w:val="center"/>
                </w:tcPr>
                <w:p w14:paraId="0305773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pacing w:val="8"/>
                      <w:kern w:val="24"/>
                      <w:sz w:val="21"/>
                      <w:szCs w:val="21"/>
                      <w:lang w:val="en-US" w:eastAsia="zh-CN" w:bidi="ar-SA"/>
                    </w:rPr>
                  </w:pPr>
                  <w:r>
                    <w:rPr>
                      <w:rFonts w:hint="eastAsia" w:ascii="Times New Roman" w:hAnsi="Times New Roman" w:cs="Times New Roman"/>
                      <w:color w:val="auto"/>
                      <w:kern w:val="2"/>
                      <w:sz w:val="21"/>
                      <w:szCs w:val="21"/>
                      <w:lang w:val="en-US" w:eastAsia="zh-CN" w:bidi="ar"/>
                    </w:rPr>
                    <w:t>吨/年</w:t>
                  </w:r>
                </w:p>
              </w:tc>
              <w:tc>
                <w:tcPr>
                  <w:tcW w:w="577" w:type="pct"/>
                  <w:noWrap w:val="0"/>
                  <w:vAlign w:val="center"/>
                </w:tcPr>
                <w:p w14:paraId="6F8E22E1">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kern w:val="2"/>
                      <w:sz w:val="21"/>
                      <w:szCs w:val="21"/>
                      <w:u w:val="none"/>
                      <w:lang w:val="en-US" w:eastAsia="zh-CN" w:bidi="ar"/>
                    </w:rPr>
                  </w:pPr>
                  <w:r>
                    <w:rPr>
                      <w:rFonts w:hint="eastAsia" w:ascii="Times New Roman" w:hAnsi="Times New Roman" w:cs="Times New Roman"/>
                      <w:b w:val="0"/>
                      <w:bCs w:val="0"/>
                      <w:color w:val="auto"/>
                      <w:kern w:val="2"/>
                      <w:sz w:val="21"/>
                      <w:szCs w:val="21"/>
                      <w:u w:val="none"/>
                      <w:lang w:val="en-US" w:eastAsia="zh-CN" w:bidi="ar"/>
                    </w:rPr>
                    <w:t>20</w:t>
                  </w:r>
                </w:p>
              </w:tc>
              <w:tc>
                <w:tcPr>
                  <w:tcW w:w="797" w:type="pct"/>
                  <w:noWrap w:val="0"/>
                  <w:vAlign w:val="center"/>
                </w:tcPr>
                <w:p w14:paraId="43E49C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50KG/袋</w:t>
                  </w:r>
                </w:p>
              </w:tc>
              <w:tc>
                <w:tcPr>
                  <w:tcW w:w="592" w:type="pct"/>
                  <w:noWrap w:val="0"/>
                  <w:vAlign w:val="center"/>
                </w:tcPr>
                <w:p w14:paraId="43F95E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2</w:t>
                  </w:r>
                </w:p>
              </w:tc>
              <w:tc>
                <w:tcPr>
                  <w:tcW w:w="650" w:type="pct"/>
                  <w:noWrap w:val="0"/>
                  <w:vAlign w:val="center"/>
                </w:tcPr>
                <w:p w14:paraId="4C6442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shd w:val="clear" w:color="auto" w:fill="FFFFFF"/>
                      <w:lang w:val="en-US" w:eastAsia="zh-CN"/>
                    </w:rPr>
                  </w:pPr>
                  <w:r>
                    <w:rPr>
                      <w:rFonts w:hint="eastAsia" w:ascii="Times New Roman" w:hAnsi="Times New Roman" w:cs="Times New Roman"/>
                      <w:color w:val="auto"/>
                      <w:sz w:val="21"/>
                      <w:szCs w:val="21"/>
                      <w:shd w:val="clear" w:color="auto" w:fill="FFFFFF"/>
                      <w:lang w:val="en-US" w:eastAsia="zh-CN"/>
                    </w:rPr>
                    <w:t>预混辅料</w:t>
                  </w:r>
                </w:p>
              </w:tc>
            </w:tr>
            <w:tr w14:paraId="300533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671" w:type="pct"/>
                  <w:vMerge w:val="continue"/>
                  <w:noWrap w:val="0"/>
                  <w:vAlign w:val="center"/>
                </w:tcPr>
                <w:p w14:paraId="7C12F83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036" w:type="pct"/>
                  <w:noWrap w:val="0"/>
                  <w:vAlign w:val="center"/>
                </w:tcPr>
                <w:p w14:paraId="41F3EBB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聚维酮</w:t>
                  </w:r>
                </w:p>
              </w:tc>
              <w:tc>
                <w:tcPr>
                  <w:tcW w:w="672" w:type="pct"/>
                  <w:noWrap w:val="0"/>
                  <w:vAlign w:val="center"/>
                </w:tcPr>
                <w:p w14:paraId="094747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8"/>
                      <w:kern w:val="24"/>
                      <w:sz w:val="21"/>
                      <w:szCs w:val="21"/>
                      <w:lang w:val="en-US" w:eastAsia="zh-CN" w:bidi="ar-SA"/>
                    </w:rPr>
                  </w:pPr>
                  <w:r>
                    <w:rPr>
                      <w:rFonts w:hint="eastAsia" w:ascii="Times New Roman" w:hAnsi="Times New Roman" w:cs="Times New Roman"/>
                      <w:color w:val="auto"/>
                      <w:kern w:val="2"/>
                      <w:sz w:val="21"/>
                      <w:szCs w:val="21"/>
                      <w:lang w:val="en-US" w:eastAsia="zh-CN" w:bidi="ar"/>
                    </w:rPr>
                    <w:t>吨/年</w:t>
                  </w:r>
                </w:p>
              </w:tc>
              <w:tc>
                <w:tcPr>
                  <w:tcW w:w="577" w:type="pct"/>
                  <w:noWrap w:val="0"/>
                  <w:vAlign w:val="center"/>
                </w:tcPr>
                <w:p w14:paraId="525AE7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80</w:t>
                  </w:r>
                </w:p>
              </w:tc>
              <w:tc>
                <w:tcPr>
                  <w:tcW w:w="797" w:type="pct"/>
                  <w:noWrap w:val="0"/>
                  <w:vAlign w:val="center"/>
                </w:tcPr>
                <w:p w14:paraId="5A43DE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50KG/袋</w:t>
                  </w:r>
                </w:p>
              </w:tc>
              <w:tc>
                <w:tcPr>
                  <w:tcW w:w="592" w:type="pct"/>
                  <w:noWrap w:val="0"/>
                  <w:vAlign w:val="center"/>
                </w:tcPr>
                <w:p w14:paraId="3370D7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8</w:t>
                  </w:r>
                </w:p>
              </w:tc>
              <w:tc>
                <w:tcPr>
                  <w:tcW w:w="650" w:type="pct"/>
                  <w:noWrap w:val="0"/>
                  <w:vAlign w:val="center"/>
                </w:tcPr>
                <w:p w14:paraId="7BB4AF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color w:val="auto"/>
                      <w:sz w:val="21"/>
                      <w:szCs w:val="21"/>
                      <w:shd w:val="clear" w:color="auto" w:fill="FFFFFF"/>
                      <w:lang w:val="en-US" w:eastAsia="zh-CN"/>
                    </w:rPr>
                    <w:t>预混辅料</w:t>
                  </w:r>
                </w:p>
              </w:tc>
            </w:tr>
            <w:tr w14:paraId="10869F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1" w:type="pct"/>
                  <w:vMerge w:val="continue"/>
                  <w:noWrap w:val="0"/>
                  <w:vAlign w:val="center"/>
                </w:tcPr>
                <w:p w14:paraId="3BC31A1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1036" w:type="pct"/>
                  <w:noWrap w:val="0"/>
                  <w:vAlign w:val="center"/>
                </w:tcPr>
                <w:p w14:paraId="0935E00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微晶纤维素</w:t>
                  </w:r>
                </w:p>
              </w:tc>
              <w:tc>
                <w:tcPr>
                  <w:tcW w:w="672" w:type="pct"/>
                  <w:noWrap w:val="0"/>
                  <w:vAlign w:val="center"/>
                </w:tcPr>
                <w:p w14:paraId="5883E3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pacing w:val="8"/>
                      <w:kern w:val="24"/>
                      <w:sz w:val="21"/>
                      <w:szCs w:val="21"/>
                      <w:lang w:val="en-US" w:eastAsia="zh-CN" w:bidi="ar-SA"/>
                    </w:rPr>
                  </w:pPr>
                  <w:r>
                    <w:rPr>
                      <w:rFonts w:hint="eastAsia" w:ascii="Times New Roman" w:hAnsi="Times New Roman" w:cs="Times New Roman"/>
                      <w:color w:val="auto"/>
                      <w:kern w:val="2"/>
                      <w:sz w:val="21"/>
                      <w:szCs w:val="21"/>
                      <w:lang w:val="en-US" w:eastAsia="zh-CN" w:bidi="ar"/>
                    </w:rPr>
                    <w:t>吨/年</w:t>
                  </w:r>
                </w:p>
              </w:tc>
              <w:tc>
                <w:tcPr>
                  <w:tcW w:w="577" w:type="pct"/>
                  <w:noWrap w:val="0"/>
                  <w:vAlign w:val="center"/>
                </w:tcPr>
                <w:p w14:paraId="5E30CF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818</w:t>
                  </w:r>
                </w:p>
              </w:tc>
              <w:tc>
                <w:tcPr>
                  <w:tcW w:w="797" w:type="pct"/>
                  <w:noWrap w:val="0"/>
                  <w:vAlign w:val="center"/>
                </w:tcPr>
                <w:p w14:paraId="7EC0CE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50KG/袋</w:t>
                  </w:r>
                </w:p>
              </w:tc>
              <w:tc>
                <w:tcPr>
                  <w:tcW w:w="592" w:type="pct"/>
                  <w:noWrap w:val="0"/>
                  <w:vAlign w:val="center"/>
                </w:tcPr>
                <w:p w14:paraId="7FDF5C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50</w:t>
                  </w:r>
                </w:p>
              </w:tc>
              <w:tc>
                <w:tcPr>
                  <w:tcW w:w="650" w:type="pct"/>
                  <w:noWrap w:val="0"/>
                  <w:vAlign w:val="center"/>
                </w:tcPr>
                <w:p w14:paraId="568997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color w:val="auto"/>
                      <w:sz w:val="21"/>
                      <w:szCs w:val="21"/>
                      <w:shd w:val="clear" w:color="auto" w:fill="FFFFFF"/>
                      <w:lang w:val="en-US" w:eastAsia="zh-CN"/>
                    </w:rPr>
                    <w:t>预混辅料</w:t>
                  </w:r>
                </w:p>
              </w:tc>
            </w:tr>
            <w:tr w14:paraId="70351F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1" w:type="pct"/>
                  <w:vMerge w:val="continue"/>
                  <w:noWrap w:val="0"/>
                  <w:vAlign w:val="center"/>
                </w:tcPr>
                <w:p w14:paraId="4CC55BD9">
                  <w:pPr>
                    <w:keepNext w:val="0"/>
                    <w:keepLines w:val="0"/>
                    <w:pageBreakBefore w:val="0"/>
                    <w:widowControl w:val="0"/>
                    <w:suppressLineNumbers w:val="0"/>
                    <w:kinsoku/>
                    <w:wordWrap/>
                    <w:overflowPunct/>
                    <w:topLinePunct w:val="0"/>
                    <w:autoSpaceDE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lang w:bidi="ar"/>
                    </w:rPr>
                  </w:pPr>
                </w:p>
              </w:tc>
              <w:tc>
                <w:tcPr>
                  <w:tcW w:w="1036" w:type="pct"/>
                  <w:noWrap w:val="0"/>
                  <w:vAlign w:val="center"/>
                </w:tcPr>
                <w:p w14:paraId="431B5DB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硬脂酸镁</w:t>
                  </w:r>
                </w:p>
              </w:tc>
              <w:tc>
                <w:tcPr>
                  <w:tcW w:w="672" w:type="pct"/>
                  <w:noWrap w:val="0"/>
                  <w:vAlign w:val="center"/>
                </w:tcPr>
                <w:p w14:paraId="32341C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pacing w:val="8"/>
                      <w:kern w:val="24"/>
                      <w:sz w:val="21"/>
                      <w:szCs w:val="21"/>
                      <w:lang w:val="en-US" w:eastAsia="zh-CN" w:bidi="ar-SA"/>
                    </w:rPr>
                  </w:pPr>
                  <w:r>
                    <w:rPr>
                      <w:rFonts w:hint="eastAsia" w:ascii="Times New Roman" w:hAnsi="Times New Roman" w:cs="Times New Roman"/>
                      <w:color w:val="auto"/>
                      <w:kern w:val="2"/>
                      <w:sz w:val="21"/>
                      <w:szCs w:val="21"/>
                      <w:lang w:val="en-US" w:eastAsia="zh-CN" w:bidi="ar"/>
                    </w:rPr>
                    <w:t>吨/年</w:t>
                  </w:r>
                </w:p>
              </w:tc>
              <w:tc>
                <w:tcPr>
                  <w:tcW w:w="577" w:type="pct"/>
                  <w:noWrap w:val="0"/>
                  <w:vAlign w:val="center"/>
                </w:tcPr>
                <w:p w14:paraId="22EC43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10</w:t>
                  </w:r>
                </w:p>
              </w:tc>
              <w:tc>
                <w:tcPr>
                  <w:tcW w:w="797" w:type="pct"/>
                  <w:noWrap w:val="0"/>
                  <w:vAlign w:val="center"/>
                </w:tcPr>
                <w:p w14:paraId="64D41E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50KG/袋</w:t>
                  </w:r>
                </w:p>
              </w:tc>
              <w:tc>
                <w:tcPr>
                  <w:tcW w:w="592" w:type="pct"/>
                  <w:noWrap w:val="0"/>
                  <w:vAlign w:val="center"/>
                </w:tcPr>
                <w:p w14:paraId="259BA2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w:t>
                  </w:r>
                </w:p>
              </w:tc>
              <w:tc>
                <w:tcPr>
                  <w:tcW w:w="650" w:type="pct"/>
                  <w:noWrap w:val="0"/>
                  <w:vAlign w:val="center"/>
                </w:tcPr>
                <w:p w14:paraId="31CFED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color w:val="auto"/>
                      <w:sz w:val="21"/>
                      <w:szCs w:val="21"/>
                      <w:shd w:val="clear" w:color="auto" w:fill="FFFFFF"/>
                      <w:lang w:val="en-US" w:eastAsia="zh-CN"/>
                    </w:rPr>
                    <w:t>预混辅料</w:t>
                  </w:r>
                </w:p>
              </w:tc>
            </w:tr>
            <w:tr w14:paraId="6CBBF4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1" w:type="pct"/>
                  <w:vMerge w:val="continue"/>
                  <w:noWrap w:val="0"/>
                  <w:vAlign w:val="center"/>
                </w:tcPr>
                <w:p w14:paraId="51F3780E">
                  <w:pPr>
                    <w:keepNext w:val="0"/>
                    <w:keepLines w:val="0"/>
                    <w:pageBreakBefore w:val="0"/>
                    <w:widowControl w:val="0"/>
                    <w:suppressLineNumbers w:val="0"/>
                    <w:kinsoku/>
                    <w:wordWrap/>
                    <w:overflowPunct/>
                    <w:topLinePunct w:val="0"/>
                    <w:autoSpaceDE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lang w:bidi="ar"/>
                    </w:rPr>
                  </w:pPr>
                </w:p>
              </w:tc>
              <w:tc>
                <w:tcPr>
                  <w:tcW w:w="1036" w:type="pct"/>
                  <w:noWrap w:val="0"/>
                  <w:vAlign w:val="center"/>
                </w:tcPr>
                <w:p w14:paraId="48CDED6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预胶化淀粉</w:t>
                  </w:r>
                </w:p>
              </w:tc>
              <w:tc>
                <w:tcPr>
                  <w:tcW w:w="672" w:type="pct"/>
                  <w:noWrap w:val="0"/>
                  <w:vAlign w:val="center"/>
                </w:tcPr>
                <w:p w14:paraId="7C59DF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吨/年</w:t>
                  </w:r>
                </w:p>
              </w:tc>
              <w:tc>
                <w:tcPr>
                  <w:tcW w:w="577" w:type="pct"/>
                  <w:noWrap w:val="0"/>
                  <w:vAlign w:val="center"/>
                </w:tcPr>
                <w:p w14:paraId="54D109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967</w:t>
                  </w:r>
                </w:p>
              </w:tc>
              <w:tc>
                <w:tcPr>
                  <w:tcW w:w="797" w:type="pct"/>
                  <w:noWrap w:val="0"/>
                  <w:vAlign w:val="center"/>
                </w:tcPr>
                <w:p w14:paraId="59B21B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50KG/袋</w:t>
                  </w:r>
                </w:p>
              </w:tc>
              <w:tc>
                <w:tcPr>
                  <w:tcW w:w="592" w:type="pct"/>
                  <w:noWrap w:val="0"/>
                  <w:vAlign w:val="center"/>
                </w:tcPr>
                <w:p w14:paraId="3028CA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50</w:t>
                  </w:r>
                </w:p>
              </w:tc>
              <w:tc>
                <w:tcPr>
                  <w:tcW w:w="650" w:type="pct"/>
                  <w:noWrap w:val="0"/>
                  <w:vAlign w:val="center"/>
                </w:tcPr>
                <w:p w14:paraId="006963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color w:val="auto"/>
                      <w:sz w:val="21"/>
                      <w:szCs w:val="21"/>
                      <w:shd w:val="clear" w:color="auto" w:fill="FFFFFF"/>
                      <w:lang w:val="en-US" w:eastAsia="zh-CN"/>
                    </w:rPr>
                    <w:t>预混辅料</w:t>
                  </w:r>
                </w:p>
              </w:tc>
            </w:tr>
            <w:tr w14:paraId="29B8B3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1" w:type="pct"/>
                  <w:vMerge w:val="restart"/>
                  <w:noWrap w:val="0"/>
                  <w:vAlign w:val="center"/>
                </w:tcPr>
                <w:p w14:paraId="58072B1F">
                  <w:pPr>
                    <w:keepNext w:val="0"/>
                    <w:keepLines w:val="0"/>
                    <w:pageBreakBefore w:val="0"/>
                    <w:widowControl w:val="0"/>
                    <w:suppressLineNumbers w:val="0"/>
                    <w:kinsoku/>
                    <w:wordWrap/>
                    <w:overflowPunct/>
                    <w:topLinePunct w:val="0"/>
                    <w:autoSpaceDE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bidi="ar"/>
                    </w:rPr>
                  </w:pPr>
                  <w:r>
                    <w:rPr>
                      <w:rFonts w:hint="eastAsia" w:cs="Times New Roman"/>
                      <w:color w:val="auto"/>
                      <w:sz w:val="21"/>
                      <w:szCs w:val="21"/>
                      <w:lang w:val="en-US" w:eastAsia="zh-CN" w:bidi="ar"/>
                    </w:rPr>
                    <w:t>质检实验试剂</w:t>
                  </w:r>
                </w:p>
              </w:tc>
              <w:tc>
                <w:tcPr>
                  <w:tcW w:w="1036" w:type="pct"/>
                  <w:noWrap w:val="0"/>
                  <w:vAlign w:val="center"/>
                </w:tcPr>
                <w:p w14:paraId="264E35F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盐酸</w:t>
                  </w:r>
                </w:p>
              </w:tc>
              <w:tc>
                <w:tcPr>
                  <w:tcW w:w="672" w:type="pct"/>
                  <w:noWrap w:val="0"/>
                  <w:vAlign w:val="center"/>
                </w:tcPr>
                <w:p w14:paraId="6A693E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吨/年</w:t>
                  </w:r>
                </w:p>
              </w:tc>
              <w:tc>
                <w:tcPr>
                  <w:tcW w:w="577" w:type="pct"/>
                  <w:noWrap w:val="0"/>
                  <w:vAlign w:val="center"/>
                </w:tcPr>
                <w:p w14:paraId="410FB5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lang w:val="en-US" w:eastAsia="zh-CN" w:bidi="ar"/>
                    </w:rPr>
                  </w:pPr>
                  <w:r>
                    <w:rPr>
                      <w:rFonts w:hint="eastAsia" w:cs="Times New Roman"/>
                      <w:color w:val="auto"/>
                      <w:kern w:val="2"/>
                      <w:sz w:val="21"/>
                      <w:szCs w:val="21"/>
                      <w:lang w:val="en-US" w:eastAsia="zh-CN" w:bidi="ar"/>
                    </w:rPr>
                    <w:t>0.1</w:t>
                  </w:r>
                </w:p>
              </w:tc>
              <w:tc>
                <w:tcPr>
                  <w:tcW w:w="797" w:type="pct"/>
                  <w:noWrap w:val="0"/>
                  <w:vAlign w:val="center"/>
                </w:tcPr>
                <w:p w14:paraId="42A100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lang w:val="en-US" w:eastAsia="zh-CN" w:bidi="ar"/>
                    </w:rPr>
                  </w:pPr>
                  <w:r>
                    <w:rPr>
                      <w:rFonts w:hint="eastAsia" w:cs="Times New Roman"/>
                      <w:color w:val="auto"/>
                      <w:kern w:val="2"/>
                      <w:sz w:val="21"/>
                      <w:szCs w:val="21"/>
                      <w:lang w:val="en-US" w:eastAsia="zh-CN" w:bidi="ar"/>
                    </w:rPr>
                    <w:t>500L/瓶</w:t>
                  </w:r>
                </w:p>
              </w:tc>
              <w:tc>
                <w:tcPr>
                  <w:tcW w:w="592" w:type="pct"/>
                  <w:noWrap w:val="0"/>
                  <w:vAlign w:val="center"/>
                </w:tcPr>
                <w:p w14:paraId="3A285F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0.002</w:t>
                  </w:r>
                </w:p>
              </w:tc>
              <w:tc>
                <w:tcPr>
                  <w:tcW w:w="650" w:type="pct"/>
                  <w:vMerge w:val="restart"/>
                  <w:noWrap w:val="0"/>
                  <w:vAlign w:val="center"/>
                </w:tcPr>
                <w:p w14:paraId="6FBF35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shd w:val="clear" w:color="auto" w:fill="FFFFFF"/>
                      <w:lang w:val="en-US" w:eastAsia="zh-CN"/>
                    </w:rPr>
                  </w:pPr>
                  <w:r>
                    <w:rPr>
                      <w:rFonts w:hint="eastAsia" w:cs="Times New Roman"/>
                      <w:color w:val="auto"/>
                      <w:sz w:val="21"/>
                      <w:szCs w:val="21"/>
                      <w:shd w:val="clear" w:color="auto" w:fill="FFFFFF"/>
                      <w:lang w:val="en-US" w:eastAsia="zh-CN"/>
                    </w:rPr>
                    <w:t>原料及</w:t>
                  </w:r>
                  <w:r>
                    <w:rPr>
                      <w:rFonts w:hint="eastAsia" w:ascii="Times New Roman" w:hAnsi="Times New Roman" w:cs="Times New Roman"/>
                      <w:color w:val="auto"/>
                      <w:sz w:val="21"/>
                      <w:szCs w:val="21"/>
                      <w:shd w:val="clear" w:color="auto" w:fill="FFFFFF"/>
                      <w:lang w:val="en-US" w:eastAsia="zh-CN"/>
                    </w:rPr>
                    <w:t>产品检验</w:t>
                  </w:r>
                </w:p>
              </w:tc>
            </w:tr>
            <w:tr w14:paraId="1F54EE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1" w:type="pct"/>
                  <w:vMerge w:val="continue"/>
                  <w:noWrap w:val="0"/>
                  <w:vAlign w:val="center"/>
                </w:tcPr>
                <w:p w14:paraId="3B172D10">
                  <w:pPr>
                    <w:keepNext w:val="0"/>
                    <w:keepLines w:val="0"/>
                    <w:pageBreakBefore w:val="0"/>
                    <w:widowControl w:val="0"/>
                    <w:suppressLineNumbers w:val="0"/>
                    <w:kinsoku/>
                    <w:wordWrap/>
                    <w:overflowPunct/>
                    <w:topLinePunct w:val="0"/>
                    <w:autoSpaceDE w:val="0"/>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auto"/>
                      <w:sz w:val="21"/>
                      <w:szCs w:val="21"/>
                      <w:lang w:val="en-US" w:eastAsia="zh-CN" w:bidi="ar"/>
                    </w:rPr>
                  </w:pPr>
                </w:p>
              </w:tc>
              <w:tc>
                <w:tcPr>
                  <w:tcW w:w="1036" w:type="pct"/>
                  <w:noWrap w:val="0"/>
                  <w:vAlign w:val="center"/>
                </w:tcPr>
                <w:p w14:paraId="75F0786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硝酸</w:t>
                  </w:r>
                </w:p>
              </w:tc>
              <w:tc>
                <w:tcPr>
                  <w:tcW w:w="672" w:type="pct"/>
                  <w:noWrap w:val="0"/>
                  <w:vAlign w:val="center"/>
                </w:tcPr>
                <w:p w14:paraId="0CE84C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吨/年</w:t>
                  </w:r>
                </w:p>
              </w:tc>
              <w:tc>
                <w:tcPr>
                  <w:tcW w:w="577" w:type="pct"/>
                  <w:noWrap w:val="0"/>
                  <w:vAlign w:val="center"/>
                </w:tcPr>
                <w:p w14:paraId="00F640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kern w:val="2"/>
                      <w:sz w:val="21"/>
                      <w:szCs w:val="21"/>
                      <w:lang w:val="en-US" w:eastAsia="zh-CN" w:bidi="ar"/>
                    </w:rPr>
                  </w:pPr>
                  <w:r>
                    <w:rPr>
                      <w:rFonts w:hint="eastAsia" w:cs="Times New Roman"/>
                      <w:color w:val="auto"/>
                      <w:kern w:val="2"/>
                      <w:sz w:val="21"/>
                      <w:szCs w:val="21"/>
                      <w:lang w:val="en-US" w:eastAsia="zh-CN" w:bidi="ar"/>
                    </w:rPr>
                    <w:t>0.1</w:t>
                  </w:r>
                </w:p>
              </w:tc>
              <w:tc>
                <w:tcPr>
                  <w:tcW w:w="797" w:type="pct"/>
                  <w:noWrap w:val="0"/>
                  <w:vAlign w:val="center"/>
                </w:tcPr>
                <w:p w14:paraId="028743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kern w:val="2"/>
                      <w:sz w:val="21"/>
                      <w:szCs w:val="21"/>
                      <w:lang w:val="en-US" w:eastAsia="zh-CN" w:bidi="ar"/>
                    </w:rPr>
                  </w:pPr>
                  <w:r>
                    <w:rPr>
                      <w:rFonts w:hint="eastAsia" w:cs="Times New Roman"/>
                      <w:color w:val="auto"/>
                      <w:kern w:val="2"/>
                      <w:sz w:val="21"/>
                      <w:szCs w:val="21"/>
                      <w:lang w:val="en-US" w:eastAsia="zh-CN" w:bidi="ar"/>
                    </w:rPr>
                    <w:t>500L/瓶</w:t>
                  </w:r>
                </w:p>
              </w:tc>
              <w:tc>
                <w:tcPr>
                  <w:tcW w:w="592" w:type="pct"/>
                  <w:noWrap w:val="0"/>
                  <w:vAlign w:val="center"/>
                </w:tcPr>
                <w:p w14:paraId="61B0A1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0.002</w:t>
                  </w:r>
                </w:p>
              </w:tc>
              <w:tc>
                <w:tcPr>
                  <w:tcW w:w="650" w:type="pct"/>
                  <w:vMerge w:val="continue"/>
                  <w:noWrap w:val="0"/>
                  <w:vAlign w:val="center"/>
                </w:tcPr>
                <w:p w14:paraId="5FEB16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shd w:val="clear" w:color="auto" w:fill="FFFFFF"/>
                      <w:lang w:val="en-US" w:eastAsia="zh-CN"/>
                    </w:rPr>
                  </w:pPr>
                </w:p>
              </w:tc>
            </w:tr>
            <w:tr w14:paraId="666E3F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1" w:type="pct"/>
                  <w:vMerge w:val="continue"/>
                  <w:noWrap w:val="0"/>
                  <w:vAlign w:val="center"/>
                </w:tcPr>
                <w:p w14:paraId="6C03F1D4">
                  <w:pPr>
                    <w:keepNext w:val="0"/>
                    <w:keepLines w:val="0"/>
                    <w:pageBreakBefore w:val="0"/>
                    <w:widowControl w:val="0"/>
                    <w:suppressLineNumbers w:val="0"/>
                    <w:kinsoku/>
                    <w:wordWrap/>
                    <w:overflowPunct/>
                    <w:topLinePunct w:val="0"/>
                    <w:autoSpaceDE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lang w:bidi="ar"/>
                    </w:rPr>
                  </w:pPr>
                </w:p>
              </w:tc>
              <w:tc>
                <w:tcPr>
                  <w:tcW w:w="1036" w:type="pct"/>
                  <w:noWrap w:val="0"/>
                  <w:vAlign w:val="center"/>
                </w:tcPr>
                <w:p w14:paraId="0C90FD3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硫酸</w:t>
                  </w:r>
                </w:p>
              </w:tc>
              <w:tc>
                <w:tcPr>
                  <w:tcW w:w="672" w:type="pct"/>
                  <w:noWrap w:val="0"/>
                  <w:vAlign w:val="center"/>
                </w:tcPr>
                <w:p w14:paraId="5B3457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吨/年</w:t>
                  </w:r>
                </w:p>
              </w:tc>
              <w:tc>
                <w:tcPr>
                  <w:tcW w:w="577" w:type="pct"/>
                  <w:noWrap w:val="0"/>
                  <w:vAlign w:val="center"/>
                </w:tcPr>
                <w:p w14:paraId="271CE6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kern w:val="2"/>
                      <w:sz w:val="21"/>
                      <w:szCs w:val="21"/>
                      <w:lang w:val="en-US" w:eastAsia="zh-CN" w:bidi="ar"/>
                    </w:rPr>
                  </w:pPr>
                  <w:r>
                    <w:rPr>
                      <w:rFonts w:hint="eastAsia" w:cs="Times New Roman"/>
                      <w:color w:val="auto"/>
                      <w:kern w:val="2"/>
                      <w:sz w:val="21"/>
                      <w:szCs w:val="21"/>
                      <w:lang w:val="en-US" w:eastAsia="zh-CN" w:bidi="ar"/>
                    </w:rPr>
                    <w:t>0.1</w:t>
                  </w:r>
                </w:p>
              </w:tc>
              <w:tc>
                <w:tcPr>
                  <w:tcW w:w="797" w:type="pct"/>
                  <w:noWrap w:val="0"/>
                  <w:vAlign w:val="center"/>
                </w:tcPr>
                <w:p w14:paraId="62346B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kern w:val="2"/>
                      <w:sz w:val="21"/>
                      <w:szCs w:val="21"/>
                      <w:lang w:val="en-US" w:eastAsia="zh-CN" w:bidi="ar"/>
                    </w:rPr>
                  </w:pPr>
                  <w:r>
                    <w:rPr>
                      <w:rFonts w:hint="eastAsia" w:cs="Times New Roman"/>
                      <w:color w:val="auto"/>
                      <w:kern w:val="2"/>
                      <w:sz w:val="21"/>
                      <w:szCs w:val="21"/>
                      <w:lang w:val="en-US" w:eastAsia="zh-CN" w:bidi="ar"/>
                    </w:rPr>
                    <w:t>500L/瓶</w:t>
                  </w:r>
                </w:p>
              </w:tc>
              <w:tc>
                <w:tcPr>
                  <w:tcW w:w="592" w:type="pct"/>
                  <w:noWrap w:val="0"/>
                  <w:vAlign w:val="center"/>
                </w:tcPr>
                <w:p w14:paraId="447896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0.002</w:t>
                  </w:r>
                </w:p>
              </w:tc>
              <w:tc>
                <w:tcPr>
                  <w:tcW w:w="650" w:type="pct"/>
                  <w:vMerge w:val="continue"/>
                  <w:noWrap w:val="0"/>
                  <w:vAlign w:val="center"/>
                </w:tcPr>
                <w:p w14:paraId="766ED2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shd w:val="clear" w:color="auto" w:fill="FFFFFF"/>
                      <w:lang w:val="en-US" w:eastAsia="zh-CN"/>
                    </w:rPr>
                  </w:pPr>
                </w:p>
              </w:tc>
            </w:tr>
            <w:tr w14:paraId="3307B0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671" w:type="pct"/>
                  <w:vMerge w:val="continue"/>
                  <w:noWrap w:val="0"/>
                  <w:vAlign w:val="center"/>
                </w:tcPr>
                <w:p w14:paraId="1750B392">
                  <w:pPr>
                    <w:keepNext w:val="0"/>
                    <w:keepLines w:val="0"/>
                    <w:pageBreakBefore w:val="0"/>
                    <w:widowControl w:val="0"/>
                    <w:suppressLineNumbers w:val="0"/>
                    <w:kinsoku/>
                    <w:wordWrap/>
                    <w:overflowPunct/>
                    <w:topLinePunct w:val="0"/>
                    <w:autoSpaceDE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lang w:bidi="ar"/>
                    </w:rPr>
                  </w:pPr>
                </w:p>
              </w:tc>
              <w:tc>
                <w:tcPr>
                  <w:tcW w:w="1036" w:type="pct"/>
                  <w:noWrap w:val="0"/>
                  <w:vAlign w:val="center"/>
                </w:tcPr>
                <w:p w14:paraId="39F9B52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丙酮</w:t>
                  </w:r>
                </w:p>
              </w:tc>
              <w:tc>
                <w:tcPr>
                  <w:tcW w:w="672" w:type="pct"/>
                  <w:noWrap w:val="0"/>
                  <w:vAlign w:val="center"/>
                </w:tcPr>
                <w:p w14:paraId="29B769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吨/年</w:t>
                  </w:r>
                </w:p>
              </w:tc>
              <w:tc>
                <w:tcPr>
                  <w:tcW w:w="577" w:type="pct"/>
                  <w:noWrap w:val="0"/>
                  <w:vAlign w:val="center"/>
                </w:tcPr>
                <w:p w14:paraId="0E6F57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color w:val="auto"/>
                      <w:kern w:val="2"/>
                      <w:sz w:val="21"/>
                      <w:szCs w:val="21"/>
                      <w:lang w:val="en-US" w:eastAsia="zh-CN" w:bidi="ar"/>
                    </w:rPr>
                  </w:pPr>
                  <w:r>
                    <w:rPr>
                      <w:rFonts w:hint="eastAsia" w:cs="Times New Roman"/>
                      <w:color w:val="auto"/>
                      <w:kern w:val="2"/>
                      <w:sz w:val="21"/>
                      <w:szCs w:val="21"/>
                      <w:lang w:val="en-US" w:eastAsia="zh-CN" w:bidi="ar"/>
                    </w:rPr>
                    <w:t>0.05</w:t>
                  </w:r>
                </w:p>
              </w:tc>
              <w:tc>
                <w:tcPr>
                  <w:tcW w:w="797" w:type="pct"/>
                  <w:shd w:val="clear" w:color="auto" w:fill="auto"/>
                  <w:noWrap w:val="0"/>
                  <w:vAlign w:val="center"/>
                </w:tcPr>
                <w:p w14:paraId="2D596A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
                    </w:rPr>
                  </w:pPr>
                  <w:r>
                    <w:rPr>
                      <w:rFonts w:hint="eastAsia" w:cs="Times New Roman"/>
                      <w:color w:val="auto"/>
                      <w:kern w:val="2"/>
                      <w:sz w:val="21"/>
                      <w:szCs w:val="21"/>
                      <w:lang w:val="en-US" w:eastAsia="zh-CN" w:bidi="ar"/>
                    </w:rPr>
                    <w:t>500L/瓶</w:t>
                  </w:r>
                </w:p>
              </w:tc>
              <w:tc>
                <w:tcPr>
                  <w:tcW w:w="592" w:type="pct"/>
                  <w:shd w:val="clear" w:color="auto" w:fill="auto"/>
                  <w:noWrap w:val="0"/>
                  <w:vAlign w:val="center"/>
                </w:tcPr>
                <w:p w14:paraId="7A370F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0.002</w:t>
                  </w:r>
                </w:p>
              </w:tc>
              <w:tc>
                <w:tcPr>
                  <w:tcW w:w="650" w:type="pct"/>
                  <w:vMerge w:val="continue"/>
                  <w:noWrap w:val="0"/>
                  <w:vAlign w:val="center"/>
                </w:tcPr>
                <w:p w14:paraId="63D828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shd w:val="clear" w:color="auto" w:fill="FFFFFF"/>
                      <w:lang w:val="en-US" w:eastAsia="zh-CN"/>
                    </w:rPr>
                  </w:pPr>
                </w:p>
              </w:tc>
            </w:tr>
            <w:tr w14:paraId="564CEA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671" w:type="pct"/>
                  <w:vMerge w:val="continue"/>
                  <w:noWrap w:val="0"/>
                  <w:vAlign w:val="center"/>
                </w:tcPr>
                <w:p w14:paraId="71BCD60F">
                  <w:pPr>
                    <w:keepNext w:val="0"/>
                    <w:keepLines w:val="0"/>
                    <w:pageBreakBefore w:val="0"/>
                    <w:widowControl w:val="0"/>
                    <w:suppressLineNumbers w:val="0"/>
                    <w:kinsoku/>
                    <w:wordWrap/>
                    <w:overflowPunct/>
                    <w:topLinePunct w:val="0"/>
                    <w:autoSpaceDE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lang w:bidi="ar"/>
                    </w:rPr>
                  </w:pPr>
                </w:p>
              </w:tc>
              <w:tc>
                <w:tcPr>
                  <w:tcW w:w="1036" w:type="pct"/>
                  <w:noWrap w:val="0"/>
                  <w:vAlign w:val="center"/>
                </w:tcPr>
                <w:p w14:paraId="67466A5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甲醇</w:t>
                  </w:r>
                </w:p>
              </w:tc>
              <w:tc>
                <w:tcPr>
                  <w:tcW w:w="672" w:type="pct"/>
                  <w:noWrap w:val="0"/>
                  <w:vAlign w:val="center"/>
                </w:tcPr>
                <w:p w14:paraId="6309A4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吨/年</w:t>
                  </w:r>
                </w:p>
              </w:tc>
              <w:tc>
                <w:tcPr>
                  <w:tcW w:w="577" w:type="pct"/>
                  <w:noWrap w:val="0"/>
                  <w:vAlign w:val="center"/>
                </w:tcPr>
                <w:p w14:paraId="1057C8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color w:val="auto"/>
                      <w:kern w:val="2"/>
                      <w:sz w:val="21"/>
                      <w:szCs w:val="21"/>
                      <w:lang w:val="en-US" w:eastAsia="zh-CN" w:bidi="ar"/>
                    </w:rPr>
                  </w:pPr>
                  <w:r>
                    <w:rPr>
                      <w:rFonts w:hint="eastAsia" w:cs="Times New Roman"/>
                      <w:color w:val="auto"/>
                      <w:kern w:val="2"/>
                      <w:sz w:val="21"/>
                      <w:szCs w:val="21"/>
                      <w:lang w:val="en-US" w:eastAsia="zh-CN" w:bidi="ar"/>
                    </w:rPr>
                    <w:t>0.05</w:t>
                  </w:r>
                </w:p>
              </w:tc>
              <w:tc>
                <w:tcPr>
                  <w:tcW w:w="797" w:type="pct"/>
                  <w:noWrap w:val="0"/>
                  <w:vAlign w:val="center"/>
                </w:tcPr>
                <w:p w14:paraId="19E75E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2"/>
                      <w:sz w:val="21"/>
                      <w:szCs w:val="21"/>
                      <w:lang w:val="en-US" w:eastAsia="zh-CN" w:bidi="ar"/>
                    </w:rPr>
                  </w:pPr>
                  <w:r>
                    <w:rPr>
                      <w:rFonts w:hint="eastAsia" w:cs="Times New Roman"/>
                      <w:color w:val="auto"/>
                      <w:kern w:val="2"/>
                      <w:sz w:val="21"/>
                      <w:szCs w:val="21"/>
                      <w:lang w:val="en-US" w:eastAsia="zh-CN" w:bidi="ar"/>
                    </w:rPr>
                    <w:t>500L/瓶</w:t>
                  </w:r>
                </w:p>
              </w:tc>
              <w:tc>
                <w:tcPr>
                  <w:tcW w:w="592" w:type="pct"/>
                  <w:noWrap w:val="0"/>
                  <w:vAlign w:val="center"/>
                </w:tcPr>
                <w:p w14:paraId="5E24C2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0.002</w:t>
                  </w:r>
                </w:p>
              </w:tc>
              <w:tc>
                <w:tcPr>
                  <w:tcW w:w="650" w:type="pct"/>
                  <w:vMerge w:val="continue"/>
                  <w:noWrap w:val="0"/>
                  <w:vAlign w:val="center"/>
                </w:tcPr>
                <w:p w14:paraId="10DB15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shd w:val="clear" w:color="auto" w:fill="FFFFFF"/>
                      <w:lang w:val="en-US" w:eastAsia="zh-CN"/>
                    </w:rPr>
                  </w:pPr>
                </w:p>
              </w:tc>
            </w:tr>
            <w:tr w14:paraId="49F7EB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671" w:type="pct"/>
                  <w:vMerge w:val="continue"/>
                  <w:noWrap w:val="0"/>
                  <w:vAlign w:val="center"/>
                </w:tcPr>
                <w:p w14:paraId="4AE70DD7">
                  <w:pPr>
                    <w:keepNext w:val="0"/>
                    <w:keepLines w:val="0"/>
                    <w:pageBreakBefore w:val="0"/>
                    <w:widowControl w:val="0"/>
                    <w:suppressLineNumbers w:val="0"/>
                    <w:kinsoku/>
                    <w:wordWrap/>
                    <w:overflowPunct/>
                    <w:topLinePunct w:val="0"/>
                    <w:autoSpaceDE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lang w:bidi="ar"/>
                    </w:rPr>
                  </w:pPr>
                </w:p>
              </w:tc>
              <w:tc>
                <w:tcPr>
                  <w:tcW w:w="1036" w:type="pct"/>
                  <w:noWrap w:val="0"/>
                  <w:vAlign w:val="center"/>
                </w:tcPr>
                <w:p w14:paraId="428BE78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乙醇</w:t>
                  </w:r>
                </w:p>
              </w:tc>
              <w:tc>
                <w:tcPr>
                  <w:tcW w:w="672" w:type="pct"/>
                  <w:noWrap w:val="0"/>
                  <w:vAlign w:val="center"/>
                </w:tcPr>
                <w:p w14:paraId="06E6E9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吨/年</w:t>
                  </w:r>
                </w:p>
              </w:tc>
              <w:tc>
                <w:tcPr>
                  <w:tcW w:w="577" w:type="pct"/>
                  <w:noWrap w:val="0"/>
                  <w:vAlign w:val="center"/>
                </w:tcPr>
                <w:p w14:paraId="6B6979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kern w:val="2"/>
                      <w:sz w:val="21"/>
                      <w:szCs w:val="21"/>
                      <w:lang w:val="en-US" w:eastAsia="zh-CN" w:bidi="ar"/>
                    </w:rPr>
                  </w:pPr>
                  <w:r>
                    <w:rPr>
                      <w:rFonts w:hint="eastAsia" w:cs="Times New Roman"/>
                      <w:color w:val="auto"/>
                      <w:kern w:val="2"/>
                      <w:sz w:val="21"/>
                      <w:szCs w:val="21"/>
                      <w:lang w:val="en-US" w:eastAsia="zh-CN" w:bidi="ar"/>
                    </w:rPr>
                    <w:t>0.1</w:t>
                  </w:r>
                </w:p>
              </w:tc>
              <w:tc>
                <w:tcPr>
                  <w:tcW w:w="797" w:type="pct"/>
                  <w:noWrap w:val="0"/>
                  <w:vAlign w:val="center"/>
                </w:tcPr>
                <w:p w14:paraId="7D35E6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kern w:val="2"/>
                      <w:sz w:val="21"/>
                      <w:szCs w:val="21"/>
                      <w:lang w:val="en-US" w:eastAsia="zh-CN" w:bidi="ar"/>
                    </w:rPr>
                  </w:pPr>
                  <w:r>
                    <w:rPr>
                      <w:rFonts w:hint="eastAsia" w:cs="Times New Roman"/>
                      <w:color w:val="auto"/>
                      <w:kern w:val="2"/>
                      <w:sz w:val="21"/>
                      <w:szCs w:val="21"/>
                      <w:lang w:val="en-US" w:eastAsia="zh-CN" w:bidi="ar"/>
                    </w:rPr>
                    <w:t>500L/瓶</w:t>
                  </w:r>
                </w:p>
              </w:tc>
              <w:tc>
                <w:tcPr>
                  <w:tcW w:w="592" w:type="pct"/>
                  <w:noWrap w:val="0"/>
                  <w:vAlign w:val="center"/>
                </w:tcPr>
                <w:p w14:paraId="74E4D7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0.002</w:t>
                  </w:r>
                </w:p>
              </w:tc>
              <w:tc>
                <w:tcPr>
                  <w:tcW w:w="650" w:type="pct"/>
                  <w:vMerge w:val="continue"/>
                  <w:noWrap w:val="0"/>
                  <w:vAlign w:val="center"/>
                </w:tcPr>
                <w:p w14:paraId="05BB65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shd w:val="clear" w:color="auto" w:fill="FFFFFF"/>
                      <w:lang w:val="en-US" w:eastAsia="zh-CN"/>
                    </w:rPr>
                  </w:pPr>
                </w:p>
              </w:tc>
            </w:tr>
            <w:tr w14:paraId="4D8203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1" w:type="pct"/>
                  <w:vMerge w:val="continue"/>
                  <w:noWrap w:val="0"/>
                  <w:vAlign w:val="center"/>
                </w:tcPr>
                <w:p w14:paraId="409BD931">
                  <w:pPr>
                    <w:keepNext w:val="0"/>
                    <w:keepLines w:val="0"/>
                    <w:pageBreakBefore w:val="0"/>
                    <w:widowControl w:val="0"/>
                    <w:suppressLineNumbers w:val="0"/>
                    <w:kinsoku/>
                    <w:wordWrap/>
                    <w:overflowPunct/>
                    <w:topLinePunct w:val="0"/>
                    <w:autoSpaceDE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lang w:bidi="ar"/>
                    </w:rPr>
                  </w:pPr>
                </w:p>
              </w:tc>
              <w:tc>
                <w:tcPr>
                  <w:tcW w:w="1036" w:type="pct"/>
                  <w:noWrap w:val="0"/>
                  <w:vAlign w:val="center"/>
                </w:tcPr>
                <w:p w14:paraId="4E0442F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重铬酸钾</w:t>
                  </w:r>
                </w:p>
              </w:tc>
              <w:tc>
                <w:tcPr>
                  <w:tcW w:w="672" w:type="pct"/>
                  <w:noWrap w:val="0"/>
                  <w:vAlign w:val="center"/>
                </w:tcPr>
                <w:p w14:paraId="1563C3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吨/年</w:t>
                  </w:r>
                </w:p>
              </w:tc>
              <w:tc>
                <w:tcPr>
                  <w:tcW w:w="577" w:type="pct"/>
                  <w:noWrap w:val="0"/>
                  <w:vAlign w:val="center"/>
                </w:tcPr>
                <w:p w14:paraId="13882F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kern w:val="2"/>
                      <w:sz w:val="21"/>
                      <w:szCs w:val="21"/>
                      <w:lang w:val="en-US" w:eastAsia="zh-CN" w:bidi="ar"/>
                    </w:rPr>
                  </w:pPr>
                  <w:r>
                    <w:rPr>
                      <w:rFonts w:hint="eastAsia" w:cs="Times New Roman"/>
                      <w:color w:val="auto"/>
                      <w:kern w:val="2"/>
                      <w:sz w:val="21"/>
                      <w:szCs w:val="21"/>
                      <w:lang w:val="en-US" w:eastAsia="zh-CN" w:bidi="ar"/>
                    </w:rPr>
                    <w:t>0.01</w:t>
                  </w:r>
                </w:p>
              </w:tc>
              <w:tc>
                <w:tcPr>
                  <w:tcW w:w="797" w:type="pct"/>
                  <w:noWrap w:val="0"/>
                  <w:vAlign w:val="center"/>
                </w:tcPr>
                <w:p w14:paraId="0C71DD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kern w:val="2"/>
                      <w:sz w:val="21"/>
                      <w:szCs w:val="21"/>
                      <w:lang w:val="en-US" w:eastAsia="zh-CN" w:bidi="ar"/>
                    </w:rPr>
                  </w:pPr>
                  <w:r>
                    <w:rPr>
                      <w:rFonts w:hint="eastAsia" w:cs="Times New Roman"/>
                      <w:color w:val="auto"/>
                      <w:kern w:val="2"/>
                      <w:sz w:val="21"/>
                      <w:szCs w:val="21"/>
                      <w:lang w:val="en-US" w:eastAsia="zh-CN" w:bidi="ar"/>
                    </w:rPr>
                    <w:t>500L/瓶</w:t>
                  </w:r>
                </w:p>
              </w:tc>
              <w:tc>
                <w:tcPr>
                  <w:tcW w:w="592" w:type="pct"/>
                  <w:noWrap w:val="0"/>
                  <w:vAlign w:val="center"/>
                </w:tcPr>
                <w:p w14:paraId="5A33EA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0.002</w:t>
                  </w:r>
                </w:p>
              </w:tc>
              <w:tc>
                <w:tcPr>
                  <w:tcW w:w="650" w:type="pct"/>
                  <w:vMerge w:val="continue"/>
                  <w:noWrap w:val="0"/>
                  <w:vAlign w:val="center"/>
                </w:tcPr>
                <w:p w14:paraId="44DC30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shd w:val="clear" w:color="auto" w:fill="FFFFFF"/>
                      <w:lang w:val="en-US" w:eastAsia="zh-CN"/>
                    </w:rPr>
                  </w:pPr>
                </w:p>
              </w:tc>
            </w:tr>
            <w:tr w14:paraId="3C2A5A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1" w:type="pct"/>
                  <w:vMerge w:val="continue"/>
                  <w:noWrap w:val="0"/>
                  <w:vAlign w:val="center"/>
                </w:tcPr>
                <w:p w14:paraId="5D8CFEBB">
                  <w:pPr>
                    <w:keepNext w:val="0"/>
                    <w:keepLines w:val="0"/>
                    <w:pageBreakBefore w:val="0"/>
                    <w:widowControl w:val="0"/>
                    <w:suppressLineNumbers w:val="0"/>
                    <w:kinsoku/>
                    <w:wordWrap/>
                    <w:overflowPunct/>
                    <w:topLinePunct w:val="0"/>
                    <w:autoSpaceDE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lang w:bidi="ar"/>
                    </w:rPr>
                  </w:pPr>
                </w:p>
              </w:tc>
              <w:tc>
                <w:tcPr>
                  <w:tcW w:w="1036" w:type="pct"/>
                  <w:noWrap w:val="0"/>
                  <w:vAlign w:val="center"/>
                </w:tcPr>
                <w:p w14:paraId="3B628A8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高锰酸钾</w:t>
                  </w:r>
                </w:p>
              </w:tc>
              <w:tc>
                <w:tcPr>
                  <w:tcW w:w="672" w:type="pct"/>
                  <w:noWrap w:val="0"/>
                  <w:vAlign w:val="center"/>
                </w:tcPr>
                <w:p w14:paraId="71A237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吨/年</w:t>
                  </w:r>
                </w:p>
              </w:tc>
              <w:tc>
                <w:tcPr>
                  <w:tcW w:w="577" w:type="pct"/>
                  <w:noWrap w:val="0"/>
                  <w:vAlign w:val="center"/>
                </w:tcPr>
                <w:p w14:paraId="42C133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kern w:val="2"/>
                      <w:sz w:val="21"/>
                      <w:szCs w:val="21"/>
                      <w:lang w:val="en-US" w:eastAsia="zh-CN" w:bidi="ar"/>
                    </w:rPr>
                  </w:pPr>
                  <w:r>
                    <w:rPr>
                      <w:rFonts w:hint="eastAsia" w:cs="Times New Roman"/>
                      <w:color w:val="auto"/>
                      <w:kern w:val="2"/>
                      <w:sz w:val="21"/>
                      <w:szCs w:val="21"/>
                      <w:lang w:val="en-US" w:eastAsia="zh-CN" w:bidi="ar"/>
                    </w:rPr>
                    <w:t>0.01</w:t>
                  </w:r>
                </w:p>
              </w:tc>
              <w:tc>
                <w:tcPr>
                  <w:tcW w:w="797" w:type="pct"/>
                  <w:noWrap w:val="0"/>
                  <w:vAlign w:val="center"/>
                </w:tcPr>
                <w:p w14:paraId="317032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kern w:val="2"/>
                      <w:sz w:val="21"/>
                      <w:szCs w:val="21"/>
                      <w:lang w:val="en-US" w:eastAsia="zh-CN" w:bidi="ar"/>
                    </w:rPr>
                  </w:pPr>
                  <w:r>
                    <w:rPr>
                      <w:rFonts w:hint="eastAsia" w:cs="Times New Roman"/>
                      <w:color w:val="auto"/>
                      <w:kern w:val="2"/>
                      <w:sz w:val="21"/>
                      <w:szCs w:val="21"/>
                      <w:lang w:val="en-US" w:eastAsia="zh-CN" w:bidi="ar"/>
                    </w:rPr>
                    <w:t>500L/瓶</w:t>
                  </w:r>
                </w:p>
              </w:tc>
              <w:tc>
                <w:tcPr>
                  <w:tcW w:w="592" w:type="pct"/>
                  <w:noWrap w:val="0"/>
                  <w:vAlign w:val="center"/>
                </w:tcPr>
                <w:p w14:paraId="72FD25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0.002</w:t>
                  </w:r>
                </w:p>
              </w:tc>
              <w:tc>
                <w:tcPr>
                  <w:tcW w:w="650" w:type="pct"/>
                  <w:vMerge w:val="continue"/>
                  <w:noWrap w:val="0"/>
                  <w:vAlign w:val="center"/>
                </w:tcPr>
                <w:p w14:paraId="43C532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shd w:val="clear" w:color="auto" w:fill="FFFFFF"/>
                      <w:lang w:val="en-US" w:eastAsia="zh-CN"/>
                    </w:rPr>
                  </w:pPr>
                </w:p>
              </w:tc>
            </w:tr>
            <w:tr w14:paraId="37F078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1" w:type="pct"/>
                  <w:vMerge w:val="continue"/>
                  <w:noWrap w:val="0"/>
                  <w:vAlign w:val="center"/>
                </w:tcPr>
                <w:p w14:paraId="7FC09CFD">
                  <w:pPr>
                    <w:keepNext w:val="0"/>
                    <w:keepLines w:val="0"/>
                    <w:pageBreakBefore w:val="0"/>
                    <w:widowControl w:val="0"/>
                    <w:suppressLineNumbers w:val="0"/>
                    <w:kinsoku/>
                    <w:wordWrap/>
                    <w:overflowPunct/>
                    <w:topLinePunct w:val="0"/>
                    <w:autoSpaceDE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lang w:bidi="ar"/>
                    </w:rPr>
                  </w:pPr>
                </w:p>
              </w:tc>
              <w:tc>
                <w:tcPr>
                  <w:tcW w:w="1036" w:type="pct"/>
                  <w:noWrap w:val="0"/>
                  <w:vAlign w:val="center"/>
                </w:tcPr>
                <w:p w14:paraId="3D35FD7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氢氧化钠</w:t>
                  </w:r>
                </w:p>
              </w:tc>
              <w:tc>
                <w:tcPr>
                  <w:tcW w:w="672" w:type="pct"/>
                  <w:noWrap w:val="0"/>
                  <w:vAlign w:val="center"/>
                </w:tcPr>
                <w:p w14:paraId="7BA603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kern w:val="2"/>
                      <w:sz w:val="21"/>
                      <w:szCs w:val="21"/>
                      <w:lang w:val="en-US" w:eastAsia="zh-CN" w:bidi="ar"/>
                    </w:rPr>
                  </w:pPr>
                  <w:r>
                    <w:rPr>
                      <w:rFonts w:hint="eastAsia" w:ascii="Times New Roman" w:hAnsi="Times New Roman" w:cs="Times New Roman"/>
                      <w:color w:val="auto"/>
                      <w:kern w:val="2"/>
                      <w:sz w:val="21"/>
                      <w:szCs w:val="21"/>
                      <w:lang w:val="en-US" w:eastAsia="zh-CN" w:bidi="ar"/>
                    </w:rPr>
                    <w:t>吨/年</w:t>
                  </w:r>
                </w:p>
              </w:tc>
              <w:tc>
                <w:tcPr>
                  <w:tcW w:w="577" w:type="pct"/>
                  <w:noWrap w:val="0"/>
                  <w:vAlign w:val="center"/>
                </w:tcPr>
                <w:p w14:paraId="5F5CB8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kern w:val="2"/>
                      <w:sz w:val="21"/>
                      <w:szCs w:val="21"/>
                      <w:lang w:val="en-US" w:eastAsia="zh-CN" w:bidi="ar"/>
                    </w:rPr>
                  </w:pPr>
                  <w:r>
                    <w:rPr>
                      <w:rFonts w:hint="eastAsia" w:cs="Times New Roman"/>
                      <w:color w:val="auto"/>
                      <w:kern w:val="2"/>
                      <w:sz w:val="21"/>
                      <w:szCs w:val="21"/>
                      <w:lang w:val="en-US" w:eastAsia="zh-CN" w:bidi="ar"/>
                    </w:rPr>
                    <w:t>0.1</w:t>
                  </w:r>
                </w:p>
              </w:tc>
              <w:tc>
                <w:tcPr>
                  <w:tcW w:w="797" w:type="pct"/>
                  <w:noWrap w:val="0"/>
                  <w:vAlign w:val="center"/>
                </w:tcPr>
                <w:p w14:paraId="7C7FB5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lang w:val="en-US" w:eastAsia="zh-CN" w:bidi="ar"/>
                    </w:rPr>
                  </w:pPr>
                  <w:r>
                    <w:rPr>
                      <w:rFonts w:hint="eastAsia" w:cs="Times New Roman"/>
                      <w:color w:val="auto"/>
                      <w:kern w:val="2"/>
                      <w:sz w:val="21"/>
                      <w:szCs w:val="21"/>
                      <w:lang w:val="en-US" w:eastAsia="zh-CN" w:bidi="ar"/>
                    </w:rPr>
                    <w:t>1KG/袋</w:t>
                  </w:r>
                </w:p>
              </w:tc>
              <w:tc>
                <w:tcPr>
                  <w:tcW w:w="592" w:type="pct"/>
                  <w:noWrap w:val="0"/>
                  <w:vAlign w:val="center"/>
                </w:tcPr>
                <w:p w14:paraId="76A858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0.002</w:t>
                  </w:r>
                </w:p>
              </w:tc>
              <w:tc>
                <w:tcPr>
                  <w:tcW w:w="650" w:type="pct"/>
                  <w:vMerge w:val="continue"/>
                  <w:noWrap w:val="0"/>
                  <w:vAlign w:val="center"/>
                </w:tcPr>
                <w:p w14:paraId="31C17D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shd w:val="clear" w:color="auto" w:fill="FFFFFF"/>
                      <w:lang w:val="en-US" w:eastAsia="zh-CN"/>
                    </w:rPr>
                  </w:pPr>
                </w:p>
              </w:tc>
            </w:tr>
            <w:tr w14:paraId="7A6265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671" w:type="pct"/>
                  <w:vMerge w:val="restart"/>
                  <w:noWrap w:val="0"/>
                  <w:vAlign w:val="center"/>
                </w:tcPr>
                <w:p w14:paraId="42922AE4">
                  <w:pPr>
                    <w:keepNext w:val="0"/>
                    <w:keepLines w:val="0"/>
                    <w:pageBreakBefore w:val="0"/>
                    <w:widowControl w:val="0"/>
                    <w:suppressLineNumbers w:val="0"/>
                    <w:kinsoku/>
                    <w:wordWrap/>
                    <w:overflowPunct/>
                    <w:topLinePunct w:val="0"/>
                    <w:autoSpaceDE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bidi="ar"/>
                    </w:rPr>
                  </w:pPr>
                  <w:r>
                    <w:rPr>
                      <w:rFonts w:hint="eastAsia" w:ascii="Times New Roman" w:hAnsi="Times New Roman" w:cs="Times New Roman"/>
                      <w:color w:val="auto"/>
                      <w:sz w:val="21"/>
                      <w:szCs w:val="21"/>
                      <w:lang w:val="en-US" w:eastAsia="zh-CN" w:bidi="ar"/>
                    </w:rPr>
                    <w:t>能源</w:t>
                  </w:r>
                </w:p>
              </w:tc>
              <w:tc>
                <w:tcPr>
                  <w:tcW w:w="1036" w:type="pct"/>
                  <w:shd w:val="clear" w:color="auto" w:fill="auto"/>
                  <w:noWrap w:val="0"/>
                  <w:vAlign w:val="center"/>
                </w:tcPr>
                <w:p w14:paraId="1E7B0A3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水</w:t>
                  </w:r>
                </w:p>
              </w:tc>
              <w:tc>
                <w:tcPr>
                  <w:tcW w:w="672" w:type="pct"/>
                  <w:shd w:val="clear" w:color="auto" w:fill="auto"/>
                  <w:noWrap w:val="0"/>
                  <w:vAlign w:val="center"/>
                </w:tcPr>
                <w:p w14:paraId="323E1D7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
                    </w:rPr>
                    <w:t>m</w:t>
                  </w:r>
                  <w:r>
                    <w:rPr>
                      <w:rFonts w:hint="default" w:ascii="Times New Roman" w:hAnsi="Times New Roman" w:cs="Times New Roman"/>
                      <w:color w:val="auto"/>
                      <w:kern w:val="2"/>
                      <w:sz w:val="21"/>
                      <w:szCs w:val="21"/>
                      <w:vertAlign w:val="superscript"/>
                      <w:lang w:val="en-US" w:eastAsia="zh-CN" w:bidi="ar"/>
                    </w:rPr>
                    <w:t>3</w:t>
                  </w:r>
                  <w:r>
                    <w:rPr>
                      <w:rFonts w:hint="default" w:ascii="Times New Roman" w:hAnsi="Times New Roman" w:cs="Times New Roman"/>
                      <w:color w:val="auto"/>
                      <w:kern w:val="2"/>
                      <w:sz w:val="21"/>
                      <w:szCs w:val="21"/>
                      <w:lang w:val="en-US" w:eastAsia="zh-CN" w:bidi="ar"/>
                    </w:rPr>
                    <w:t>/a</w:t>
                  </w:r>
                </w:p>
              </w:tc>
              <w:tc>
                <w:tcPr>
                  <w:tcW w:w="577" w:type="pct"/>
                  <w:shd w:val="clear" w:color="auto" w:fill="auto"/>
                  <w:noWrap w:val="0"/>
                  <w:vAlign w:val="center"/>
                </w:tcPr>
                <w:p w14:paraId="35CB07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105312.05</w:t>
                  </w:r>
                </w:p>
              </w:tc>
              <w:tc>
                <w:tcPr>
                  <w:tcW w:w="797" w:type="pct"/>
                  <w:shd w:val="clear" w:color="auto" w:fill="auto"/>
                  <w:noWrap w:val="0"/>
                  <w:vAlign w:val="center"/>
                </w:tcPr>
                <w:p w14:paraId="50EF419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Cs/>
                      <w:color w:val="auto"/>
                      <w:kern w:val="2"/>
                      <w:sz w:val="21"/>
                      <w:szCs w:val="21"/>
                      <w:lang w:val="en-US" w:eastAsia="zh-CN" w:bidi="ar"/>
                    </w:rPr>
                  </w:pPr>
                  <w:r>
                    <w:rPr>
                      <w:rFonts w:hint="default" w:ascii="Times New Roman" w:hAnsi="Times New Roman" w:cs="Times New Roman"/>
                      <w:color w:val="auto"/>
                      <w:sz w:val="21"/>
                      <w:szCs w:val="21"/>
                      <w:shd w:val="clear" w:color="auto" w:fill="FFFFFF"/>
                      <w:lang w:val="en-US" w:eastAsia="zh-CN"/>
                    </w:rPr>
                    <w:t>/</w:t>
                  </w:r>
                </w:p>
              </w:tc>
              <w:tc>
                <w:tcPr>
                  <w:tcW w:w="592" w:type="pct"/>
                  <w:shd w:val="clear" w:color="auto" w:fill="auto"/>
                  <w:noWrap w:val="0"/>
                  <w:vAlign w:val="center"/>
                </w:tcPr>
                <w:p w14:paraId="3ADE1AB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Cs/>
                      <w:color w:val="auto"/>
                      <w:kern w:val="2"/>
                      <w:sz w:val="21"/>
                      <w:szCs w:val="21"/>
                      <w:lang w:val="en-US" w:eastAsia="zh-CN" w:bidi="ar"/>
                    </w:rPr>
                  </w:pPr>
                  <w:r>
                    <w:rPr>
                      <w:rFonts w:hint="default" w:ascii="Times New Roman" w:hAnsi="Times New Roman" w:cs="Times New Roman"/>
                      <w:color w:val="auto"/>
                      <w:sz w:val="21"/>
                      <w:szCs w:val="21"/>
                      <w:shd w:val="clear" w:color="auto" w:fill="FFFFFF"/>
                      <w:lang w:val="en-US" w:eastAsia="zh-CN"/>
                    </w:rPr>
                    <w:t>/</w:t>
                  </w:r>
                </w:p>
              </w:tc>
              <w:tc>
                <w:tcPr>
                  <w:tcW w:w="650" w:type="pct"/>
                  <w:shd w:val="clear" w:color="auto" w:fill="auto"/>
                  <w:noWrap w:val="0"/>
                  <w:vAlign w:val="center"/>
                </w:tcPr>
                <w:p w14:paraId="1899EAB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Cs/>
                      <w:color w:val="auto"/>
                      <w:kern w:val="2"/>
                      <w:sz w:val="21"/>
                      <w:szCs w:val="21"/>
                      <w:lang w:val="en-US" w:eastAsia="zh-CN" w:bidi="ar"/>
                    </w:rPr>
                  </w:pPr>
                  <w:r>
                    <w:rPr>
                      <w:rFonts w:hint="default" w:ascii="Times New Roman" w:hAnsi="Times New Roman" w:cs="Times New Roman"/>
                      <w:color w:val="auto"/>
                      <w:sz w:val="21"/>
                      <w:szCs w:val="21"/>
                      <w:shd w:val="clear" w:color="auto" w:fill="FFFFFF"/>
                      <w:lang w:val="en-US" w:eastAsia="zh-CN"/>
                    </w:rPr>
                    <w:t>/</w:t>
                  </w:r>
                </w:p>
              </w:tc>
            </w:tr>
            <w:tr w14:paraId="08B2F7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671" w:type="pct"/>
                  <w:vMerge w:val="continue"/>
                  <w:noWrap w:val="0"/>
                  <w:vAlign w:val="center"/>
                </w:tcPr>
                <w:p w14:paraId="19E89E25">
                  <w:pPr>
                    <w:keepNext w:val="0"/>
                    <w:keepLines w:val="0"/>
                    <w:pageBreakBefore w:val="0"/>
                    <w:widowControl w:val="0"/>
                    <w:suppressLineNumbers w:val="0"/>
                    <w:kinsoku/>
                    <w:wordWrap/>
                    <w:overflowPunct/>
                    <w:topLinePunct w:val="0"/>
                    <w:autoSpaceDE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lang w:bidi="ar"/>
                    </w:rPr>
                  </w:pPr>
                </w:p>
              </w:tc>
              <w:tc>
                <w:tcPr>
                  <w:tcW w:w="1036" w:type="pct"/>
                  <w:noWrap w:val="0"/>
                  <w:vAlign w:val="center"/>
                </w:tcPr>
                <w:p w14:paraId="485490E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电</w:t>
                  </w:r>
                </w:p>
              </w:tc>
              <w:tc>
                <w:tcPr>
                  <w:tcW w:w="672" w:type="pct"/>
                  <w:noWrap w:val="0"/>
                  <w:vAlign w:val="center"/>
                </w:tcPr>
                <w:p w14:paraId="5FAB1C6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万</w:t>
                  </w:r>
                  <w:r>
                    <w:rPr>
                      <w:rFonts w:hint="default" w:ascii="Times New Roman" w:hAnsi="Times New Roman" w:cs="Times New Roman"/>
                      <w:color w:val="auto"/>
                      <w:kern w:val="2"/>
                      <w:sz w:val="21"/>
                      <w:szCs w:val="21"/>
                      <w:lang w:val="en-US" w:eastAsia="zh-CN" w:bidi="ar"/>
                    </w:rPr>
                    <w:t>kW·h/a</w:t>
                  </w:r>
                </w:p>
              </w:tc>
              <w:tc>
                <w:tcPr>
                  <w:tcW w:w="577" w:type="pct"/>
                  <w:noWrap w:val="0"/>
                  <w:vAlign w:val="center"/>
                </w:tcPr>
                <w:p w14:paraId="01578E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50</w:t>
                  </w:r>
                </w:p>
              </w:tc>
              <w:tc>
                <w:tcPr>
                  <w:tcW w:w="797" w:type="pct"/>
                  <w:noWrap w:val="0"/>
                  <w:vAlign w:val="center"/>
                </w:tcPr>
                <w:p w14:paraId="4DD8BD3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auto"/>
                      <w:kern w:val="2"/>
                      <w:sz w:val="21"/>
                      <w:szCs w:val="21"/>
                      <w:lang w:val="en-US" w:eastAsia="zh-CN" w:bidi="ar"/>
                    </w:rPr>
                  </w:pPr>
                  <w:r>
                    <w:rPr>
                      <w:rFonts w:hint="default" w:ascii="Times New Roman" w:hAnsi="Times New Roman" w:cs="Times New Roman"/>
                      <w:color w:val="auto"/>
                      <w:sz w:val="21"/>
                      <w:szCs w:val="21"/>
                      <w:shd w:val="clear" w:color="auto" w:fill="FFFFFF"/>
                      <w:lang w:val="en-US" w:eastAsia="zh-CN"/>
                    </w:rPr>
                    <w:t>/</w:t>
                  </w:r>
                </w:p>
              </w:tc>
              <w:tc>
                <w:tcPr>
                  <w:tcW w:w="592" w:type="pct"/>
                  <w:noWrap w:val="0"/>
                  <w:vAlign w:val="center"/>
                </w:tcPr>
                <w:p w14:paraId="5A3F6CB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auto"/>
                      <w:kern w:val="2"/>
                      <w:sz w:val="21"/>
                      <w:szCs w:val="21"/>
                      <w:lang w:val="en-US" w:eastAsia="zh-CN" w:bidi="ar"/>
                    </w:rPr>
                  </w:pPr>
                  <w:r>
                    <w:rPr>
                      <w:rFonts w:hint="default" w:ascii="Times New Roman" w:hAnsi="Times New Roman" w:cs="Times New Roman"/>
                      <w:color w:val="auto"/>
                      <w:sz w:val="21"/>
                      <w:szCs w:val="21"/>
                      <w:shd w:val="clear" w:color="auto" w:fill="FFFFFF"/>
                      <w:lang w:val="en-US" w:eastAsia="zh-CN"/>
                    </w:rPr>
                    <w:t>/</w:t>
                  </w:r>
                </w:p>
              </w:tc>
              <w:tc>
                <w:tcPr>
                  <w:tcW w:w="650" w:type="pct"/>
                  <w:noWrap w:val="0"/>
                  <w:vAlign w:val="center"/>
                </w:tcPr>
                <w:p w14:paraId="76B1BEC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auto"/>
                      <w:kern w:val="2"/>
                      <w:sz w:val="21"/>
                      <w:szCs w:val="21"/>
                      <w:lang w:val="en-US" w:eastAsia="zh-CN" w:bidi="ar"/>
                    </w:rPr>
                  </w:pPr>
                  <w:r>
                    <w:rPr>
                      <w:rFonts w:hint="default" w:ascii="Times New Roman" w:hAnsi="Times New Roman" w:cs="Times New Roman"/>
                      <w:color w:val="auto"/>
                      <w:sz w:val="21"/>
                      <w:szCs w:val="21"/>
                      <w:shd w:val="clear" w:color="auto" w:fill="FFFFFF"/>
                      <w:lang w:val="en-US" w:eastAsia="zh-CN"/>
                    </w:rPr>
                    <w:t>/</w:t>
                  </w:r>
                </w:p>
              </w:tc>
            </w:tr>
            <w:bookmarkEnd w:id="5"/>
          </w:tbl>
          <w:p w14:paraId="525363AD">
            <w:pPr>
              <w:adjustRightInd w:val="0"/>
              <w:snapToGrid w:val="0"/>
              <w:spacing w:line="360" w:lineRule="auto"/>
              <w:rPr>
                <w:rFonts w:hint="eastAsia"/>
                <w:b/>
                <w:bCs/>
              </w:rPr>
            </w:pPr>
            <w:r>
              <w:rPr>
                <w:rFonts w:hint="eastAsia"/>
                <w:b/>
                <w:bCs/>
              </w:rPr>
              <w:t>主要原辅料理化性质：</w:t>
            </w:r>
          </w:p>
          <w:p w14:paraId="68C38BE8">
            <w:pPr>
              <w:pStyle w:val="18"/>
              <w:ind w:firstLine="42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项目主要原材料为外购的中药干药材，入药部位为根茎、果实、花等，基本无毒；主要辅料为黄酒、食醋、</w:t>
            </w:r>
            <w:r>
              <w:rPr>
                <w:rFonts w:hint="eastAsia" w:cs="Times New Roman"/>
                <w:sz w:val="24"/>
                <w:szCs w:val="24"/>
                <w:lang w:val="en-US" w:eastAsia="zh-CN"/>
              </w:rPr>
              <w:t>麦麸</w:t>
            </w:r>
            <w:r>
              <w:rPr>
                <w:rFonts w:hint="eastAsia" w:ascii="Times New Roman" w:hAnsi="Times New Roman" w:eastAsia="宋体" w:cs="Times New Roman"/>
                <w:sz w:val="24"/>
                <w:szCs w:val="24"/>
              </w:rPr>
              <w:t>等</w:t>
            </w:r>
            <w:r>
              <w:rPr>
                <w:rFonts w:hint="eastAsia" w:cs="Times New Roman"/>
                <w:sz w:val="24"/>
                <w:szCs w:val="24"/>
                <w:lang w:eastAsia="zh-CN"/>
              </w:rPr>
              <w:t>；</w:t>
            </w:r>
            <w:r>
              <w:rPr>
                <w:rFonts w:hint="eastAsia" w:ascii="Times New Roman" w:hAnsi="Times New Roman" w:eastAsia="宋体" w:cs="Times New Roman"/>
                <w:sz w:val="24"/>
                <w:szCs w:val="24"/>
                <w:lang w:val="en-US" w:eastAsia="zh-CN"/>
              </w:rPr>
              <w:t>项目质检实验室用到化学试剂（涉及种类较多，但用量较小）</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毒性中药材为半夏</w:t>
            </w:r>
            <w:r>
              <w:rPr>
                <w:rFonts w:hint="eastAsia" w:cs="Times New Roman"/>
                <w:sz w:val="24"/>
                <w:szCs w:val="24"/>
                <w:lang w:val="en-US" w:eastAsia="zh-CN"/>
              </w:rPr>
              <w:t>、附子、马钱子</w:t>
            </w: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其说明</w:t>
            </w:r>
            <w:r>
              <w:rPr>
                <w:rFonts w:hint="eastAsia" w:ascii="Times New Roman" w:hAnsi="Times New Roman" w:eastAsia="宋体" w:cs="Times New Roman"/>
                <w:sz w:val="24"/>
                <w:szCs w:val="24"/>
                <w:lang w:val="en-US" w:eastAsia="zh-CN"/>
              </w:rPr>
              <w:t>如下</w:t>
            </w:r>
            <w:r>
              <w:rPr>
                <w:rFonts w:hint="eastAsia" w:ascii="Times New Roman" w:hAnsi="Times New Roman" w:eastAsia="宋体" w:cs="Times New Roman"/>
                <w:sz w:val="24"/>
                <w:szCs w:val="24"/>
              </w:rPr>
              <w:t>。</w:t>
            </w:r>
          </w:p>
          <w:p w14:paraId="41241232">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425" w:leftChars="0" w:hanging="425" w:firstLineChars="0"/>
              <w:jc w:val="center"/>
              <w:textAlignment w:val="auto"/>
              <w:rPr>
                <w:rFonts w:hint="eastAsia" w:ascii="Times New Roman" w:hAnsi="Times New Roman" w:eastAsia="宋体" w:cs="Times New Roman"/>
                <w:b/>
                <w:bCs/>
                <w:color w:val="000000" w:themeColor="text1"/>
                <w:sz w:val="21"/>
                <w:szCs w:val="21"/>
                <w:lang w:val="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毒性饮片药材属性说明</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
              <w:gridCol w:w="7201"/>
              <w:gridCol w:w="610"/>
            </w:tblGrid>
            <w:tr w14:paraId="4C33C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tcBorders>
                    <w:top w:val="single" w:color="auto" w:sz="12" w:space="0"/>
                  </w:tcBorders>
                  <w:vAlign w:val="center"/>
                </w:tcPr>
                <w:p w14:paraId="04D95AE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药材名称</w:t>
                  </w:r>
                </w:p>
              </w:tc>
              <w:tc>
                <w:tcPr>
                  <w:tcW w:w="7201" w:type="dxa"/>
                  <w:tcBorders>
                    <w:top w:val="single" w:color="auto" w:sz="12" w:space="0"/>
                  </w:tcBorders>
                  <w:vAlign w:val="center"/>
                </w:tcPr>
                <w:p w14:paraId="5F5E4CB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药材属性</w:t>
                  </w:r>
                </w:p>
              </w:tc>
              <w:tc>
                <w:tcPr>
                  <w:tcW w:w="610" w:type="dxa"/>
                  <w:tcBorders>
                    <w:top w:val="single" w:color="auto" w:sz="12" w:space="0"/>
                    <w:right w:val="nil"/>
                  </w:tcBorders>
                  <w:vAlign w:val="center"/>
                </w:tcPr>
                <w:p w14:paraId="3B452BA2">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备注</w:t>
                  </w:r>
                </w:p>
              </w:tc>
            </w:tr>
            <w:tr w14:paraId="20AD2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tcBorders>
                    <w:left w:val="nil"/>
                  </w:tcBorders>
                  <w:vAlign w:val="center"/>
                </w:tcPr>
                <w:p w14:paraId="1DBC87DB">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半夏</w:t>
                  </w:r>
                </w:p>
              </w:tc>
              <w:tc>
                <w:tcPr>
                  <w:tcW w:w="7201" w:type="dxa"/>
                  <w:vAlign w:val="center"/>
                </w:tcPr>
                <w:p w14:paraId="21AF4AE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left"/>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为天南星科植物半夏Pinellia ternata（Thunb.） Breit.的干燥块茎。夏、秋二季采挖，洗净，除去外皮和须根，晒干。内含主成分为 3-乙酰氨基-5-甲基异唑，丁基乙烯基醚，3-甲基二十烷，十六碳烯二酸，还有 2-氯丙烯酸甲酯，茴香脑，苯甲醛，1，5-戊二醇，2-甲基吡嗪，柠檬醛，1-辛烯，β榄香烯，2-十一烷酮，9-十七烷醇，棕榈酸乙酯，戊醛肟等 60 多种成分。还含左旋麻黄碱，胆碱，β-谷甾醇，胡萝卜甙，尿黑酸，原儿茶醛，姜辣烯酮，黄芩甙，黄芩甙元，姜辣醇，12，13-环氧-9-羟基十九碳-7，10-二烯酸及基衍生物等。如果吃生半夏时，口腔会有一种麻木感，会产生咽喉肌的痉挛，出现呼吸困难，甚至是窒息，严重者可危及到生命。用水长时间浸泡，可使毒性成分溶于水，从而降低毒性。</w:t>
                  </w:r>
                </w:p>
                <w:p w14:paraId="4B60CCAB">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【性状】本品呈类球形，有的稍偏斜，直径0.7～1.6cm。表面白色或浅黄色，顶端有凹陷的茎痕，周围密布麻点状根痕；下面钝圆，较光滑。质坚实，断面洁白，富粉性。气微，味辛辣、麻舌而刺喉。</w:t>
                  </w:r>
                </w:p>
                <w:p w14:paraId="5917D8AB">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left"/>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【毒性】半夏是天南星科植物，具有“戟人咽”的刺激性，误服会出现粘膜及皮肤刺激，口舌肿胀，呼吸缓慢甚至室息死亡。无重金属及氰化物成分存在。主要毒性成分为：辛辣醇类、毒芹碱等。</w:t>
                  </w:r>
                </w:p>
                <w:p w14:paraId="61043DEF">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left"/>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【性味与归经】辛、温；有毒。归脾、胃、肺经。</w:t>
                  </w:r>
                </w:p>
                <w:p w14:paraId="10D8425F">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left"/>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【功能与主治】燥湿化痰，降逆止呕，消痞散结。用于湿痰寒痰，咳喘痰多，痰饮眩悸，风痰眩晕，痰厥头痛，呕吐反胃，胸脘痞闷，梅核气；外治痈肿痰核。</w:t>
                  </w:r>
                </w:p>
                <w:p w14:paraId="053E0151">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left"/>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【用法与用量】内服一般炮制后使用，3～9g。外用适量，磨汁涂或研末以酒调敷患处。</w:t>
                  </w:r>
                </w:p>
                <w:p w14:paraId="57BC265E">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left"/>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【注意】不宜与川乌、制川乌、草乌、制草乌、附子同用；生品内服宜慎。</w:t>
                  </w:r>
                </w:p>
                <w:p w14:paraId="3E503F95">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left"/>
                    <w:textAlignment w:val="center"/>
                    <w:rPr>
                      <w:rFonts w:hint="eastAsia"/>
                      <w:lang w:val="en-US" w:eastAsia="zh-CN"/>
                    </w:rPr>
                  </w:pPr>
                  <w:r>
                    <w:rPr>
                      <w:rFonts w:hint="eastAsia" w:ascii="Times New Roman" w:hAnsi="Times New Roman" w:eastAsia="宋体" w:cs="Times New Roman"/>
                      <w:i w:val="0"/>
                      <w:iCs w:val="0"/>
                      <w:color w:val="000000"/>
                      <w:kern w:val="0"/>
                      <w:sz w:val="21"/>
                      <w:szCs w:val="21"/>
                      <w:u w:val="none"/>
                      <w:lang w:val="en-US" w:eastAsia="zh-CN" w:bidi="ar"/>
                    </w:rPr>
                    <w:t>【贮藏】置通风干燥处，防蛀。</w:t>
                  </w:r>
                </w:p>
              </w:tc>
              <w:tc>
                <w:tcPr>
                  <w:tcW w:w="610" w:type="dxa"/>
                  <w:tcBorders>
                    <w:right w:val="nil"/>
                  </w:tcBorders>
                  <w:vAlign w:val="center"/>
                </w:tcPr>
                <w:p w14:paraId="25305324">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有毒</w:t>
                  </w:r>
                </w:p>
              </w:tc>
            </w:tr>
            <w:tr w14:paraId="1F91C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tcBorders>
                    <w:left w:val="nil"/>
                  </w:tcBorders>
                  <w:vAlign w:val="center"/>
                </w:tcPr>
                <w:p w14:paraId="0A49EF54">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附子</w:t>
                  </w:r>
                </w:p>
              </w:tc>
              <w:tc>
                <w:tcPr>
                  <w:tcW w:w="7201" w:type="dxa"/>
                  <w:vAlign w:val="center"/>
                </w:tcPr>
                <w:p w14:paraId="5C47DEAA">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left"/>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为毛茛科植物乌头Aconitum carmichaelii Debx. 的子根的加工品。6月下旬至8月上旬采挖，除去母根、须根及泥沙，习称“泥附子”</w:t>
                  </w:r>
                  <w:r>
                    <w:rPr>
                      <w:rFonts w:hint="eastAsia" w:ascii="Times New Roman" w:hAnsi="Times New Roman" w:eastAsia="宋体" w:cs="Times New Roman"/>
                      <w:i w:val="0"/>
                      <w:iCs w:val="0"/>
                      <w:color w:val="000000"/>
                      <w:kern w:val="0"/>
                      <w:sz w:val="21"/>
                      <w:szCs w:val="21"/>
                      <w:u w:val="none"/>
                      <w:lang w:val="en-US" w:eastAsia="zh-CN" w:bidi="ar"/>
                    </w:rPr>
                    <w:t>。含乌头碱、次乌头碱、中乌头碱、附子磷酸脂钙等。</w:t>
                  </w:r>
                </w:p>
                <w:p w14:paraId="51B79FE8">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【性状】盐附子  呈圆锥形，长4～7cm，直径3～5cm。表面灰黑色，被盐霜，顶端有凹陷的芽痕，周围有瘤状突起的支根或支根痕。体重，横切面灰褐色，可见充满盐霜的小空隙和多角形形成层环纹，环纹内侧导管束排列不整齐。气微，味咸而麻，刺舌。</w:t>
                  </w:r>
                </w:p>
                <w:p w14:paraId="7CE257CC">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黑顺片  为纵切片，上宽下窄，长1.7～5cm，宽0.9～3cm，厚0.2~0.5cm。外皮黑褐色，切面暗黄色，油润具光泽，半透明状，并有纵向导管束。质硬而脆，断面角质样。气微，味淡。</w:t>
                  </w:r>
                </w:p>
                <w:p w14:paraId="6AED2E65">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白附片  无外皮，黄白色，半透明，厚约0.3cm。</w:t>
                  </w:r>
                </w:p>
                <w:p w14:paraId="3B53D327">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【性味与归经】辛、甘，大热；有毒。归心、肾、脾经。</w:t>
                  </w:r>
                </w:p>
                <w:p w14:paraId="2B20935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【功能与主治】回阳救逆，补火助阳，散寒止痛。用于亡阳虚脱，肢冷脉微，心阳不足，胸痹心痛，虚寒吐泻，脘腹冷痛，肾阳虚衰，阳痿宫冷，阴寒水肿，阳虚外感，寒湿痹痛。</w:t>
                  </w:r>
                </w:p>
                <w:p w14:paraId="407AE9EB">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【用法与用量】3～15g，先煎，久煎。</w:t>
                  </w:r>
                </w:p>
                <w:p w14:paraId="43D52A1D">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【注意】孕妇慎用；不宜与半夏、瓜蒌、瓜蒌子、瓜蒌皮、天花粉、川贝母、浙贝母、平贝母、伊贝母、湖北贝母、白蔹、白及同用。</w:t>
                  </w:r>
                </w:p>
                <w:p w14:paraId="7CBAFE84">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left"/>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【贮藏】盐附子  密闭，置阴凉干燥处；黑顺片及白附片  置干燥处，防潮。</w:t>
                  </w:r>
                </w:p>
              </w:tc>
              <w:tc>
                <w:tcPr>
                  <w:tcW w:w="610" w:type="dxa"/>
                  <w:tcBorders>
                    <w:right w:val="nil"/>
                  </w:tcBorders>
                  <w:vAlign w:val="center"/>
                </w:tcPr>
                <w:p w14:paraId="607BEA8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vertAlign w:val="baseline"/>
                    </w:rPr>
                  </w:pPr>
                  <w:r>
                    <w:rPr>
                      <w:rFonts w:hint="eastAsia" w:cs="Times New Roman"/>
                      <w:sz w:val="21"/>
                      <w:szCs w:val="21"/>
                      <w:vertAlign w:val="baseline"/>
                      <w:lang w:val="en-US" w:eastAsia="zh-CN"/>
                    </w:rPr>
                    <w:t>有毒</w:t>
                  </w:r>
                </w:p>
              </w:tc>
            </w:tr>
            <w:tr w14:paraId="30177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tcBorders>
                    <w:left w:val="nil"/>
                    <w:bottom w:val="single" w:color="auto" w:sz="12" w:space="0"/>
                  </w:tcBorders>
                  <w:vAlign w:val="center"/>
                </w:tcPr>
                <w:p w14:paraId="0E66B2E8">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马钱子</w:t>
                  </w:r>
                </w:p>
              </w:tc>
              <w:tc>
                <w:tcPr>
                  <w:tcW w:w="7201" w:type="dxa"/>
                  <w:tcBorders>
                    <w:bottom w:val="single" w:color="auto" w:sz="12" w:space="0"/>
                  </w:tcBorders>
                  <w:vAlign w:val="center"/>
                </w:tcPr>
                <w:p w14:paraId="7B1F7696">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为马钱科植物马钱Strychnosnux-vomicaL.的干燥成熟种子。冬季采收成熟果实，取出种子，晒干。含吲哚类生物碱,总碱含量3%～5%,其中番木鳖碱（士的宁，strychnine）为主要活性成分，其次为马钱子碱（brucine），尚含多种微量生物碱，如α-及β-可鲁勃林（α-,β-colubrine），异番木鳖碱（isostrychnine）、伪番木鳖碱（pseudostrychnine）、伪马钱子碱（pseudobrucine）、番木鳖次碱（vomicine）、马钱子新碱（novacine）、依卡精（icajine）等</w:t>
                  </w:r>
                  <w:r>
                    <w:rPr>
                      <w:rFonts w:hint="eastAsia" w:cs="Times New Roman"/>
                      <w:i w:val="0"/>
                      <w:iCs w:val="0"/>
                      <w:color w:val="000000"/>
                      <w:kern w:val="0"/>
                      <w:sz w:val="21"/>
                      <w:szCs w:val="21"/>
                      <w:u w:val="none"/>
                      <w:lang w:val="en-US" w:eastAsia="zh-CN" w:bidi="ar"/>
                    </w:rPr>
                    <w:t>。</w:t>
                  </w:r>
                </w:p>
                <w:p w14:paraId="6659505D">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性状】本品呈纽扣状圆板形，常一面隆起，一面稍凹下，直径1.5～3cm，厚0.3～0.6cm。表面密被灰棕色或灰绿色绢状茸毛，自中间向四周呈辐射状排列，有丝样光泽。边缘稍隆起，较厚，有突起的珠孔，底面中心有突起的圆点状种脐。质坚硬，平行剖面可见淡黄白色胚乳，角质状，子叶心形，叶脉5～7条。气微，味极苦。</w:t>
                  </w:r>
                </w:p>
                <w:p w14:paraId="2AABE742">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【性味与归经】苦，温；有大毒。归肝、脾经。</w:t>
                  </w:r>
                </w:p>
                <w:p w14:paraId="5CDD5830">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【功能与主治】通络止痛，散结消肿。用于跌打损伤，骨折肿痛，风湿顽痹，麻木瘫痪，痈疽疮毒，咽喉肿痛。</w:t>
                  </w:r>
                </w:p>
                <w:p w14:paraId="20B7ABB1">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【用法与用量】0.3～0.6g，炮制后入丸散用。</w:t>
                  </w:r>
                </w:p>
                <w:p w14:paraId="2DD8B1A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【注意】孕妇禁用；不宜多服久服及生用；运动员慎用；有毒成分能经皮肤吸收，外用不宜大面积涂敷。</w:t>
                  </w:r>
                </w:p>
                <w:p w14:paraId="0089B808">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left"/>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【贮藏】置干燥处。</w:t>
                  </w:r>
                </w:p>
              </w:tc>
              <w:tc>
                <w:tcPr>
                  <w:tcW w:w="610" w:type="dxa"/>
                  <w:tcBorders>
                    <w:bottom w:val="single" w:color="auto" w:sz="12" w:space="0"/>
                    <w:right w:val="nil"/>
                  </w:tcBorders>
                  <w:vAlign w:val="center"/>
                </w:tcPr>
                <w:p w14:paraId="1F74990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大毒</w:t>
                  </w:r>
                </w:p>
              </w:tc>
            </w:tr>
          </w:tbl>
          <w:p w14:paraId="4FDEA510">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425" w:leftChars="0" w:hanging="425" w:firstLineChars="0"/>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项目部分实验试剂理化性质一览表</w:t>
            </w:r>
          </w:p>
          <w:tbl>
            <w:tblPr>
              <w:tblStyle w:val="2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8"/>
              <w:gridCol w:w="7392"/>
            </w:tblGrid>
            <w:tr w14:paraId="74907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pct"/>
                  <w:tcBorders>
                    <w:top w:val="single" w:color="auto" w:sz="12" w:space="0"/>
                  </w:tcBorders>
                  <w:vAlign w:val="center"/>
                </w:tcPr>
                <w:p w14:paraId="61C1CCD5">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名称</w:t>
                  </w:r>
                </w:p>
              </w:tc>
              <w:tc>
                <w:tcPr>
                  <w:tcW w:w="4312" w:type="pct"/>
                  <w:tcBorders>
                    <w:top w:val="single" w:color="auto" w:sz="12" w:space="0"/>
                  </w:tcBorders>
                  <w:vAlign w:val="center"/>
                </w:tcPr>
                <w:p w14:paraId="356A77FD">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理化性质</w:t>
                  </w:r>
                </w:p>
              </w:tc>
            </w:tr>
            <w:tr w14:paraId="5C6A6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pct"/>
                  <w:tcBorders>
                    <w:left w:val="nil"/>
                  </w:tcBorders>
                  <w:vAlign w:val="center"/>
                </w:tcPr>
                <w:p w14:paraId="41706F1E">
                  <w:pPr>
                    <w:keepNext w:val="0"/>
                    <w:keepLines w:val="0"/>
                    <w:pageBreakBefore w:val="0"/>
                    <w:widowControl/>
                    <w:suppressLineNumbers w:val="0"/>
                    <w:kinsoku/>
                    <w:wordWrap w:val="0"/>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盐酸</w:t>
                  </w:r>
                </w:p>
                <w:p w14:paraId="7165E60F">
                  <w:pPr>
                    <w:keepNext w:val="0"/>
                    <w:keepLines w:val="0"/>
                    <w:pageBreakBefore w:val="0"/>
                    <w:widowControl/>
                    <w:suppressLineNumbers w:val="0"/>
                    <w:kinsoku/>
                    <w:wordWrap w:val="0"/>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（HCl）</w:t>
                  </w:r>
                </w:p>
              </w:tc>
              <w:tc>
                <w:tcPr>
                  <w:tcW w:w="4312" w:type="pct"/>
                  <w:vAlign w:val="center"/>
                </w:tcPr>
                <w:p w14:paraId="7A255AB4">
                  <w:pPr>
                    <w:keepNext w:val="0"/>
                    <w:keepLines w:val="0"/>
                    <w:pageBreakBefore w:val="0"/>
                    <w:widowControl/>
                    <w:suppressLineNumbers w:val="0"/>
                    <w:kinsoku/>
                    <w:wordWrap w:val="0"/>
                    <w:overflowPunct/>
                    <w:topLinePunct w:val="0"/>
                    <w:autoSpaceDE/>
                    <w:autoSpaceDN/>
                    <w:bidi w:val="0"/>
                    <w:adjustRightInd/>
                    <w:snapToGrid/>
                    <w:spacing w:line="240" w:lineRule="auto"/>
                    <w:ind w:left="0" w:leftChars="0" w:firstLine="0" w:firstLineChars="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无色液体，具有刺激性气味，与水、乙醇任意混溶，不可燃，具有腐蚀性，会腐蚀人体组织，可能会不可逆地损伤呼吸器官、眼部、皮肤和胃肠等。</w:t>
                  </w:r>
                </w:p>
                <w:p w14:paraId="7875E7BD">
                  <w:pPr>
                    <w:pStyle w:val="19"/>
                    <w:keepNext w:val="0"/>
                    <w:keepLines w:val="0"/>
                    <w:pageBreakBefore w:val="0"/>
                    <w:kinsoku/>
                    <w:wordWrap w:val="0"/>
                    <w:overflowPunct/>
                    <w:topLinePunct w:val="0"/>
                    <w:autoSpaceDE/>
                    <w:autoSpaceDN/>
                    <w:bidi w:val="0"/>
                    <w:adjustRightInd/>
                    <w:snapToGrid/>
                    <w:spacing w:after="0" w:line="240" w:lineRule="auto"/>
                    <w:ind w:left="0" w:leftChars="0"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LD50：900mg/kg(兔经口)；LC50：3124ppm，1小时(大鼠吸入)</w:t>
                  </w:r>
                </w:p>
              </w:tc>
            </w:tr>
            <w:tr w14:paraId="074A7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pct"/>
                  <w:tcBorders>
                    <w:left w:val="nil"/>
                  </w:tcBorders>
                  <w:vAlign w:val="center"/>
                </w:tcPr>
                <w:p w14:paraId="3B34A5D0">
                  <w:pPr>
                    <w:keepNext w:val="0"/>
                    <w:keepLines w:val="0"/>
                    <w:pageBreakBefore w:val="0"/>
                    <w:widowControl/>
                    <w:suppressLineNumbers w:val="0"/>
                    <w:kinsoku/>
                    <w:wordWrap w:val="0"/>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硝酸</w:t>
                  </w:r>
                </w:p>
                <w:p w14:paraId="46717BCF">
                  <w:pPr>
                    <w:keepNext w:val="0"/>
                    <w:keepLines w:val="0"/>
                    <w:pageBreakBefore w:val="0"/>
                    <w:widowControl/>
                    <w:suppressLineNumbers w:val="0"/>
                    <w:kinsoku/>
                    <w:wordWrap w:val="0"/>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（HNO</w:t>
                  </w:r>
                  <w:r>
                    <w:rPr>
                      <w:rFonts w:hint="default" w:ascii="Times New Roman" w:hAnsi="Times New Roman" w:eastAsia="宋体" w:cs="Times New Roman"/>
                      <w:i w:val="0"/>
                      <w:iCs w:val="0"/>
                      <w:color w:val="000000"/>
                      <w:kern w:val="0"/>
                      <w:sz w:val="21"/>
                      <w:szCs w:val="21"/>
                      <w:u w:val="none"/>
                      <w:vertAlign w:val="sub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w:t>
                  </w:r>
                </w:p>
              </w:tc>
              <w:tc>
                <w:tcPr>
                  <w:tcW w:w="4312" w:type="pct"/>
                  <w:vAlign w:val="center"/>
                </w:tcPr>
                <w:p w14:paraId="4601F0B2">
                  <w:pPr>
                    <w:pStyle w:val="19"/>
                    <w:keepNext w:val="0"/>
                    <w:keepLines w:val="0"/>
                    <w:pageBreakBefore w:val="0"/>
                    <w:kinsoku/>
                    <w:wordWrap w:val="0"/>
                    <w:overflowPunct/>
                    <w:topLinePunct w:val="0"/>
                    <w:autoSpaceDE/>
                    <w:autoSpaceDN/>
                    <w:bidi w:val="0"/>
                    <w:adjustRightInd/>
                    <w:snapToGrid/>
                    <w:spacing w:after="0" w:line="240" w:lineRule="auto"/>
                    <w:ind w:left="0" w:leftChars="0"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无色透明发烟液体，有酸味，熔点（℃）：-42；沸点（℃）：86；属于强氧化剂，能助燃，具有强腐蚀性、强刺激性，可致人体灼伤。</w:t>
                  </w:r>
                </w:p>
              </w:tc>
            </w:tr>
            <w:tr w14:paraId="359F0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pct"/>
                  <w:tcBorders>
                    <w:left w:val="nil"/>
                  </w:tcBorders>
                  <w:vAlign w:val="center"/>
                </w:tcPr>
                <w:p w14:paraId="324573F9">
                  <w:pPr>
                    <w:keepNext w:val="0"/>
                    <w:keepLines w:val="0"/>
                    <w:pageBreakBefore w:val="0"/>
                    <w:widowControl/>
                    <w:suppressLineNumbers w:val="0"/>
                    <w:kinsoku/>
                    <w:wordWrap w:val="0"/>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硫酸</w:t>
                  </w:r>
                </w:p>
                <w:p w14:paraId="022CCA9B">
                  <w:pPr>
                    <w:keepNext w:val="0"/>
                    <w:keepLines w:val="0"/>
                    <w:pageBreakBefore w:val="0"/>
                    <w:widowControl/>
                    <w:suppressLineNumbers w:val="0"/>
                    <w:kinsoku/>
                    <w:wordWrap w:val="0"/>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w:t>
                  </w:r>
                  <w:r>
                    <w:rPr>
                      <w:rFonts w:hint="default" w:ascii="Times New Roman" w:hAnsi="Times New Roman" w:eastAsia="宋体" w:cs="Times New Roman"/>
                      <w:i w:val="0"/>
                      <w:iCs w:val="0"/>
                      <w:color w:val="000000"/>
                      <w:kern w:val="0"/>
                      <w:sz w:val="21"/>
                      <w:szCs w:val="21"/>
                      <w:u w:val="none"/>
                      <w:vertAlign w:val="subscript"/>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SO</w:t>
                  </w:r>
                  <w:r>
                    <w:rPr>
                      <w:rFonts w:hint="default" w:ascii="Times New Roman" w:hAnsi="Times New Roman" w:eastAsia="宋体" w:cs="Times New Roman"/>
                      <w:i w:val="0"/>
                      <w:iCs w:val="0"/>
                      <w:color w:val="000000"/>
                      <w:kern w:val="0"/>
                      <w:sz w:val="21"/>
                      <w:szCs w:val="21"/>
                      <w:u w:val="none"/>
                      <w:vertAlign w:val="subscript"/>
                      <w:lang w:val="en-US" w:eastAsia="zh-CN" w:bidi="ar"/>
                    </w:rPr>
                    <w:t>4</w:t>
                  </w:r>
                  <w:r>
                    <w:rPr>
                      <w:rFonts w:hint="default" w:ascii="Times New Roman" w:hAnsi="Times New Roman" w:eastAsia="宋体" w:cs="Times New Roman"/>
                      <w:i w:val="0"/>
                      <w:iCs w:val="0"/>
                      <w:color w:val="000000"/>
                      <w:kern w:val="0"/>
                      <w:sz w:val="21"/>
                      <w:szCs w:val="21"/>
                      <w:u w:val="none"/>
                      <w:lang w:val="en-US" w:eastAsia="zh-CN" w:bidi="ar"/>
                    </w:rPr>
                    <w:t>）</w:t>
                  </w:r>
                </w:p>
              </w:tc>
              <w:tc>
                <w:tcPr>
                  <w:tcW w:w="4312" w:type="pct"/>
                  <w:vAlign w:val="center"/>
                </w:tcPr>
                <w:p w14:paraId="574A69B7">
                  <w:pPr>
                    <w:pStyle w:val="19"/>
                    <w:keepNext w:val="0"/>
                    <w:keepLines w:val="0"/>
                    <w:pageBreakBefore w:val="0"/>
                    <w:kinsoku/>
                    <w:wordWrap w:val="0"/>
                    <w:overflowPunct/>
                    <w:topLinePunct w:val="0"/>
                    <w:autoSpaceDE/>
                    <w:autoSpaceDN/>
                    <w:bidi w:val="0"/>
                    <w:adjustRightInd/>
                    <w:snapToGrid/>
                    <w:spacing w:after="0" w:line="240" w:lineRule="auto"/>
                    <w:ind w:left="0" w:leftChars="0"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无色透明油状液体，无臭。熔点（℃）：10.5；沸点（℃）：330；与水混溶。能助燃，具有强腐蚀性、强刺激性，可致人体灼伤。</w:t>
                  </w:r>
                </w:p>
                <w:p w14:paraId="25A8E962">
                  <w:pPr>
                    <w:keepNext w:val="0"/>
                    <w:keepLines w:val="0"/>
                    <w:pageBreakBefore w:val="0"/>
                    <w:kinsoku/>
                    <w:wordWrap w:val="0"/>
                    <w:overflowPunct/>
                    <w:topLinePunct w:val="0"/>
                    <w:autoSpaceDE/>
                    <w:autoSpaceDN/>
                    <w:bidi w:val="0"/>
                    <w:adjustRightInd/>
                    <w:snapToGrid/>
                    <w:spacing w:line="240" w:lineRule="auto"/>
                    <w:ind w:left="0" w:leftChars="0"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LD502140mg/kg（大鼠经口）；LC50510mg/m3（大鼠吸入）</w:t>
                  </w:r>
                </w:p>
              </w:tc>
            </w:tr>
            <w:tr w14:paraId="77AEE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pct"/>
                  <w:tcBorders>
                    <w:left w:val="nil"/>
                  </w:tcBorders>
                  <w:vAlign w:val="center"/>
                </w:tcPr>
                <w:p w14:paraId="0F355EA8">
                  <w:pPr>
                    <w:keepNext w:val="0"/>
                    <w:keepLines w:val="0"/>
                    <w:pageBreakBefore w:val="0"/>
                    <w:widowControl/>
                    <w:suppressLineNumbers w:val="0"/>
                    <w:kinsoku/>
                    <w:wordWrap w:val="0"/>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重铬酸钾</w:t>
                  </w:r>
                </w:p>
                <w:p w14:paraId="1BCF2E58">
                  <w:pPr>
                    <w:keepNext w:val="0"/>
                    <w:keepLines w:val="0"/>
                    <w:pageBreakBefore w:val="0"/>
                    <w:widowControl/>
                    <w:suppressLineNumbers w:val="0"/>
                    <w:kinsoku/>
                    <w:wordWrap w:val="0"/>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K</w:t>
                  </w:r>
                  <w:r>
                    <w:rPr>
                      <w:rFonts w:hint="default" w:ascii="Times New Roman" w:hAnsi="Times New Roman" w:eastAsia="宋体" w:cs="Times New Roman"/>
                      <w:i w:val="0"/>
                      <w:iCs w:val="0"/>
                      <w:color w:val="000000"/>
                      <w:kern w:val="0"/>
                      <w:sz w:val="21"/>
                      <w:szCs w:val="21"/>
                      <w:u w:val="none"/>
                      <w:vertAlign w:val="subscript"/>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Cr</w:t>
                  </w:r>
                  <w:r>
                    <w:rPr>
                      <w:rFonts w:hint="default" w:ascii="Times New Roman" w:hAnsi="Times New Roman" w:eastAsia="宋体" w:cs="Times New Roman"/>
                      <w:i w:val="0"/>
                      <w:iCs w:val="0"/>
                      <w:color w:val="000000"/>
                      <w:kern w:val="0"/>
                      <w:sz w:val="21"/>
                      <w:szCs w:val="21"/>
                      <w:u w:val="none"/>
                      <w:vertAlign w:val="subscript"/>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O</w:t>
                  </w:r>
                  <w:r>
                    <w:rPr>
                      <w:rFonts w:hint="default" w:ascii="Times New Roman" w:hAnsi="Times New Roman" w:eastAsia="宋体" w:cs="Times New Roman"/>
                      <w:i w:val="0"/>
                      <w:iCs w:val="0"/>
                      <w:color w:val="000000"/>
                      <w:kern w:val="0"/>
                      <w:sz w:val="21"/>
                      <w:szCs w:val="21"/>
                      <w:u w:val="none"/>
                      <w:vertAlign w:val="subscript"/>
                      <w:lang w:val="en-US" w:eastAsia="zh-CN" w:bidi="ar"/>
                    </w:rPr>
                    <w:t>7</w:t>
                  </w:r>
                </w:p>
              </w:tc>
              <w:tc>
                <w:tcPr>
                  <w:tcW w:w="4312" w:type="pct"/>
                  <w:vAlign w:val="center"/>
                </w:tcPr>
                <w:p w14:paraId="18888B57">
                  <w:pPr>
                    <w:pStyle w:val="19"/>
                    <w:keepNext w:val="0"/>
                    <w:keepLines w:val="0"/>
                    <w:pageBreakBefore w:val="0"/>
                    <w:kinsoku/>
                    <w:wordWrap w:val="0"/>
                    <w:overflowPunct/>
                    <w:topLinePunct w:val="0"/>
                    <w:autoSpaceDE/>
                    <w:autoSpaceDN/>
                    <w:bidi w:val="0"/>
                    <w:adjustRightInd/>
                    <w:snapToGrid/>
                    <w:spacing w:after="0" w:line="240" w:lineRule="auto"/>
                    <w:ind w:left="0" w:leftChars="0" w:firstLine="0" w:firstLineChars="0"/>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重铬酸钾为橙红色三斜晶体或针状晶体，溶于水，不溶于乙醇。有毒。密度2.676g/cm3。熔点398℃。沸点：500℃。</w:t>
                  </w:r>
                </w:p>
                <w:p w14:paraId="518F1014">
                  <w:pPr>
                    <w:keepNext w:val="0"/>
                    <w:keepLines w:val="0"/>
                    <w:pageBreakBefore w:val="0"/>
                    <w:kinsoku/>
                    <w:wordWrap w:val="0"/>
                    <w:overflowPunct/>
                    <w:topLinePunct w:val="0"/>
                    <w:autoSpaceDE/>
                    <w:autoSpaceDN/>
                    <w:bidi w:val="0"/>
                    <w:adjustRightInd/>
                    <w:snapToGrid/>
                    <w:spacing w:line="240" w:lineRule="auto"/>
                    <w:ind w:left="0" w:leftChars="0"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毒性：高毒类。急性毒性：LD50：190mg/kg(小鼠经口)</w:t>
                  </w:r>
                </w:p>
              </w:tc>
            </w:tr>
            <w:tr w14:paraId="41E3E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pct"/>
                  <w:tcBorders>
                    <w:left w:val="nil"/>
                  </w:tcBorders>
                  <w:vAlign w:val="center"/>
                </w:tcPr>
                <w:p w14:paraId="713B4C14">
                  <w:pPr>
                    <w:keepNext w:val="0"/>
                    <w:keepLines w:val="0"/>
                    <w:pageBreakBefore w:val="0"/>
                    <w:widowControl/>
                    <w:suppressLineNumbers w:val="0"/>
                    <w:kinsoku/>
                    <w:wordWrap w:val="0"/>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高锰酸钾</w:t>
                  </w:r>
                </w:p>
                <w:p w14:paraId="3F4F0CC2">
                  <w:pPr>
                    <w:keepNext w:val="0"/>
                    <w:keepLines w:val="0"/>
                    <w:pageBreakBefore w:val="0"/>
                    <w:widowControl/>
                    <w:suppressLineNumbers w:val="0"/>
                    <w:kinsoku/>
                    <w:wordWrap w:val="0"/>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KMnO</w:t>
                  </w:r>
                  <w:r>
                    <w:rPr>
                      <w:rFonts w:hint="default" w:ascii="Times New Roman" w:hAnsi="Times New Roman" w:eastAsia="宋体" w:cs="Times New Roman"/>
                      <w:i w:val="0"/>
                      <w:iCs w:val="0"/>
                      <w:color w:val="000000"/>
                      <w:kern w:val="0"/>
                      <w:sz w:val="21"/>
                      <w:szCs w:val="21"/>
                      <w:u w:val="none"/>
                      <w:vertAlign w:val="subscript"/>
                      <w:lang w:val="en-US" w:eastAsia="zh-CN" w:bidi="ar"/>
                    </w:rPr>
                    <w:t>4</w:t>
                  </w:r>
                </w:p>
              </w:tc>
              <w:tc>
                <w:tcPr>
                  <w:tcW w:w="4312" w:type="pct"/>
                  <w:vAlign w:val="center"/>
                </w:tcPr>
                <w:p w14:paraId="4EB2AE80">
                  <w:pPr>
                    <w:keepNext w:val="0"/>
                    <w:keepLines w:val="0"/>
                    <w:pageBreakBefore w:val="0"/>
                    <w:kinsoku/>
                    <w:wordWrap w:val="0"/>
                    <w:overflowPunct/>
                    <w:topLinePunct w:val="0"/>
                    <w:autoSpaceDE/>
                    <w:autoSpaceDN/>
                    <w:bidi w:val="0"/>
                    <w:adjustRightInd/>
                    <w:snapToGrid/>
                    <w:spacing w:line="240" w:lineRule="auto"/>
                    <w:ind w:left="0" w:leftChars="0"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分子式：KMnO4；分子量：158.03；熔点：240℃；密度：相对密度(水=1)2.7；溶解性：溶于水、碱液，微溶于甲醇、丙酮、硫酸；外观与性状：深紫色细长斜方柱状结晶，有金属光泽。</w:t>
                  </w:r>
                </w:p>
                <w:p w14:paraId="5498E74E">
                  <w:pPr>
                    <w:pStyle w:val="19"/>
                    <w:keepNext w:val="0"/>
                    <w:keepLines w:val="0"/>
                    <w:pageBreakBefore w:val="0"/>
                    <w:kinsoku/>
                    <w:wordWrap w:val="0"/>
                    <w:overflowPunct/>
                    <w:topLinePunct w:val="0"/>
                    <w:autoSpaceDE/>
                    <w:autoSpaceDN/>
                    <w:bidi w:val="0"/>
                    <w:adjustRightInd/>
                    <w:snapToGrid/>
                    <w:spacing w:after="0" w:line="240" w:lineRule="auto"/>
                    <w:ind w:left="0" w:leftChars="0"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LD50：1090mg/kg(大鼠经口)；LC50：无资料</w:t>
                  </w:r>
                </w:p>
              </w:tc>
            </w:tr>
            <w:tr w14:paraId="4AE58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pct"/>
                  <w:tcBorders>
                    <w:left w:val="nil"/>
                  </w:tcBorders>
                  <w:vAlign w:val="center"/>
                </w:tcPr>
                <w:p w14:paraId="706E3F0A">
                  <w:pPr>
                    <w:keepNext w:val="0"/>
                    <w:keepLines w:val="0"/>
                    <w:pageBreakBefore w:val="0"/>
                    <w:widowControl/>
                    <w:suppressLineNumbers w:val="0"/>
                    <w:kinsoku/>
                    <w:wordWrap w:val="0"/>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氢氧化钠</w:t>
                  </w:r>
                </w:p>
                <w:p w14:paraId="15FC6271">
                  <w:pPr>
                    <w:keepNext w:val="0"/>
                    <w:keepLines w:val="0"/>
                    <w:pageBreakBefore w:val="0"/>
                    <w:widowControl/>
                    <w:suppressLineNumbers w:val="0"/>
                    <w:kinsoku/>
                    <w:wordWrap w:val="0"/>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（NaOH）</w:t>
                  </w:r>
                </w:p>
              </w:tc>
              <w:tc>
                <w:tcPr>
                  <w:tcW w:w="4312" w:type="pct"/>
                  <w:vAlign w:val="center"/>
                </w:tcPr>
                <w:p w14:paraId="74C46567">
                  <w:pPr>
                    <w:keepNext w:val="0"/>
                    <w:keepLines w:val="0"/>
                    <w:pageBreakBefore w:val="0"/>
                    <w:kinsoku/>
                    <w:wordWrap w:val="0"/>
                    <w:overflowPunct/>
                    <w:topLinePunct w:val="0"/>
                    <w:autoSpaceDE/>
                    <w:autoSpaceDN/>
                    <w:bidi w:val="0"/>
                    <w:adjustRightInd/>
                    <w:snapToGrid/>
                    <w:spacing w:line="240" w:lineRule="auto"/>
                    <w:ind w:left="0" w:leftChars="0"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白色不透明固体，易潮解，熔点318.4℃，沸点1390℃，易溶于水、乙醇、甘油，不溶于丙醇。不燃，具有强腐蚀性、强刺激性，可致人体灼伤。</w:t>
                  </w:r>
                </w:p>
              </w:tc>
            </w:tr>
            <w:tr w14:paraId="23DB5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pct"/>
                  <w:tcBorders>
                    <w:left w:val="nil"/>
                  </w:tcBorders>
                  <w:vAlign w:val="center"/>
                </w:tcPr>
                <w:p w14:paraId="13060201">
                  <w:pPr>
                    <w:keepNext w:val="0"/>
                    <w:keepLines w:val="0"/>
                    <w:pageBreakBefore w:val="0"/>
                    <w:widowControl/>
                    <w:suppressLineNumbers w:val="0"/>
                    <w:kinsoku/>
                    <w:wordWrap w:val="0"/>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乙醇</w:t>
                  </w:r>
                </w:p>
                <w:p w14:paraId="1BD25306">
                  <w:pPr>
                    <w:keepNext w:val="0"/>
                    <w:keepLines w:val="0"/>
                    <w:pageBreakBefore w:val="0"/>
                    <w:widowControl/>
                    <w:suppressLineNumbers w:val="0"/>
                    <w:kinsoku/>
                    <w:wordWrap w:val="0"/>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（C</w:t>
                  </w:r>
                  <w:r>
                    <w:rPr>
                      <w:rFonts w:hint="default" w:ascii="Times New Roman" w:hAnsi="Times New Roman" w:eastAsia="宋体" w:cs="Times New Roman"/>
                      <w:i w:val="0"/>
                      <w:iCs w:val="0"/>
                      <w:color w:val="000000"/>
                      <w:kern w:val="0"/>
                      <w:sz w:val="21"/>
                      <w:szCs w:val="21"/>
                      <w:u w:val="none"/>
                      <w:vertAlign w:val="subscript"/>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H</w:t>
                  </w:r>
                  <w:r>
                    <w:rPr>
                      <w:rFonts w:hint="default" w:ascii="Times New Roman" w:hAnsi="Times New Roman" w:eastAsia="宋体" w:cs="Times New Roman"/>
                      <w:i w:val="0"/>
                      <w:iCs w:val="0"/>
                      <w:color w:val="000000"/>
                      <w:kern w:val="0"/>
                      <w:sz w:val="21"/>
                      <w:szCs w:val="21"/>
                      <w:u w:val="none"/>
                      <w:vertAlign w:val="subscript"/>
                      <w:lang w:val="en-US" w:eastAsia="zh-CN" w:bidi="ar"/>
                    </w:rPr>
                    <w:t>6</w:t>
                  </w:r>
                  <w:r>
                    <w:rPr>
                      <w:rFonts w:hint="default" w:ascii="Times New Roman" w:hAnsi="Times New Roman" w:eastAsia="宋体" w:cs="Times New Roman"/>
                      <w:i w:val="0"/>
                      <w:iCs w:val="0"/>
                      <w:color w:val="000000"/>
                      <w:kern w:val="0"/>
                      <w:sz w:val="21"/>
                      <w:szCs w:val="21"/>
                      <w:u w:val="none"/>
                      <w:lang w:val="en-US" w:eastAsia="zh-CN" w:bidi="ar"/>
                    </w:rPr>
                    <w:t>O）</w:t>
                  </w:r>
                </w:p>
              </w:tc>
              <w:tc>
                <w:tcPr>
                  <w:tcW w:w="4312" w:type="pct"/>
                  <w:vAlign w:val="center"/>
                </w:tcPr>
                <w:p w14:paraId="549EE864">
                  <w:pPr>
                    <w:keepNext w:val="0"/>
                    <w:keepLines w:val="0"/>
                    <w:pageBreakBefore w:val="0"/>
                    <w:widowControl/>
                    <w:suppressLineNumbers w:val="0"/>
                    <w:kinsoku/>
                    <w:wordWrap w:val="0"/>
                    <w:overflowPunct/>
                    <w:topLinePunct w:val="0"/>
                    <w:autoSpaceDE/>
                    <w:autoSpaceDN/>
                    <w:bidi w:val="0"/>
                    <w:adjustRightInd/>
                    <w:snapToGrid/>
                    <w:spacing w:line="240" w:lineRule="auto"/>
                    <w:ind w:left="0" w:leftChars="0" w:firstLine="0" w:firstLineChars="0"/>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乙醇是一种有机物，俗称酒精，分子式为CH</w:t>
                  </w:r>
                  <w:r>
                    <w:rPr>
                      <w:rFonts w:hint="default" w:ascii="Times New Roman" w:hAnsi="Times New Roman" w:eastAsia="宋体" w:cs="Times New Roman"/>
                      <w:i w:val="0"/>
                      <w:iCs w:val="0"/>
                      <w:color w:val="000000"/>
                      <w:kern w:val="0"/>
                      <w:sz w:val="21"/>
                      <w:szCs w:val="21"/>
                      <w:u w:val="none"/>
                      <w:vertAlign w:val="sub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CH</w:t>
                  </w:r>
                  <w:r>
                    <w:rPr>
                      <w:rFonts w:hint="default" w:ascii="Times New Roman" w:hAnsi="Times New Roman" w:eastAsia="宋体" w:cs="Times New Roman"/>
                      <w:i w:val="0"/>
                      <w:iCs w:val="0"/>
                      <w:color w:val="000000"/>
                      <w:kern w:val="0"/>
                      <w:sz w:val="21"/>
                      <w:szCs w:val="21"/>
                      <w:u w:val="none"/>
                      <w:vertAlign w:val="subscript"/>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OH，是带有一个羟基的饱和一元醇，乙醇液体密度是0.789g/cm3(20C°)，乙醇气体密度为1.59kg/m3，沸点是78.4℃，熔点是-114.3℃，能与水以任意比互溶。能与水、氯仿、乙醚、甲醇、丙酮和其他多数有机溶溶剂混溶，相对密度(d15.56)0.816。</w:t>
                  </w:r>
                </w:p>
                <w:p w14:paraId="3FD82F9F">
                  <w:pPr>
                    <w:pStyle w:val="19"/>
                    <w:keepNext w:val="0"/>
                    <w:keepLines w:val="0"/>
                    <w:pageBreakBefore w:val="0"/>
                    <w:kinsoku/>
                    <w:wordWrap w:val="0"/>
                    <w:overflowPunct/>
                    <w:topLinePunct w:val="0"/>
                    <w:autoSpaceDE/>
                    <w:autoSpaceDN/>
                    <w:bidi w:val="0"/>
                    <w:adjustRightInd/>
                    <w:snapToGrid/>
                    <w:spacing w:after="0" w:line="240" w:lineRule="auto"/>
                    <w:ind w:left="0" w:leftChars="0"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毒性：低毒。急性毒性：LD50：7060mg/kg(大鼠经口)；7340mg/kg(兔经皮)；LC5037620mg/m3，10小时(大鼠吸入)；人吸入4.3mg/L×50分钟，头面部发热，四肢发凉，头痛；人吸入2.6mg/L×39分钟，头痛，无后作用。</w:t>
                  </w:r>
                </w:p>
              </w:tc>
            </w:tr>
            <w:tr w14:paraId="7DA69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pct"/>
                  <w:tcBorders>
                    <w:left w:val="nil"/>
                  </w:tcBorders>
                  <w:vAlign w:val="center"/>
                </w:tcPr>
                <w:p w14:paraId="2CFC6749">
                  <w:pPr>
                    <w:keepNext w:val="0"/>
                    <w:keepLines w:val="0"/>
                    <w:pageBreakBefore w:val="0"/>
                    <w:widowControl/>
                    <w:suppressLineNumbers w:val="0"/>
                    <w:kinsoku/>
                    <w:wordWrap w:val="0"/>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b/>
                      <w:bCs/>
                      <w:i w:val="0"/>
                      <w:iCs w:val="0"/>
                      <w:color w:val="FF0000"/>
                      <w:kern w:val="0"/>
                      <w:sz w:val="21"/>
                      <w:szCs w:val="21"/>
                      <w:u w:val="single"/>
                      <w:lang w:val="en-US" w:eastAsia="zh-CN" w:bidi="ar"/>
                    </w:rPr>
                  </w:pPr>
                  <w:r>
                    <w:rPr>
                      <w:rFonts w:hint="eastAsia" w:cs="Times New Roman"/>
                      <w:b/>
                      <w:bCs/>
                      <w:i w:val="0"/>
                      <w:iCs w:val="0"/>
                      <w:color w:val="FF0000"/>
                      <w:kern w:val="0"/>
                      <w:sz w:val="21"/>
                      <w:szCs w:val="21"/>
                      <w:u w:val="single"/>
                      <w:lang w:val="en-US" w:eastAsia="zh-CN" w:bidi="ar"/>
                    </w:rPr>
                    <w:t>丙酮</w:t>
                  </w:r>
                </w:p>
              </w:tc>
              <w:tc>
                <w:tcPr>
                  <w:tcW w:w="4312" w:type="pct"/>
                  <w:vAlign w:val="center"/>
                </w:tcPr>
                <w:p w14:paraId="67CC6375">
                  <w:pPr>
                    <w:pStyle w:val="19"/>
                    <w:keepNext w:val="0"/>
                    <w:keepLines w:val="0"/>
                    <w:pageBreakBefore w:val="0"/>
                    <w:kinsoku/>
                    <w:wordWrap w:val="0"/>
                    <w:overflowPunct/>
                    <w:topLinePunct w:val="0"/>
                    <w:autoSpaceDE/>
                    <w:autoSpaceDN/>
                    <w:bidi w:val="0"/>
                    <w:adjustRightInd/>
                    <w:snapToGrid/>
                    <w:spacing w:after="0" w:line="240" w:lineRule="auto"/>
                    <w:ind w:left="0" w:leftChars="0" w:firstLine="0" w:firstLineChars="0"/>
                    <w:rPr>
                      <w:rFonts w:hint="eastAsia" w:ascii="Times New Roman" w:hAnsi="Times New Roman" w:eastAsia="宋体" w:cs="Times New Roman"/>
                      <w:b/>
                      <w:bCs/>
                      <w:color w:val="FF0000"/>
                      <w:sz w:val="21"/>
                      <w:szCs w:val="21"/>
                      <w:u w:val="single"/>
                      <w:lang w:val="en-US" w:eastAsia="zh-CN"/>
                    </w:rPr>
                  </w:pPr>
                  <w:r>
                    <w:rPr>
                      <w:rFonts w:hint="default" w:ascii="Times New Roman" w:hAnsi="Times New Roman" w:eastAsia="宋体" w:cs="Times New Roman"/>
                      <w:b/>
                      <w:bCs/>
                      <w:color w:val="FF0000"/>
                      <w:sz w:val="21"/>
                      <w:szCs w:val="21"/>
                      <w:u w:val="single"/>
                      <w:lang w:val="en-US" w:eastAsia="zh-CN"/>
                    </w:rPr>
                    <w:t>丙酮是一种无色透明液体，具有特殊的芳香味道，分子式C3H6O</w:t>
                  </w:r>
                  <w:r>
                    <w:rPr>
                      <w:rFonts w:hint="eastAsia" w:cs="Times New Roman"/>
                      <w:b/>
                      <w:bCs/>
                      <w:color w:val="FF0000"/>
                      <w:sz w:val="21"/>
                      <w:szCs w:val="21"/>
                      <w:u w:val="single"/>
                      <w:lang w:val="en-US" w:eastAsia="zh-CN"/>
                    </w:rPr>
                    <w:t>，</w:t>
                  </w:r>
                  <w:r>
                    <w:rPr>
                      <w:rFonts w:hint="default" w:ascii="Times New Roman" w:hAnsi="Times New Roman" w:eastAsia="宋体" w:cs="Times New Roman"/>
                      <w:b/>
                      <w:bCs/>
                      <w:color w:val="FF0000"/>
                      <w:sz w:val="21"/>
                      <w:szCs w:val="21"/>
                      <w:u w:val="single"/>
                      <w:lang w:val="en-US" w:eastAsia="zh-CN"/>
                    </w:rPr>
                    <w:t>密度为0.7845g/cm³，沸点为56.2℃，熔点为-94.7℃，折射率为1.3585，粘度为0.307cP1。丙酮易溶于水和一些有机溶剂，如乙醇、乙醚、氯仿和吡啶等</w:t>
                  </w:r>
                  <w:r>
                    <w:rPr>
                      <w:rFonts w:hint="eastAsia" w:ascii="Times New Roman" w:hAnsi="Times New Roman" w:eastAsia="宋体" w:cs="Times New Roman"/>
                      <w:b/>
                      <w:bCs/>
                      <w:color w:val="FF0000"/>
                      <w:sz w:val="21"/>
                      <w:szCs w:val="21"/>
                      <w:u w:val="single"/>
                      <w:lang w:val="en-US" w:eastAsia="zh-CN"/>
                    </w:rPr>
                    <w:t>。</w:t>
                  </w:r>
                </w:p>
                <w:p w14:paraId="427DEAE7">
                  <w:pPr>
                    <w:pStyle w:val="19"/>
                    <w:keepNext w:val="0"/>
                    <w:keepLines w:val="0"/>
                    <w:pageBreakBefore w:val="0"/>
                    <w:kinsoku/>
                    <w:wordWrap w:val="0"/>
                    <w:overflowPunct/>
                    <w:topLinePunct w:val="0"/>
                    <w:autoSpaceDE/>
                    <w:autoSpaceDN/>
                    <w:bidi w:val="0"/>
                    <w:adjustRightInd/>
                    <w:snapToGrid/>
                    <w:spacing w:after="0" w:line="240" w:lineRule="auto"/>
                    <w:ind w:left="0" w:leftChars="0" w:firstLine="0" w:firstLineChars="0"/>
                    <w:rPr>
                      <w:rFonts w:hint="default"/>
                      <w:lang w:val="en-US" w:eastAsia="zh-CN"/>
                    </w:rPr>
                  </w:pPr>
                  <w:r>
                    <w:rPr>
                      <w:rFonts w:hint="default" w:ascii="Times New Roman" w:hAnsi="Times New Roman" w:eastAsia="宋体" w:cs="Times New Roman"/>
                      <w:b/>
                      <w:bCs/>
                      <w:color w:val="FF0000"/>
                      <w:sz w:val="21"/>
                      <w:szCs w:val="21"/>
                      <w:u w:val="single"/>
                      <w:lang w:val="en-US" w:eastAsia="zh-CN"/>
                    </w:rPr>
                    <w:t>危险特性：其蒸气与空气可形成爆炸性混合物。遇明火、高热极易燃烧爆炸。与氧化剂能发生强烈反应。其蒸气比空气重，能在较低处扩散到相当远的地方，遇明火会引着回燃。若遇高热，容器内压增大，有开裂和爆炸的危险。</w:t>
                  </w:r>
                </w:p>
              </w:tc>
            </w:tr>
            <w:tr w14:paraId="3232C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pct"/>
                  <w:tcBorders>
                    <w:left w:val="nil"/>
                  </w:tcBorders>
                  <w:vAlign w:val="center"/>
                </w:tcPr>
                <w:p w14:paraId="487485C9">
                  <w:pPr>
                    <w:keepNext w:val="0"/>
                    <w:keepLines w:val="0"/>
                    <w:pageBreakBefore w:val="0"/>
                    <w:widowControl/>
                    <w:suppressLineNumbers w:val="0"/>
                    <w:kinsoku/>
                    <w:wordWrap w:val="0"/>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b/>
                      <w:bCs/>
                      <w:color w:val="FF0000"/>
                      <w:kern w:val="0"/>
                      <w:sz w:val="21"/>
                      <w:szCs w:val="21"/>
                      <w:u w:val="single"/>
                      <w:lang w:val="en-US" w:eastAsia="zh-CN" w:bidi="ar-SA"/>
                    </w:rPr>
                  </w:pPr>
                  <w:r>
                    <w:rPr>
                      <w:rFonts w:hint="eastAsia" w:ascii="Times New Roman" w:hAnsi="Times New Roman" w:eastAsia="宋体" w:cs="Times New Roman"/>
                      <w:b/>
                      <w:bCs/>
                      <w:color w:val="FF0000"/>
                      <w:kern w:val="0"/>
                      <w:sz w:val="21"/>
                      <w:szCs w:val="21"/>
                      <w:u w:val="single"/>
                      <w:lang w:val="en-US" w:eastAsia="zh-CN" w:bidi="ar-SA"/>
                    </w:rPr>
                    <w:t>甲醇</w:t>
                  </w:r>
                </w:p>
              </w:tc>
              <w:tc>
                <w:tcPr>
                  <w:tcW w:w="4312" w:type="pct"/>
                  <w:vAlign w:val="center"/>
                </w:tcPr>
                <w:p w14:paraId="4224DDB4">
                  <w:pPr>
                    <w:pStyle w:val="19"/>
                    <w:keepNext w:val="0"/>
                    <w:keepLines w:val="0"/>
                    <w:pageBreakBefore w:val="0"/>
                    <w:kinsoku/>
                    <w:wordWrap w:val="0"/>
                    <w:overflowPunct/>
                    <w:topLinePunct w:val="0"/>
                    <w:autoSpaceDE/>
                    <w:autoSpaceDN/>
                    <w:bidi w:val="0"/>
                    <w:adjustRightInd/>
                    <w:snapToGrid/>
                    <w:spacing w:after="0" w:line="240" w:lineRule="auto"/>
                    <w:ind w:left="0" w:leftChars="0" w:firstLine="0" w:firstLineChars="0"/>
                    <w:rPr>
                      <w:rFonts w:hint="default" w:ascii="Times New Roman" w:hAnsi="Times New Roman" w:eastAsia="宋体" w:cs="Times New Roman"/>
                      <w:b/>
                      <w:bCs/>
                      <w:color w:val="FF0000"/>
                      <w:kern w:val="0"/>
                      <w:sz w:val="21"/>
                      <w:szCs w:val="21"/>
                      <w:u w:val="single"/>
                      <w:lang w:val="en-US" w:eastAsia="zh-CN" w:bidi="ar-SA"/>
                    </w:rPr>
                  </w:pPr>
                  <w:r>
                    <w:rPr>
                      <w:rFonts w:hint="default" w:ascii="Times New Roman" w:hAnsi="Times New Roman" w:eastAsia="宋体" w:cs="Times New Roman"/>
                      <w:b/>
                      <w:bCs/>
                      <w:color w:val="FF0000"/>
                      <w:kern w:val="0"/>
                      <w:sz w:val="21"/>
                      <w:szCs w:val="21"/>
                      <w:u w:val="single"/>
                      <w:lang w:val="en-US" w:eastAsia="zh-CN" w:bidi="ar-SA"/>
                    </w:rPr>
                    <w:t>甲醇是一种透明、无色、易燃、有毒的液体，略带酒精味。化学分子式为CH₃OH，熔点</w:t>
                  </w:r>
                  <w:r>
                    <w:rPr>
                      <w:rFonts w:hint="eastAsia" w:cs="Times New Roman"/>
                      <w:b/>
                      <w:bCs/>
                      <w:color w:val="FF0000"/>
                      <w:kern w:val="0"/>
                      <w:sz w:val="21"/>
                      <w:szCs w:val="21"/>
                      <w:u w:val="single"/>
                      <w:lang w:val="en-US" w:eastAsia="zh-CN" w:bidi="ar-SA"/>
                    </w:rPr>
                    <w:t>-</w:t>
                  </w:r>
                  <w:r>
                    <w:rPr>
                      <w:rFonts w:hint="default" w:ascii="Times New Roman" w:hAnsi="Times New Roman" w:eastAsia="宋体" w:cs="Times New Roman"/>
                      <w:b/>
                      <w:bCs/>
                      <w:color w:val="FF0000"/>
                      <w:kern w:val="0"/>
                      <w:sz w:val="21"/>
                      <w:szCs w:val="21"/>
                      <w:u w:val="single"/>
                      <w:lang w:val="en-US" w:eastAsia="zh-CN" w:bidi="ar-SA"/>
                    </w:rPr>
                    <w:t>97.8度，沸点64.8度,闪点12.22度,自燃点47度,相对密度 0.7915(20度/4度),爆炸极限下限6%，上限36.5%,能与水、乙醇、乙醚、苯、丙酮和大多数有机溶剂相混溶。</w:t>
                  </w:r>
                </w:p>
                <w:p w14:paraId="7BEFFD92">
                  <w:pPr>
                    <w:pStyle w:val="19"/>
                    <w:keepNext w:val="0"/>
                    <w:keepLines w:val="0"/>
                    <w:pageBreakBefore w:val="0"/>
                    <w:kinsoku/>
                    <w:wordWrap w:val="0"/>
                    <w:overflowPunct/>
                    <w:topLinePunct w:val="0"/>
                    <w:autoSpaceDE/>
                    <w:autoSpaceDN/>
                    <w:bidi w:val="0"/>
                    <w:adjustRightInd/>
                    <w:snapToGrid/>
                    <w:spacing w:after="0" w:line="240" w:lineRule="auto"/>
                    <w:ind w:left="0" w:leftChars="0" w:firstLine="0" w:firstLineChars="0"/>
                    <w:rPr>
                      <w:rFonts w:hint="default" w:ascii="Times New Roman" w:hAnsi="Times New Roman" w:eastAsia="宋体" w:cs="Times New Roman"/>
                      <w:b/>
                      <w:bCs/>
                      <w:color w:val="FF0000"/>
                      <w:kern w:val="0"/>
                      <w:sz w:val="21"/>
                      <w:szCs w:val="21"/>
                      <w:u w:val="single"/>
                      <w:lang w:val="en-US" w:eastAsia="zh-CN" w:bidi="ar-SA"/>
                    </w:rPr>
                  </w:pPr>
                  <w:r>
                    <w:rPr>
                      <w:rFonts w:hint="default" w:ascii="Times New Roman" w:hAnsi="Times New Roman" w:eastAsia="宋体" w:cs="Times New Roman"/>
                      <w:b/>
                      <w:bCs/>
                      <w:color w:val="FF0000"/>
                      <w:sz w:val="21"/>
                      <w:szCs w:val="21"/>
                      <w:u w:val="single"/>
                      <w:lang w:val="en-US" w:eastAsia="zh-CN"/>
                    </w:rPr>
                    <w:t>危险特性：</w:t>
                  </w:r>
                  <w:r>
                    <w:rPr>
                      <w:rFonts w:hint="default" w:ascii="Times New Roman" w:hAnsi="Times New Roman" w:eastAsia="宋体" w:cs="Times New Roman"/>
                      <w:b/>
                      <w:bCs/>
                      <w:color w:val="FF0000"/>
                      <w:kern w:val="0"/>
                      <w:sz w:val="21"/>
                      <w:szCs w:val="21"/>
                      <w:u w:val="single"/>
                      <w:lang w:val="en-US" w:eastAsia="zh-CN" w:bidi="ar-SA"/>
                    </w:rPr>
                    <w:t>易燃。与空气能形成爆炸性混合物，遇明火、高热能引起燃烧、爆炸与氧化剂接触会发生化学反应或引起燃烧。容器受热内部压力增大，有发生开裂、爆炸的危险。 其蒸气比空气重，能在较低处扩散到相当远的地方，遇明火会引着回燃</w:t>
                  </w:r>
                </w:p>
              </w:tc>
            </w:tr>
          </w:tbl>
          <w:p w14:paraId="1B2C8461">
            <w:pPr>
              <w:pageBreakBefore w:val="0"/>
              <w:widowControl w:val="0"/>
              <w:kinsoku/>
              <w:wordWrap w:val="0"/>
              <w:overflowPunct/>
              <w:topLinePunct w:val="0"/>
              <w:autoSpaceDE/>
              <w:autoSpaceDN/>
              <w:bidi w:val="0"/>
              <w:snapToGrid/>
              <w:spacing w:line="360" w:lineRule="auto"/>
              <w:ind w:left="0" w:firstLine="0" w:firstLineChars="0"/>
              <w:rPr>
                <w:b/>
                <w:color w:val="auto"/>
              </w:rPr>
            </w:pPr>
            <w:r>
              <w:rPr>
                <w:rFonts w:hint="eastAsia"/>
                <w:b/>
                <w:color w:val="auto"/>
              </w:rPr>
              <w:t>三、公用工程</w:t>
            </w:r>
          </w:p>
          <w:p w14:paraId="02AA0DA5">
            <w:pPr>
              <w:pageBreakBefore w:val="0"/>
              <w:widowControl w:val="0"/>
              <w:kinsoku/>
              <w:wordWrap w:val="0"/>
              <w:overflowPunct/>
              <w:topLinePunct w:val="0"/>
              <w:autoSpaceDE/>
              <w:autoSpaceDN/>
              <w:bidi w:val="0"/>
              <w:snapToGrid/>
              <w:spacing w:line="360" w:lineRule="auto"/>
              <w:ind w:left="0" w:firstLine="0" w:firstLineChars="0"/>
              <w:rPr>
                <w:b/>
                <w:color w:val="auto"/>
                <w:sz w:val="24"/>
                <w:szCs w:val="24"/>
              </w:rPr>
            </w:pPr>
            <w:r>
              <w:rPr>
                <w:b/>
                <w:color w:val="auto"/>
                <w:sz w:val="24"/>
                <w:szCs w:val="24"/>
              </w:rPr>
              <w:t>1.供电</w:t>
            </w:r>
          </w:p>
          <w:p w14:paraId="3A5BF487">
            <w:pPr>
              <w:keepNext w:val="0"/>
              <w:keepLines w:val="0"/>
              <w:pageBreakBefore w:val="0"/>
              <w:widowControl w:val="0"/>
              <w:numPr>
                <w:ilvl w:val="0"/>
                <w:numId w:val="0"/>
              </w:numPr>
              <w:kinsoku/>
              <w:wordWrap w:val="0"/>
              <w:overflowPunct/>
              <w:topLinePunct w:val="0"/>
              <w:autoSpaceDE/>
              <w:autoSpaceDN/>
              <w:bidi w:val="0"/>
              <w:adjustRightInd/>
              <w:snapToGrid/>
              <w:ind w:leftChars="0" w:firstLine="480" w:firstLineChars="200"/>
              <w:textAlignment w:val="auto"/>
              <w:rPr>
                <w:rFonts w:hint="eastAsia"/>
                <w:color w:val="auto"/>
                <w:sz w:val="24"/>
                <w:szCs w:val="24"/>
              </w:rPr>
            </w:pPr>
            <w:r>
              <w:rPr>
                <w:rFonts w:hint="eastAsia" w:cs="Times New Roman"/>
                <w:kern w:val="0"/>
                <w:sz w:val="24"/>
                <w:szCs w:val="24"/>
                <w:u w:val="none"/>
                <w:lang w:val="en-US" w:eastAsia="zh-CN" w:bidi="ar-SA"/>
              </w:rPr>
              <w:t>本项目生产过程全部用电</w:t>
            </w:r>
            <w:r>
              <w:rPr>
                <w:rFonts w:hint="eastAsia" w:ascii="Times New Roman" w:hAnsi="Times New Roman" w:eastAsia="宋体" w:cs="Times New Roman"/>
                <w:kern w:val="0"/>
                <w:sz w:val="24"/>
                <w:szCs w:val="24"/>
                <w:u w:val="none"/>
                <w:lang w:val="en-US" w:eastAsia="zh-CN" w:bidi="ar-SA"/>
              </w:rPr>
              <w:t>，</w:t>
            </w:r>
            <w:r>
              <w:rPr>
                <w:rFonts w:hint="eastAsia"/>
                <w:color w:val="auto"/>
                <w:sz w:val="24"/>
                <w:szCs w:val="24"/>
              </w:rPr>
              <w:t>由</w:t>
            </w:r>
            <w:r>
              <w:rPr>
                <w:rFonts w:hint="eastAsia"/>
                <w:color w:val="auto"/>
                <w:sz w:val="24"/>
                <w:szCs w:val="24"/>
                <w:lang w:eastAsia="zh-CN"/>
              </w:rPr>
              <w:t>南乐县先进制造业开发区</w:t>
            </w:r>
            <w:r>
              <w:rPr>
                <w:color w:val="auto"/>
                <w:sz w:val="24"/>
                <w:szCs w:val="24"/>
              </w:rPr>
              <w:t>供电系供给，</w:t>
            </w:r>
            <w:r>
              <w:rPr>
                <w:rFonts w:hint="eastAsia"/>
                <w:color w:val="auto"/>
                <w:sz w:val="24"/>
                <w:szCs w:val="24"/>
              </w:rPr>
              <w:t>可满足本项目用电需求。</w:t>
            </w:r>
          </w:p>
          <w:p w14:paraId="37F69787">
            <w:pPr>
              <w:pageBreakBefore w:val="0"/>
              <w:widowControl w:val="0"/>
              <w:kinsoku/>
              <w:wordWrap w:val="0"/>
              <w:overflowPunct/>
              <w:topLinePunct w:val="0"/>
              <w:autoSpaceDE/>
              <w:autoSpaceDN/>
              <w:bidi w:val="0"/>
              <w:snapToGrid/>
              <w:spacing w:line="360" w:lineRule="auto"/>
              <w:ind w:left="0" w:firstLine="0" w:firstLineChars="0"/>
              <w:rPr>
                <w:rFonts w:hint="default"/>
                <w:b/>
                <w:color w:val="auto"/>
                <w:sz w:val="24"/>
                <w:szCs w:val="24"/>
                <w:lang w:val="en-US" w:eastAsia="zh-CN"/>
              </w:rPr>
            </w:pPr>
            <w:r>
              <w:rPr>
                <w:b/>
                <w:color w:val="auto"/>
                <w:sz w:val="24"/>
                <w:szCs w:val="24"/>
              </w:rPr>
              <w:t>2.</w:t>
            </w:r>
            <w:r>
              <w:rPr>
                <w:rFonts w:hint="eastAsia"/>
                <w:b/>
                <w:color w:val="auto"/>
                <w:sz w:val="24"/>
                <w:szCs w:val="24"/>
                <w:lang w:val="en-US" w:eastAsia="zh-CN"/>
              </w:rPr>
              <w:t>供汽</w:t>
            </w:r>
          </w:p>
          <w:p w14:paraId="226ACBC8">
            <w:pPr>
              <w:numPr>
                <w:ilvl w:val="0"/>
                <w:numId w:val="0"/>
              </w:numPr>
              <w:ind w:leftChars="200"/>
              <w:rPr>
                <w:rFonts w:hint="default" w:ascii="Times New Roman" w:hAnsi="Times New Roman" w:eastAsia="宋体" w:cs="Times New Roman"/>
                <w:kern w:val="0"/>
                <w:sz w:val="24"/>
                <w:szCs w:val="24"/>
                <w:u w:val="none"/>
                <w:lang w:val="en-US" w:eastAsia="zh-CN" w:bidi="ar-SA"/>
              </w:rPr>
            </w:pPr>
            <w:r>
              <w:rPr>
                <w:rFonts w:hint="eastAsia" w:ascii="Times New Roman" w:hAnsi="Times New Roman" w:eastAsia="宋体" w:cs="Times New Roman"/>
                <w:kern w:val="0"/>
                <w:sz w:val="24"/>
                <w:szCs w:val="24"/>
                <w:u w:val="none"/>
                <w:lang w:val="en-US" w:eastAsia="zh-CN" w:bidi="ar-SA"/>
              </w:rPr>
              <w:t>本项目所用蒸汽采用蒸汽发生器提供。</w:t>
            </w:r>
          </w:p>
          <w:p w14:paraId="2DE0807E">
            <w:pPr>
              <w:pageBreakBefore w:val="0"/>
              <w:widowControl w:val="0"/>
              <w:kinsoku/>
              <w:wordWrap w:val="0"/>
              <w:overflowPunct/>
              <w:topLinePunct w:val="0"/>
              <w:autoSpaceDE/>
              <w:autoSpaceDN/>
              <w:bidi w:val="0"/>
              <w:snapToGrid/>
              <w:spacing w:line="360" w:lineRule="auto"/>
              <w:ind w:left="0" w:firstLine="0" w:firstLineChars="0"/>
              <w:rPr>
                <w:b/>
                <w:color w:val="auto"/>
                <w:sz w:val="24"/>
                <w:szCs w:val="24"/>
              </w:rPr>
            </w:pPr>
            <w:r>
              <w:rPr>
                <w:rFonts w:hint="eastAsia"/>
                <w:b/>
                <w:color w:val="auto"/>
                <w:sz w:val="24"/>
                <w:szCs w:val="24"/>
                <w:lang w:val="en-US" w:eastAsia="zh-CN"/>
              </w:rPr>
              <w:t>3</w:t>
            </w:r>
            <w:r>
              <w:rPr>
                <w:b/>
                <w:color w:val="auto"/>
                <w:sz w:val="24"/>
                <w:szCs w:val="24"/>
              </w:rPr>
              <w:t>.给排水</w:t>
            </w:r>
          </w:p>
          <w:p w14:paraId="7A359154">
            <w:pPr>
              <w:pStyle w:val="18"/>
              <w:ind w:firstLine="420"/>
              <w:rPr>
                <w:b/>
                <w:bCs/>
                <w:sz w:val="24"/>
                <w:szCs w:val="24"/>
              </w:rPr>
            </w:pPr>
            <w:r>
              <w:rPr>
                <w:rFonts w:hint="eastAsia"/>
                <w:b/>
                <w:bCs/>
                <w:sz w:val="24"/>
                <w:szCs w:val="24"/>
                <w:lang w:eastAsia="zh-CN"/>
              </w:rPr>
              <w:t>（</w:t>
            </w:r>
            <w:r>
              <w:rPr>
                <w:rFonts w:hint="eastAsia"/>
                <w:b/>
                <w:bCs/>
                <w:sz w:val="24"/>
                <w:szCs w:val="24"/>
                <w:lang w:val="en-US" w:eastAsia="zh-CN"/>
              </w:rPr>
              <w:t>1</w:t>
            </w:r>
            <w:r>
              <w:rPr>
                <w:rFonts w:hint="eastAsia"/>
                <w:b/>
                <w:bCs/>
                <w:sz w:val="24"/>
                <w:szCs w:val="24"/>
                <w:lang w:eastAsia="zh-CN"/>
              </w:rPr>
              <w:t>）</w:t>
            </w:r>
            <w:r>
              <w:rPr>
                <w:b/>
                <w:bCs/>
                <w:sz w:val="24"/>
                <w:szCs w:val="24"/>
              </w:rPr>
              <w:t>给水</w:t>
            </w:r>
          </w:p>
          <w:p w14:paraId="1F4BF60A">
            <w:pPr>
              <w:pStyle w:val="18"/>
              <w:ind w:firstLine="420"/>
              <w:rPr>
                <w:rFonts w:hint="default" w:eastAsia="宋体"/>
                <w:sz w:val="24"/>
                <w:szCs w:val="24"/>
                <w:lang w:val="en-US" w:eastAsia="zh-CN"/>
              </w:rPr>
            </w:pPr>
            <w:r>
              <w:rPr>
                <w:sz w:val="24"/>
                <w:szCs w:val="24"/>
              </w:rPr>
              <w:t>根据建设方提供资料，</w:t>
            </w:r>
            <w:r>
              <w:rPr>
                <w:rFonts w:hint="eastAsia"/>
                <w:sz w:val="24"/>
                <w:szCs w:val="24"/>
              </w:rPr>
              <w:t>本项目用水主要包括药材清洗、润药用水、设备清洗用水、</w:t>
            </w:r>
            <w:r>
              <w:rPr>
                <w:rFonts w:hint="eastAsia"/>
                <w:sz w:val="24"/>
                <w:szCs w:val="24"/>
                <w:lang w:val="en-US" w:eastAsia="zh-CN"/>
              </w:rPr>
              <w:t>煮提、发酵</w:t>
            </w:r>
            <w:r>
              <w:rPr>
                <w:rFonts w:hint="eastAsia"/>
                <w:sz w:val="24"/>
                <w:szCs w:val="24"/>
              </w:rPr>
              <w:t>用水</w:t>
            </w:r>
            <w:r>
              <w:rPr>
                <w:rFonts w:hint="eastAsia"/>
                <w:sz w:val="24"/>
                <w:szCs w:val="24"/>
                <w:lang w:eastAsia="zh-CN"/>
              </w:rPr>
              <w:t>、</w:t>
            </w:r>
            <w:r>
              <w:rPr>
                <w:sz w:val="24"/>
                <w:szCs w:val="24"/>
              </w:rPr>
              <w:t>制水系统用水</w:t>
            </w:r>
            <w:r>
              <w:rPr>
                <w:rFonts w:hint="eastAsia"/>
                <w:sz w:val="24"/>
                <w:szCs w:val="24"/>
                <w:lang w:eastAsia="zh-CN"/>
              </w:rPr>
              <w:t>、</w:t>
            </w:r>
            <w:r>
              <w:rPr>
                <w:rFonts w:hint="eastAsia"/>
                <w:sz w:val="24"/>
                <w:szCs w:val="24"/>
              </w:rPr>
              <w:t>毒性中药饮片</w:t>
            </w:r>
            <w:r>
              <w:rPr>
                <w:rFonts w:hint="eastAsia"/>
                <w:sz w:val="24"/>
                <w:szCs w:val="24"/>
                <w:lang w:val="en-US" w:eastAsia="zh-CN"/>
              </w:rPr>
              <w:t>用水、质检用水、</w:t>
            </w:r>
            <w:r>
              <w:rPr>
                <w:rFonts w:hint="eastAsia"/>
                <w:sz w:val="24"/>
                <w:szCs w:val="24"/>
              </w:rPr>
              <w:t>生活用水</w:t>
            </w:r>
            <w:r>
              <w:rPr>
                <w:rFonts w:hint="eastAsia"/>
                <w:sz w:val="24"/>
                <w:szCs w:val="24"/>
                <w:lang w:eastAsia="zh-CN"/>
              </w:rPr>
              <w:t>、</w:t>
            </w:r>
            <w:r>
              <w:rPr>
                <w:rFonts w:hint="eastAsia"/>
                <w:sz w:val="24"/>
                <w:szCs w:val="24"/>
              </w:rPr>
              <w:t>地面清洗用水</w:t>
            </w:r>
            <w:r>
              <w:rPr>
                <w:rFonts w:hint="eastAsia"/>
                <w:sz w:val="24"/>
                <w:szCs w:val="24"/>
                <w:lang w:eastAsia="zh-CN"/>
              </w:rPr>
              <w:t>，</w:t>
            </w:r>
            <w:r>
              <w:rPr>
                <w:rFonts w:hint="eastAsia"/>
                <w:sz w:val="24"/>
                <w:szCs w:val="24"/>
                <w:lang w:val="en-US" w:eastAsia="zh-CN"/>
              </w:rPr>
              <w:t>新鲜水总用水量为329.1</w:t>
            </w:r>
            <w:r>
              <w:rPr>
                <w:rFonts w:hint="eastAsia"/>
                <w:b w:val="0"/>
                <w:sz w:val="24"/>
                <w:szCs w:val="24"/>
                <w:u w:val="none"/>
              </w:rPr>
              <w:t>m</w:t>
            </w:r>
            <w:r>
              <w:rPr>
                <w:rFonts w:hint="eastAsia"/>
                <w:b w:val="0"/>
                <w:sz w:val="24"/>
                <w:szCs w:val="24"/>
                <w:u w:val="none"/>
                <w:vertAlign w:val="superscript"/>
              </w:rPr>
              <w:t>3</w:t>
            </w:r>
            <w:r>
              <w:rPr>
                <w:rFonts w:hint="eastAsia"/>
                <w:b w:val="0"/>
                <w:sz w:val="24"/>
                <w:szCs w:val="24"/>
                <w:u w:val="none"/>
              </w:rPr>
              <w:t>/d</w:t>
            </w:r>
            <w:r>
              <w:rPr>
                <w:rFonts w:hint="eastAsia"/>
                <w:b w:val="0"/>
                <w:sz w:val="24"/>
                <w:szCs w:val="24"/>
                <w:u w:val="none"/>
                <w:lang w:eastAsia="zh-CN"/>
              </w:rPr>
              <w:t>、</w:t>
            </w:r>
            <w:r>
              <w:rPr>
                <w:rFonts w:hint="eastAsia"/>
                <w:sz w:val="24"/>
                <w:szCs w:val="24"/>
                <w:lang w:val="en-US" w:eastAsia="zh-CN"/>
              </w:rPr>
              <w:t>105312.05</w:t>
            </w:r>
            <w:r>
              <w:rPr>
                <w:rFonts w:hint="eastAsia"/>
                <w:b w:val="0"/>
                <w:sz w:val="24"/>
                <w:szCs w:val="24"/>
                <w:u w:val="none"/>
              </w:rPr>
              <w:t>m</w:t>
            </w:r>
            <w:r>
              <w:rPr>
                <w:rFonts w:hint="eastAsia"/>
                <w:b w:val="0"/>
                <w:sz w:val="24"/>
                <w:szCs w:val="24"/>
                <w:u w:val="none"/>
                <w:vertAlign w:val="superscript"/>
              </w:rPr>
              <w:t>3</w:t>
            </w:r>
            <w:r>
              <w:rPr>
                <w:rFonts w:hint="eastAsia"/>
                <w:b w:val="0"/>
                <w:sz w:val="24"/>
                <w:szCs w:val="24"/>
                <w:u w:val="none"/>
              </w:rPr>
              <w:t>/a</w:t>
            </w:r>
            <w:r>
              <w:rPr>
                <w:rFonts w:hint="eastAsia"/>
                <w:b w:val="0"/>
                <w:sz w:val="24"/>
                <w:szCs w:val="24"/>
                <w:u w:val="none"/>
                <w:lang w:eastAsia="zh-CN"/>
              </w:rPr>
              <w:t>。</w:t>
            </w:r>
          </w:p>
          <w:p w14:paraId="34B6F149">
            <w:pPr>
              <w:pStyle w:val="18"/>
              <w:ind w:firstLine="420"/>
              <w:rPr>
                <w:rFonts w:hint="eastAsia"/>
                <w:b/>
                <w:bCs/>
                <w:sz w:val="24"/>
                <w:szCs w:val="24"/>
                <w:u w:val="none"/>
              </w:rPr>
            </w:pPr>
            <w:r>
              <w:rPr>
                <w:rFonts w:hint="default" w:ascii="Times New Roman" w:hAnsi="Times New Roman" w:eastAsia="宋体" w:cs="Times New Roman"/>
                <w:b/>
                <w:bCs/>
                <w:sz w:val="24"/>
                <w:szCs w:val="24"/>
                <w:u w:val="none"/>
              </w:rPr>
              <w:fldChar w:fldCharType="begin"/>
            </w:r>
            <w:r>
              <w:rPr>
                <w:rFonts w:hint="default" w:ascii="Times New Roman" w:hAnsi="Times New Roman" w:eastAsia="宋体" w:cs="Times New Roman"/>
                <w:b/>
                <w:bCs/>
                <w:sz w:val="24"/>
                <w:szCs w:val="24"/>
                <w:u w:val="none"/>
              </w:rPr>
              <w:instrText xml:space="preserve"> = 1 \* GB3 \* MERGEFORMAT </w:instrText>
            </w:r>
            <w:r>
              <w:rPr>
                <w:rFonts w:hint="default" w:ascii="Times New Roman" w:hAnsi="Times New Roman" w:eastAsia="宋体" w:cs="Times New Roman"/>
                <w:b/>
                <w:bCs/>
                <w:sz w:val="24"/>
                <w:szCs w:val="24"/>
                <w:u w:val="none"/>
              </w:rPr>
              <w:fldChar w:fldCharType="separate"/>
            </w:r>
            <w:r>
              <w:rPr>
                <w:rFonts w:hint="eastAsia" w:ascii="Times New Roman" w:hAnsi="Times New Roman" w:eastAsia="宋体" w:cs="Times New Roman"/>
                <w:b/>
                <w:bCs/>
                <w:sz w:val="24"/>
                <w:szCs w:val="24"/>
                <w:u w:val="none"/>
              </w:rPr>
              <w:t>①</w:t>
            </w:r>
            <w:r>
              <w:rPr>
                <w:rFonts w:hint="default" w:ascii="Times New Roman" w:hAnsi="Times New Roman" w:eastAsia="宋体" w:cs="Times New Roman"/>
                <w:b/>
                <w:bCs/>
                <w:sz w:val="24"/>
                <w:szCs w:val="24"/>
                <w:u w:val="none"/>
              </w:rPr>
              <w:fldChar w:fldCharType="end"/>
            </w:r>
            <w:r>
              <w:rPr>
                <w:rFonts w:hint="eastAsia" w:cs="Times New Roman"/>
                <w:b/>
                <w:bCs/>
                <w:sz w:val="24"/>
                <w:szCs w:val="24"/>
                <w:u w:val="none"/>
                <w:lang w:val="en-US" w:eastAsia="zh-CN"/>
              </w:rPr>
              <w:t>中</w:t>
            </w:r>
            <w:r>
              <w:rPr>
                <w:rFonts w:hint="eastAsia"/>
                <w:b/>
                <w:bCs/>
                <w:sz w:val="24"/>
                <w:szCs w:val="24"/>
                <w:u w:val="none"/>
              </w:rPr>
              <w:t>药材清洗、润药</w:t>
            </w:r>
            <w:r>
              <w:rPr>
                <w:rFonts w:hint="eastAsia"/>
                <w:b/>
                <w:bCs/>
                <w:sz w:val="24"/>
                <w:szCs w:val="24"/>
                <w:u w:val="none"/>
                <w:lang w:val="en-US" w:eastAsia="zh-CN"/>
              </w:rPr>
              <w:t>工序</w:t>
            </w:r>
            <w:r>
              <w:rPr>
                <w:rFonts w:hint="eastAsia"/>
                <w:b/>
                <w:bCs/>
                <w:sz w:val="24"/>
                <w:szCs w:val="24"/>
                <w:u w:val="none"/>
              </w:rPr>
              <w:t>用水</w:t>
            </w:r>
          </w:p>
          <w:p w14:paraId="664E35B8">
            <w:pPr>
              <w:pStyle w:val="18"/>
              <w:ind w:firstLine="420"/>
              <w:rPr>
                <w:rFonts w:hint="eastAsia" w:eastAsia="宋体"/>
                <w:sz w:val="24"/>
                <w:szCs w:val="24"/>
                <w:u w:val="none"/>
                <w:lang w:val="en-US" w:eastAsia="zh-CN"/>
              </w:rPr>
            </w:pPr>
            <w:r>
              <w:rPr>
                <w:rFonts w:hint="eastAsia"/>
                <w:sz w:val="24"/>
                <w:szCs w:val="24"/>
                <w:u w:val="none"/>
              </w:rPr>
              <w:t>根据生态环境部发布的《排放源统计调查产排污核算方法和系数手册》（环境部公告2021年第24号）中的《2730中药饮片加工行业系数手册》，规模等级为</w:t>
            </w:r>
            <w:r>
              <w:rPr>
                <w:rFonts w:hint="eastAsia"/>
                <w:sz w:val="24"/>
                <w:szCs w:val="24"/>
                <w:u w:val="none"/>
                <w:lang w:val="en-US" w:eastAsia="zh-CN"/>
              </w:rPr>
              <w:t>＞10</w:t>
            </w:r>
            <w:r>
              <w:rPr>
                <w:rFonts w:hint="eastAsia"/>
                <w:sz w:val="24"/>
                <w:szCs w:val="24"/>
                <w:u w:val="none"/>
              </w:rPr>
              <w:t>00吨-中药饮片/年，废水量按</w:t>
            </w:r>
            <w:r>
              <w:rPr>
                <w:rFonts w:hint="eastAsia"/>
                <w:sz w:val="24"/>
                <w:szCs w:val="24"/>
                <w:u w:val="none"/>
                <w:lang w:val="en-US" w:eastAsia="zh-CN"/>
              </w:rPr>
              <w:t>1.83</w:t>
            </w:r>
            <w:r>
              <w:rPr>
                <w:rFonts w:hint="eastAsia"/>
                <w:sz w:val="24"/>
                <w:szCs w:val="24"/>
                <w:u w:val="none"/>
              </w:rPr>
              <w:t>t/t-中药饮片进行核算</w:t>
            </w:r>
            <w:r>
              <w:rPr>
                <w:rFonts w:hint="eastAsia"/>
                <w:sz w:val="24"/>
                <w:szCs w:val="24"/>
                <w:u w:val="none"/>
                <w:lang w:eastAsia="zh-CN"/>
              </w:rPr>
              <w:t>，</w:t>
            </w:r>
            <w:r>
              <w:rPr>
                <w:rFonts w:hint="eastAsia"/>
                <w:b w:val="0"/>
                <w:sz w:val="24"/>
                <w:szCs w:val="24"/>
                <w:u w:val="none"/>
              </w:rPr>
              <w:t>本项目</w:t>
            </w:r>
            <w:r>
              <w:rPr>
                <w:rFonts w:hint="eastAsia"/>
                <w:b w:val="0"/>
                <w:sz w:val="24"/>
                <w:szCs w:val="24"/>
                <w:u w:val="none"/>
                <w:lang w:val="en-US" w:eastAsia="zh-CN"/>
              </w:rPr>
              <w:t>需要</w:t>
            </w:r>
            <w:r>
              <w:rPr>
                <w:rFonts w:hint="eastAsia"/>
                <w:sz w:val="24"/>
                <w:szCs w:val="24"/>
                <w:u w:val="none"/>
              </w:rPr>
              <w:t>清洗、润</w:t>
            </w:r>
            <w:r>
              <w:rPr>
                <w:rFonts w:hint="eastAsia"/>
                <w:b w:val="0"/>
                <w:sz w:val="24"/>
                <w:szCs w:val="24"/>
                <w:u w:val="none"/>
              </w:rPr>
              <w:t>药</w:t>
            </w:r>
            <w:r>
              <w:rPr>
                <w:rFonts w:hint="eastAsia"/>
                <w:sz w:val="24"/>
                <w:szCs w:val="24"/>
                <w:u w:val="none"/>
              </w:rPr>
              <w:t>中药饮片</w:t>
            </w:r>
            <w:r>
              <w:rPr>
                <w:rFonts w:hint="eastAsia"/>
                <w:b w:val="0"/>
                <w:sz w:val="24"/>
                <w:szCs w:val="24"/>
                <w:u w:val="none"/>
              </w:rPr>
              <w:t>量合计约为</w:t>
            </w:r>
            <w:r>
              <w:rPr>
                <w:rFonts w:hint="eastAsia"/>
                <w:b w:val="0"/>
                <w:sz w:val="24"/>
                <w:szCs w:val="24"/>
                <w:u w:val="none"/>
                <w:lang w:val="en-US" w:eastAsia="zh-CN"/>
              </w:rPr>
              <w:t>1660</w:t>
            </w:r>
            <w:r>
              <w:rPr>
                <w:rFonts w:hint="eastAsia"/>
                <w:b w:val="0"/>
                <w:sz w:val="24"/>
                <w:szCs w:val="24"/>
                <w:u w:val="none"/>
              </w:rPr>
              <w:t>t/a，则药材清洗</w:t>
            </w:r>
            <w:r>
              <w:rPr>
                <w:rFonts w:hint="eastAsia"/>
                <w:b w:val="0"/>
                <w:sz w:val="24"/>
                <w:szCs w:val="24"/>
                <w:u w:val="none"/>
                <w:lang w:val="en-US" w:eastAsia="zh-CN"/>
              </w:rPr>
              <w:t>废</w:t>
            </w:r>
            <w:r>
              <w:rPr>
                <w:rFonts w:hint="eastAsia"/>
                <w:b w:val="0"/>
                <w:sz w:val="24"/>
                <w:szCs w:val="24"/>
                <w:u w:val="none"/>
              </w:rPr>
              <w:t>水量</w:t>
            </w:r>
            <w:r>
              <w:rPr>
                <w:rFonts w:hint="eastAsia"/>
                <w:b w:val="0"/>
                <w:sz w:val="24"/>
                <w:szCs w:val="24"/>
                <w:u w:val="none"/>
                <w:lang w:val="en-US" w:eastAsia="zh-CN"/>
              </w:rPr>
              <w:t>约</w:t>
            </w:r>
            <w:r>
              <w:rPr>
                <w:rFonts w:hint="eastAsia"/>
                <w:b w:val="0"/>
                <w:sz w:val="24"/>
                <w:szCs w:val="24"/>
                <w:u w:val="none"/>
              </w:rPr>
              <w:t>为</w:t>
            </w:r>
            <w:r>
              <w:rPr>
                <w:rFonts w:hint="eastAsia"/>
                <w:b w:val="0"/>
                <w:sz w:val="24"/>
                <w:szCs w:val="24"/>
                <w:u w:val="none"/>
                <w:lang w:val="en-US" w:eastAsia="zh-CN"/>
              </w:rPr>
              <w:t>9.49</w:t>
            </w:r>
            <w:r>
              <w:rPr>
                <w:rFonts w:hint="eastAsia"/>
                <w:b w:val="0"/>
                <w:sz w:val="24"/>
                <w:szCs w:val="24"/>
                <w:u w:val="none"/>
              </w:rPr>
              <w:t>m</w:t>
            </w:r>
            <w:r>
              <w:rPr>
                <w:rFonts w:hint="eastAsia"/>
                <w:b w:val="0"/>
                <w:sz w:val="24"/>
                <w:szCs w:val="24"/>
                <w:u w:val="none"/>
                <w:vertAlign w:val="superscript"/>
              </w:rPr>
              <w:t>3</w:t>
            </w:r>
            <w:r>
              <w:rPr>
                <w:rFonts w:hint="eastAsia"/>
                <w:b w:val="0"/>
                <w:sz w:val="24"/>
                <w:szCs w:val="24"/>
                <w:u w:val="none"/>
              </w:rPr>
              <w:t>/d</w:t>
            </w:r>
            <w:r>
              <w:rPr>
                <w:rFonts w:hint="eastAsia"/>
                <w:b w:val="0"/>
                <w:sz w:val="24"/>
                <w:szCs w:val="24"/>
                <w:u w:val="none"/>
                <w:lang w:eastAsia="zh-CN"/>
              </w:rPr>
              <w:t>、</w:t>
            </w:r>
            <w:r>
              <w:rPr>
                <w:rFonts w:hint="eastAsia"/>
                <w:b w:val="0"/>
                <w:sz w:val="24"/>
                <w:szCs w:val="24"/>
                <w:u w:val="none"/>
                <w:lang w:val="en-US" w:eastAsia="zh-CN"/>
              </w:rPr>
              <w:t>3037.8</w:t>
            </w:r>
            <w:r>
              <w:rPr>
                <w:rFonts w:hint="eastAsia"/>
                <w:b w:val="0"/>
                <w:sz w:val="24"/>
                <w:szCs w:val="24"/>
                <w:u w:val="none"/>
              </w:rPr>
              <w:t>m</w:t>
            </w:r>
            <w:r>
              <w:rPr>
                <w:rFonts w:hint="eastAsia"/>
                <w:b w:val="0"/>
                <w:sz w:val="24"/>
                <w:szCs w:val="24"/>
                <w:u w:val="none"/>
                <w:vertAlign w:val="superscript"/>
              </w:rPr>
              <w:t>3</w:t>
            </w:r>
            <w:r>
              <w:rPr>
                <w:rFonts w:hint="eastAsia"/>
                <w:b w:val="0"/>
                <w:sz w:val="24"/>
                <w:szCs w:val="24"/>
                <w:u w:val="none"/>
              </w:rPr>
              <w:t>/a</w:t>
            </w:r>
            <w:r>
              <w:rPr>
                <w:rFonts w:hint="eastAsia"/>
                <w:sz w:val="24"/>
                <w:szCs w:val="24"/>
                <w:u w:val="none"/>
                <w:lang w:eastAsia="zh-CN"/>
              </w:rPr>
              <w:t>，</w:t>
            </w:r>
            <w:r>
              <w:rPr>
                <w:rFonts w:hint="eastAsia"/>
                <w:sz w:val="24"/>
                <w:szCs w:val="24"/>
                <w:u w:val="none"/>
                <w:lang w:val="en-US" w:eastAsia="zh-CN"/>
              </w:rPr>
              <w:t>废水产生量为用水量的80%，则</w:t>
            </w:r>
            <w:r>
              <w:rPr>
                <w:rFonts w:hint="eastAsia"/>
                <w:b w:val="0"/>
                <w:sz w:val="24"/>
                <w:szCs w:val="24"/>
                <w:u w:val="none"/>
              </w:rPr>
              <w:t>药材清洗</w:t>
            </w:r>
            <w:r>
              <w:rPr>
                <w:rFonts w:hint="eastAsia"/>
                <w:b w:val="0"/>
                <w:sz w:val="24"/>
                <w:szCs w:val="24"/>
                <w:u w:val="none"/>
                <w:lang w:val="en-US" w:eastAsia="zh-CN"/>
              </w:rPr>
              <w:t>用</w:t>
            </w:r>
            <w:r>
              <w:rPr>
                <w:rFonts w:hint="eastAsia"/>
                <w:b w:val="0"/>
                <w:sz w:val="24"/>
                <w:szCs w:val="24"/>
                <w:u w:val="none"/>
              </w:rPr>
              <w:t>水量</w:t>
            </w:r>
            <w:r>
              <w:rPr>
                <w:rFonts w:hint="eastAsia"/>
                <w:b w:val="0"/>
                <w:sz w:val="24"/>
                <w:szCs w:val="24"/>
                <w:u w:val="none"/>
                <w:lang w:val="en-US" w:eastAsia="zh-CN"/>
              </w:rPr>
              <w:t>约</w:t>
            </w:r>
            <w:r>
              <w:rPr>
                <w:rFonts w:hint="eastAsia"/>
                <w:b w:val="0"/>
                <w:sz w:val="24"/>
                <w:szCs w:val="24"/>
                <w:u w:val="none"/>
              </w:rPr>
              <w:t>为</w:t>
            </w:r>
            <w:r>
              <w:rPr>
                <w:rFonts w:hint="eastAsia"/>
                <w:b w:val="0"/>
                <w:sz w:val="24"/>
                <w:szCs w:val="24"/>
                <w:u w:val="none"/>
                <w:lang w:val="en-US" w:eastAsia="zh-CN"/>
              </w:rPr>
              <w:t>11.87</w:t>
            </w:r>
            <w:r>
              <w:rPr>
                <w:rFonts w:hint="eastAsia"/>
                <w:b w:val="0"/>
                <w:sz w:val="24"/>
                <w:szCs w:val="24"/>
                <w:u w:val="none"/>
              </w:rPr>
              <w:t>m</w:t>
            </w:r>
            <w:r>
              <w:rPr>
                <w:rFonts w:hint="eastAsia"/>
                <w:b w:val="0"/>
                <w:sz w:val="24"/>
                <w:szCs w:val="24"/>
                <w:u w:val="none"/>
                <w:vertAlign w:val="superscript"/>
              </w:rPr>
              <w:t>3</w:t>
            </w:r>
            <w:r>
              <w:rPr>
                <w:rFonts w:hint="eastAsia"/>
                <w:b w:val="0"/>
                <w:sz w:val="24"/>
                <w:szCs w:val="24"/>
                <w:u w:val="none"/>
              </w:rPr>
              <w:t>/d</w:t>
            </w:r>
            <w:r>
              <w:rPr>
                <w:rFonts w:hint="eastAsia"/>
                <w:b w:val="0"/>
                <w:sz w:val="24"/>
                <w:szCs w:val="24"/>
                <w:u w:val="none"/>
                <w:lang w:eastAsia="zh-CN"/>
              </w:rPr>
              <w:t>、</w:t>
            </w:r>
            <w:r>
              <w:rPr>
                <w:rFonts w:hint="eastAsia"/>
                <w:b w:val="0"/>
                <w:sz w:val="24"/>
                <w:szCs w:val="24"/>
                <w:u w:val="none"/>
                <w:lang w:val="en-US" w:eastAsia="zh-CN"/>
              </w:rPr>
              <w:t>3797.25</w:t>
            </w:r>
            <w:r>
              <w:rPr>
                <w:rFonts w:hint="eastAsia"/>
                <w:b w:val="0"/>
                <w:sz w:val="24"/>
                <w:szCs w:val="24"/>
                <w:u w:val="none"/>
              </w:rPr>
              <w:t>m</w:t>
            </w:r>
            <w:r>
              <w:rPr>
                <w:rFonts w:hint="eastAsia"/>
                <w:b w:val="0"/>
                <w:sz w:val="24"/>
                <w:szCs w:val="24"/>
                <w:u w:val="none"/>
                <w:vertAlign w:val="superscript"/>
              </w:rPr>
              <w:t>3</w:t>
            </w:r>
            <w:r>
              <w:rPr>
                <w:rFonts w:hint="eastAsia"/>
                <w:b w:val="0"/>
                <w:sz w:val="24"/>
                <w:szCs w:val="24"/>
                <w:u w:val="none"/>
              </w:rPr>
              <w:t>/a</w:t>
            </w:r>
            <w:r>
              <w:rPr>
                <w:rFonts w:hint="eastAsia"/>
                <w:b w:val="0"/>
                <w:sz w:val="24"/>
                <w:szCs w:val="24"/>
                <w:u w:val="none"/>
                <w:lang w:eastAsia="zh-CN"/>
              </w:rPr>
              <w:t>。</w:t>
            </w:r>
          </w:p>
          <w:p w14:paraId="6C40AF0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bCs w:val="0"/>
                <w:sz w:val="24"/>
                <w:szCs w:val="24"/>
                <w:highlight w:val="none"/>
                <w:u w:val="none"/>
                <w:lang w:eastAsia="zh-CN"/>
              </w:rPr>
            </w:pPr>
            <w:r>
              <w:rPr>
                <w:rFonts w:hint="default" w:ascii="Times New Roman" w:hAnsi="Times New Roman" w:cs="Times New Roman"/>
                <w:b/>
                <w:bCs w:val="0"/>
                <w:sz w:val="24"/>
                <w:szCs w:val="24"/>
                <w:highlight w:val="none"/>
                <w:u w:val="none"/>
                <w:lang w:eastAsia="zh-CN"/>
              </w:rPr>
              <w:t>②蒸</w:t>
            </w:r>
            <w:r>
              <w:rPr>
                <w:rFonts w:hint="eastAsia" w:cs="Times New Roman"/>
                <w:b/>
                <w:bCs w:val="0"/>
                <w:sz w:val="24"/>
                <w:szCs w:val="24"/>
                <w:highlight w:val="none"/>
                <w:u w:val="none"/>
                <w:lang w:eastAsia="zh-CN"/>
              </w:rPr>
              <w:t>（</w:t>
            </w:r>
            <w:r>
              <w:rPr>
                <w:rFonts w:hint="eastAsia" w:ascii="Times New Roman" w:hAnsi="Times New Roman" w:cs="Times New Roman"/>
                <w:b/>
                <w:bCs w:val="0"/>
                <w:sz w:val="24"/>
                <w:szCs w:val="24"/>
                <w:u w:val="none"/>
                <w:lang w:val="en-US" w:eastAsia="zh-CN"/>
              </w:rPr>
              <w:t>煮</w:t>
            </w:r>
            <w:r>
              <w:rPr>
                <w:rFonts w:hint="eastAsia" w:cs="Times New Roman"/>
                <w:b/>
                <w:bCs w:val="0"/>
                <w:sz w:val="24"/>
                <w:szCs w:val="24"/>
                <w:highlight w:val="none"/>
                <w:u w:val="none"/>
                <w:lang w:eastAsia="zh-CN"/>
              </w:rPr>
              <w:t>）</w:t>
            </w:r>
            <w:r>
              <w:rPr>
                <w:rFonts w:hint="default" w:ascii="Times New Roman" w:hAnsi="Times New Roman" w:cs="Times New Roman"/>
                <w:b/>
                <w:bCs w:val="0"/>
                <w:sz w:val="24"/>
                <w:szCs w:val="24"/>
                <w:highlight w:val="none"/>
                <w:u w:val="none"/>
                <w:lang w:eastAsia="zh-CN"/>
              </w:rPr>
              <w:t>制工序</w:t>
            </w:r>
            <w:r>
              <w:rPr>
                <w:rFonts w:hint="eastAsia" w:cs="Times New Roman"/>
                <w:b/>
                <w:bCs w:val="0"/>
                <w:sz w:val="24"/>
                <w:szCs w:val="24"/>
                <w:highlight w:val="none"/>
                <w:u w:val="none"/>
                <w:lang w:eastAsia="zh-CN"/>
              </w:rPr>
              <w:t>、</w:t>
            </w:r>
            <w:r>
              <w:rPr>
                <w:rFonts w:hint="eastAsia" w:cs="Times New Roman"/>
                <w:b/>
                <w:bCs w:val="0"/>
                <w:sz w:val="24"/>
                <w:szCs w:val="24"/>
                <w:highlight w:val="none"/>
                <w:u w:val="none"/>
                <w:lang w:val="en-US" w:eastAsia="zh-CN"/>
              </w:rPr>
              <w:t>提取工序用水</w:t>
            </w:r>
          </w:p>
          <w:p w14:paraId="1F81F699">
            <w:pPr>
              <w:pStyle w:val="18"/>
              <w:ind w:firstLine="420"/>
              <w:rPr>
                <w:rFonts w:hint="default" w:ascii="Times New Roman" w:hAnsi="Times New Roman" w:cs="Times New Roman"/>
                <w:bCs/>
                <w:sz w:val="24"/>
                <w:szCs w:val="24"/>
                <w:highlight w:val="none"/>
                <w:u w:val="none"/>
                <w:lang w:eastAsia="zh-CN"/>
              </w:rPr>
            </w:pPr>
            <w:r>
              <w:rPr>
                <w:rFonts w:hint="eastAsia"/>
                <w:sz w:val="24"/>
                <w:szCs w:val="24"/>
                <w:u w:val="none"/>
              </w:rPr>
              <w:t>根据生态环境部发布的《排放源统计调查产排污核算方法和系数手册》（环境部公告2021年第24号）中的《27</w:t>
            </w:r>
            <w:r>
              <w:rPr>
                <w:rFonts w:hint="eastAsia"/>
                <w:sz w:val="24"/>
                <w:szCs w:val="24"/>
                <w:u w:val="none"/>
                <w:lang w:val="en-US" w:eastAsia="zh-CN"/>
              </w:rPr>
              <w:t>4</w:t>
            </w:r>
            <w:r>
              <w:rPr>
                <w:rFonts w:hint="eastAsia"/>
                <w:sz w:val="24"/>
                <w:szCs w:val="24"/>
                <w:u w:val="none"/>
              </w:rPr>
              <w:t>0</w:t>
            </w:r>
            <w:r>
              <w:rPr>
                <w:rFonts w:hint="eastAsia"/>
                <w:sz w:val="24"/>
                <w:szCs w:val="24"/>
                <w:u w:val="none"/>
                <w:lang w:val="en-US" w:eastAsia="zh-CN"/>
              </w:rPr>
              <w:t>中成药生产</w:t>
            </w:r>
            <w:r>
              <w:rPr>
                <w:rFonts w:hint="eastAsia"/>
                <w:sz w:val="24"/>
                <w:szCs w:val="24"/>
                <w:u w:val="none"/>
              </w:rPr>
              <w:t>行业系数手册》，规模等级为</w:t>
            </w:r>
            <w:r>
              <w:rPr>
                <w:rFonts w:hint="eastAsia"/>
                <w:sz w:val="24"/>
                <w:szCs w:val="24"/>
                <w:u w:val="none"/>
                <w:lang w:val="en-US" w:eastAsia="zh-CN"/>
              </w:rPr>
              <w:t>200~1000吨-中药饮片/年</w:t>
            </w:r>
            <w:r>
              <w:rPr>
                <w:rFonts w:hint="eastAsia"/>
                <w:sz w:val="24"/>
                <w:szCs w:val="24"/>
                <w:u w:val="none"/>
              </w:rPr>
              <w:t>，废水量按</w:t>
            </w:r>
            <w:r>
              <w:rPr>
                <w:rFonts w:hint="eastAsia"/>
                <w:sz w:val="24"/>
                <w:szCs w:val="24"/>
                <w:u w:val="none"/>
                <w:lang w:val="en-US" w:eastAsia="zh-CN"/>
              </w:rPr>
              <w:t>44.2</w:t>
            </w:r>
            <w:r>
              <w:rPr>
                <w:rFonts w:hint="eastAsia"/>
                <w:sz w:val="24"/>
                <w:szCs w:val="24"/>
                <w:u w:val="none"/>
              </w:rPr>
              <w:t>t/t-中药饮片进行核算</w:t>
            </w:r>
            <w:r>
              <w:rPr>
                <w:rFonts w:hint="eastAsia"/>
                <w:sz w:val="24"/>
                <w:szCs w:val="24"/>
                <w:u w:val="none"/>
                <w:lang w:eastAsia="zh-CN"/>
              </w:rPr>
              <w:t>，</w:t>
            </w:r>
            <w:r>
              <w:rPr>
                <w:rFonts w:hint="eastAsia"/>
                <w:b w:val="0"/>
                <w:sz w:val="24"/>
                <w:szCs w:val="24"/>
                <w:u w:val="none"/>
              </w:rPr>
              <w:t>本项目</w:t>
            </w:r>
            <w:r>
              <w:rPr>
                <w:rFonts w:hint="eastAsia"/>
                <w:b w:val="0"/>
                <w:sz w:val="24"/>
                <w:szCs w:val="24"/>
                <w:u w:val="none"/>
                <w:lang w:val="en-US" w:eastAsia="zh-CN"/>
              </w:rPr>
              <w:t>需要</w:t>
            </w:r>
            <w:r>
              <w:rPr>
                <w:rFonts w:hint="eastAsia" w:cs="Times New Roman"/>
                <w:bCs/>
                <w:sz w:val="24"/>
                <w:szCs w:val="24"/>
                <w:highlight w:val="none"/>
                <w:u w:val="none"/>
                <w:lang w:val="en-US" w:eastAsia="zh-CN"/>
              </w:rPr>
              <w:t>蒸制的中药材约</w:t>
            </w:r>
            <w:r>
              <w:rPr>
                <w:rFonts w:hint="default" w:ascii="Times New Roman" w:hAnsi="Times New Roman" w:cs="Times New Roman"/>
                <w:bCs/>
                <w:sz w:val="24"/>
                <w:szCs w:val="24"/>
                <w:highlight w:val="none"/>
                <w:u w:val="none"/>
                <w:lang w:eastAsia="zh-CN"/>
              </w:rPr>
              <w:t>200t/a，</w:t>
            </w:r>
            <w:r>
              <w:rPr>
                <w:rFonts w:hint="eastAsia" w:ascii="Times New Roman" w:hAnsi="Times New Roman" w:cs="Times New Roman"/>
                <w:bCs/>
                <w:sz w:val="24"/>
                <w:szCs w:val="24"/>
                <w:highlight w:val="none"/>
                <w:u w:val="none"/>
                <w:lang w:val="en-US" w:eastAsia="zh-CN"/>
              </w:rPr>
              <w:t>需</w:t>
            </w:r>
            <w:r>
              <w:rPr>
                <w:rFonts w:hint="default"/>
                <w:lang w:val="en-US" w:eastAsia="zh-CN"/>
              </w:rPr>
              <w:t>提取</w:t>
            </w:r>
            <w:r>
              <w:rPr>
                <w:rFonts w:hint="eastAsia"/>
                <w:lang w:val="en-US" w:eastAsia="zh-CN"/>
              </w:rPr>
              <w:t>的</w:t>
            </w:r>
            <w:r>
              <w:rPr>
                <w:rFonts w:hint="default"/>
                <w:lang w:val="en-US" w:eastAsia="zh-CN"/>
              </w:rPr>
              <w:t>中药材</w:t>
            </w:r>
            <w:r>
              <w:rPr>
                <w:rFonts w:hint="eastAsia"/>
                <w:lang w:val="en-US" w:eastAsia="zh-CN"/>
              </w:rPr>
              <w:t>800</w:t>
            </w:r>
            <w:r>
              <w:rPr>
                <w:rFonts w:hint="default"/>
                <w:lang w:val="en-US" w:eastAsia="zh-CN"/>
              </w:rPr>
              <w:t>t/a，</w:t>
            </w:r>
            <w:r>
              <w:rPr>
                <w:rFonts w:hint="eastAsia"/>
                <w:lang w:val="en-US" w:eastAsia="zh-CN"/>
              </w:rPr>
              <w:t>共1000t</w:t>
            </w:r>
            <w:r>
              <w:rPr>
                <w:rFonts w:hint="eastAsia"/>
                <w:b w:val="0"/>
                <w:sz w:val="24"/>
                <w:szCs w:val="24"/>
                <w:u w:val="none"/>
              </w:rPr>
              <w:t>，则</w:t>
            </w:r>
            <w:r>
              <w:rPr>
                <w:rFonts w:hint="eastAsia"/>
                <w:b w:val="0"/>
                <w:sz w:val="24"/>
                <w:szCs w:val="24"/>
                <w:u w:val="none"/>
                <w:lang w:val="en-US" w:eastAsia="zh-CN"/>
              </w:rPr>
              <w:t>本项目煮提工序废</w:t>
            </w:r>
            <w:r>
              <w:rPr>
                <w:rFonts w:hint="eastAsia"/>
                <w:b w:val="0"/>
                <w:sz w:val="24"/>
                <w:szCs w:val="24"/>
                <w:u w:val="none"/>
              </w:rPr>
              <w:t>水量</w:t>
            </w:r>
            <w:r>
              <w:rPr>
                <w:rFonts w:hint="eastAsia"/>
                <w:b w:val="0"/>
                <w:sz w:val="24"/>
                <w:szCs w:val="24"/>
                <w:u w:val="none"/>
                <w:lang w:val="en-US" w:eastAsia="zh-CN"/>
              </w:rPr>
              <w:t>约</w:t>
            </w:r>
            <w:r>
              <w:rPr>
                <w:rFonts w:hint="eastAsia"/>
                <w:b w:val="0"/>
                <w:sz w:val="24"/>
                <w:szCs w:val="24"/>
                <w:u w:val="none"/>
              </w:rPr>
              <w:t>为</w:t>
            </w:r>
            <w:r>
              <w:rPr>
                <w:rFonts w:hint="eastAsia"/>
                <w:b w:val="0"/>
                <w:sz w:val="24"/>
                <w:szCs w:val="24"/>
                <w:u w:val="none"/>
                <w:lang w:val="en-US" w:eastAsia="zh-CN"/>
              </w:rPr>
              <w:t>138.13</w:t>
            </w:r>
            <w:r>
              <w:rPr>
                <w:rFonts w:hint="eastAsia"/>
                <w:b w:val="0"/>
                <w:sz w:val="24"/>
                <w:szCs w:val="24"/>
                <w:u w:val="none"/>
              </w:rPr>
              <w:t>m</w:t>
            </w:r>
            <w:r>
              <w:rPr>
                <w:rFonts w:hint="eastAsia"/>
                <w:b w:val="0"/>
                <w:sz w:val="24"/>
                <w:szCs w:val="24"/>
                <w:u w:val="none"/>
                <w:vertAlign w:val="superscript"/>
              </w:rPr>
              <w:t>3</w:t>
            </w:r>
            <w:r>
              <w:rPr>
                <w:rFonts w:hint="eastAsia"/>
                <w:b w:val="0"/>
                <w:sz w:val="24"/>
                <w:szCs w:val="24"/>
                <w:u w:val="none"/>
              </w:rPr>
              <w:t>/d</w:t>
            </w:r>
            <w:r>
              <w:rPr>
                <w:rFonts w:hint="eastAsia"/>
                <w:b w:val="0"/>
                <w:sz w:val="24"/>
                <w:szCs w:val="24"/>
                <w:u w:val="none"/>
                <w:lang w:eastAsia="zh-CN"/>
              </w:rPr>
              <w:t>、</w:t>
            </w:r>
            <w:r>
              <w:rPr>
                <w:rFonts w:hint="eastAsia"/>
                <w:b w:val="0"/>
                <w:sz w:val="24"/>
                <w:szCs w:val="24"/>
                <w:u w:val="none"/>
                <w:lang w:val="en-US" w:eastAsia="zh-CN"/>
              </w:rPr>
              <w:t>44200</w:t>
            </w:r>
            <w:r>
              <w:rPr>
                <w:rFonts w:hint="eastAsia"/>
                <w:b w:val="0"/>
                <w:sz w:val="24"/>
                <w:szCs w:val="24"/>
                <w:u w:val="none"/>
              </w:rPr>
              <w:t>m</w:t>
            </w:r>
            <w:r>
              <w:rPr>
                <w:rFonts w:hint="eastAsia"/>
                <w:b w:val="0"/>
                <w:sz w:val="24"/>
                <w:szCs w:val="24"/>
                <w:u w:val="none"/>
                <w:vertAlign w:val="superscript"/>
              </w:rPr>
              <w:t>3</w:t>
            </w:r>
            <w:r>
              <w:rPr>
                <w:rFonts w:hint="eastAsia"/>
                <w:b w:val="0"/>
                <w:sz w:val="24"/>
                <w:szCs w:val="24"/>
                <w:u w:val="none"/>
              </w:rPr>
              <w:t>/a</w:t>
            </w:r>
            <w:r>
              <w:rPr>
                <w:rFonts w:hint="eastAsia"/>
                <w:sz w:val="24"/>
                <w:szCs w:val="24"/>
                <w:u w:val="none"/>
                <w:lang w:eastAsia="zh-CN"/>
              </w:rPr>
              <w:t>，</w:t>
            </w:r>
            <w:r>
              <w:rPr>
                <w:rFonts w:hint="eastAsia"/>
                <w:sz w:val="24"/>
                <w:szCs w:val="24"/>
                <w:u w:val="none"/>
                <w:lang w:val="en-US" w:eastAsia="zh-CN"/>
              </w:rPr>
              <w:t>废水产生量为用水量的50%，则</w:t>
            </w:r>
            <w:r>
              <w:rPr>
                <w:rFonts w:hint="eastAsia"/>
                <w:b w:val="0"/>
                <w:sz w:val="24"/>
                <w:szCs w:val="24"/>
                <w:u w:val="none"/>
              </w:rPr>
              <w:t>药材</w:t>
            </w:r>
            <w:r>
              <w:rPr>
                <w:rFonts w:hint="eastAsia"/>
                <w:b w:val="0"/>
                <w:sz w:val="24"/>
                <w:szCs w:val="24"/>
                <w:u w:val="none"/>
                <w:lang w:val="en-US" w:eastAsia="zh-CN"/>
              </w:rPr>
              <w:t>煮提工序用</w:t>
            </w:r>
            <w:r>
              <w:rPr>
                <w:rFonts w:hint="eastAsia"/>
                <w:b w:val="0"/>
                <w:sz w:val="24"/>
                <w:szCs w:val="24"/>
                <w:u w:val="none"/>
              </w:rPr>
              <w:t>水量</w:t>
            </w:r>
            <w:r>
              <w:rPr>
                <w:rFonts w:hint="eastAsia"/>
                <w:b w:val="0"/>
                <w:sz w:val="24"/>
                <w:szCs w:val="24"/>
                <w:u w:val="none"/>
                <w:lang w:val="en-US" w:eastAsia="zh-CN"/>
              </w:rPr>
              <w:t>约</w:t>
            </w:r>
            <w:r>
              <w:rPr>
                <w:rFonts w:hint="eastAsia"/>
                <w:b w:val="0"/>
                <w:sz w:val="24"/>
                <w:szCs w:val="24"/>
                <w:u w:val="none"/>
              </w:rPr>
              <w:t>为</w:t>
            </w:r>
            <w:r>
              <w:rPr>
                <w:rFonts w:hint="eastAsia"/>
                <w:b w:val="0"/>
                <w:sz w:val="24"/>
                <w:szCs w:val="24"/>
                <w:u w:val="none"/>
                <w:lang w:val="en-US" w:eastAsia="zh-CN"/>
              </w:rPr>
              <w:t>276.25</w:t>
            </w:r>
            <w:r>
              <w:rPr>
                <w:rFonts w:hint="eastAsia"/>
                <w:b w:val="0"/>
                <w:sz w:val="24"/>
                <w:szCs w:val="24"/>
                <w:u w:val="none"/>
              </w:rPr>
              <w:t>m</w:t>
            </w:r>
            <w:r>
              <w:rPr>
                <w:rFonts w:hint="eastAsia"/>
                <w:b w:val="0"/>
                <w:sz w:val="24"/>
                <w:szCs w:val="24"/>
                <w:u w:val="none"/>
                <w:vertAlign w:val="superscript"/>
              </w:rPr>
              <w:t>3</w:t>
            </w:r>
            <w:r>
              <w:rPr>
                <w:rFonts w:hint="eastAsia"/>
                <w:b w:val="0"/>
                <w:sz w:val="24"/>
                <w:szCs w:val="24"/>
                <w:u w:val="none"/>
              </w:rPr>
              <w:t>/d</w:t>
            </w:r>
            <w:r>
              <w:rPr>
                <w:rFonts w:hint="eastAsia"/>
                <w:b w:val="0"/>
                <w:sz w:val="24"/>
                <w:szCs w:val="24"/>
                <w:u w:val="none"/>
                <w:lang w:eastAsia="zh-CN"/>
              </w:rPr>
              <w:t>、</w:t>
            </w:r>
            <w:r>
              <w:rPr>
                <w:rFonts w:hint="eastAsia"/>
                <w:b w:val="0"/>
                <w:sz w:val="24"/>
                <w:szCs w:val="24"/>
                <w:u w:val="none"/>
                <w:lang w:val="en-US" w:eastAsia="zh-CN"/>
              </w:rPr>
              <w:t>88400</w:t>
            </w:r>
            <w:r>
              <w:rPr>
                <w:rFonts w:hint="eastAsia"/>
                <w:b w:val="0"/>
                <w:sz w:val="24"/>
                <w:szCs w:val="24"/>
                <w:u w:val="none"/>
              </w:rPr>
              <w:t>m</w:t>
            </w:r>
            <w:r>
              <w:rPr>
                <w:rFonts w:hint="eastAsia"/>
                <w:b w:val="0"/>
                <w:sz w:val="24"/>
                <w:szCs w:val="24"/>
                <w:u w:val="none"/>
                <w:vertAlign w:val="superscript"/>
              </w:rPr>
              <w:t>3</w:t>
            </w:r>
            <w:r>
              <w:rPr>
                <w:rFonts w:hint="eastAsia"/>
                <w:b w:val="0"/>
                <w:sz w:val="24"/>
                <w:szCs w:val="24"/>
                <w:u w:val="none"/>
              </w:rPr>
              <w:t>/a</w:t>
            </w:r>
            <w:r>
              <w:rPr>
                <w:rFonts w:hint="eastAsia"/>
                <w:b w:val="0"/>
                <w:sz w:val="24"/>
                <w:szCs w:val="24"/>
                <w:u w:val="none"/>
                <w:lang w:eastAsia="zh-CN"/>
              </w:rPr>
              <w:t>。</w:t>
            </w:r>
          </w:p>
          <w:p w14:paraId="5AF46323">
            <w:pPr>
              <w:pStyle w:val="9"/>
              <w:rPr>
                <w:rFonts w:hint="default"/>
                <w:b/>
                <w:bCs/>
                <w:lang w:val="en-US" w:eastAsia="zh-CN"/>
              </w:rPr>
            </w:pPr>
            <w:r>
              <w:rPr>
                <w:b/>
                <w:bCs/>
                <w:sz w:val="24"/>
                <w:szCs w:val="24"/>
                <w:u w:val="none"/>
              </w:rPr>
              <w:fldChar w:fldCharType="begin"/>
            </w:r>
            <w:r>
              <w:rPr>
                <w:b/>
                <w:bCs/>
                <w:sz w:val="24"/>
                <w:szCs w:val="24"/>
                <w:u w:val="none"/>
              </w:rPr>
              <w:instrText xml:space="preserve"> = 3 \* GB3 \* MERGEFORMAT </w:instrText>
            </w:r>
            <w:r>
              <w:rPr>
                <w:b/>
                <w:bCs/>
                <w:sz w:val="24"/>
                <w:szCs w:val="24"/>
                <w:u w:val="none"/>
              </w:rPr>
              <w:fldChar w:fldCharType="separate"/>
            </w:r>
            <w:r>
              <w:rPr>
                <w:rFonts w:hint="eastAsia" w:ascii="宋体" w:hAnsi="宋体" w:cs="宋体"/>
                <w:b/>
                <w:bCs/>
                <w:sz w:val="24"/>
                <w:szCs w:val="24"/>
                <w:u w:val="none"/>
              </w:rPr>
              <w:t>③</w:t>
            </w:r>
            <w:r>
              <w:rPr>
                <w:b/>
                <w:bCs/>
                <w:sz w:val="24"/>
                <w:szCs w:val="24"/>
                <w:u w:val="none"/>
              </w:rPr>
              <w:fldChar w:fldCharType="end"/>
            </w:r>
            <w:r>
              <w:rPr>
                <w:rFonts w:hint="eastAsia"/>
                <w:b/>
                <w:bCs/>
                <w:lang w:val="en-US" w:eastAsia="zh-CN"/>
              </w:rPr>
              <w:t>发酵工序</w:t>
            </w:r>
            <w:r>
              <w:rPr>
                <w:rFonts w:hint="default"/>
                <w:b/>
                <w:bCs/>
                <w:lang w:val="en-US" w:eastAsia="zh-CN"/>
              </w:rPr>
              <w:t>用水</w:t>
            </w:r>
          </w:p>
          <w:p w14:paraId="1CFAA027">
            <w:pPr>
              <w:pStyle w:val="9"/>
              <w:rPr>
                <w:rFonts w:hint="default"/>
                <w:lang w:val="en-US" w:eastAsia="zh-CN"/>
              </w:rPr>
            </w:pPr>
            <w:r>
              <w:rPr>
                <w:rFonts w:hint="default"/>
                <w:lang w:val="en-US" w:eastAsia="zh-CN"/>
              </w:rPr>
              <w:t>将</w:t>
            </w:r>
            <w:r>
              <w:rPr>
                <w:rFonts w:hint="eastAsia"/>
                <w:lang w:val="en-US" w:eastAsia="zh-CN"/>
              </w:rPr>
              <w:t>需进行发酵工序的</w:t>
            </w:r>
            <w:r>
              <w:rPr>
                <w:rFonts w:hint="default"/>
                <w:lang w:val="en-US" w:eastAsia="zh-CN"/>
              </w:rPr>
              <w:t>药物加水加温，在一定温湿度条件下，使其发酵生上菌丝。</w:t>
            </w:r>
            <w:r>
              <w:rPr>
                <w:rFonts w:hint="eastAsia"/>
                <w:lang w:val="en-US" w:eastAsia="zh-CN"/>
              </w:rPr>
              <w:t>根据企业提供，需</w:t>
            </w:r>
            <w:r>
              <w:rPr>
                <w:rFonts w:hint="default"/>
                <w:lang w:val="en-US" w:eastAsia="zh-CN"/>
              </w:rPr>
              <w:t>加投料量</w:t>
            </w:r>
            <w:r>
              <w:rPr>
                <w:rFonts w:hint="eastAsia"/>
                <w:lang w:val="en-US" w:eastAsia="zh-CN"/>
              </w:rPr>
              <w:t>10</w:t>
            </w:r>
            <w:r>
              <w:rPr>
                <w:rFonts w:hint="default"/>
                <w:lang w:val="en-US" w:eastAsia="zh-CN"/>
              </w:rPr>
              <w:t>倍水，</w:t>
            </w:r>
            <w:r>
              <w:rPr>
                <w:rFonts w:hint="eastAsia"/>
                <w:lang w:val="en-US" w:eastAsia="zh-CN"/>
              </w:rPr>
              <w:t>发酵</w:t>
            </w:r>
            <w:r>
              <w:rPr>
                <w:rFonts w:hint="default"/>
                <w:lang w:val="en-US" w:eastAsia="zh-CN"/>
              </w:rPr>
              <w:t>工艺年耗中药材</w:t>
            </w:r>
            <w:r>
              <w:rPr>
                <w:rFonts w:hint="eastAsia"/>
                <w:lang w:val="en-US" w:eastAsia="zh-CN"/>
              </w:rPr>
              <w:t>800</w:t>
            </w:r>
            <w:r>
              <w:rPr>
                <w:rFonts w:hint="default"/>
                <w:lang w:val="en-US" w:eastAsia="zh-CN"/>
              </w:rPr>
              <w:t>t/a，据此核算用水</w:t>
            </w:r>
            <w:r>
              <w:rPr>
                <w:rFonts w:hint="eastAsia"/>
                <w:lang w:val="en-US" w:eastAsia="zh-CN"/>
              </w:rPr>
              <w:t>25</w:t>
            </w:r>
            <w:r>
              <w:rPr>
                <w:rFonts w:hint="default"/>
                <w:lang w:val="en-US" w:eastAsia="zh-CN"/>
              </w:rPr>
              <w:t>m</w:t>
            </w:r>
            <w:r>
              <w:rPr>
                <w:rFonts w:hint="default"/>
                <w:vertAlign w:val="superscript"/>
                <w:lang w:val="en-US" w:eastAsia="zh-CN"/>
              </w:rPr>
              <w:t>3</w:t>
            </w:r>
            <w:r>
              <w:rPr>
                <w:rFonts w:hint="default"/>
                <w:lang w:val="en-US" w:eastAsia="zh-CN"/>
              </w:rPr>
              <w:t>/d</w:t>
            </w:r>
            <w:r>
              <w:rPr>
                <w:rFonts w:hint="eastAsia"/>
                <w:lang w:val="en-US" w:eastAsia="zh-CN"/>
              </w:rPr>
              <w:t>、8000</w:t>
            </w:r>
            <w:r>
              <w:rPr>
                <w:rFonts w:hint="default"/>
                <w:lang w:val="en-US" w:eastAsia="zh-CN"/>
              </w:rPr>
              <w:t>m</w:t>
            </w:r>
            <w:r>
              <w:rPr>
                <w:rFonts w:hint="default"/>
                <w:vertAlign w:val="superscript"/>
                <w:lang w:val="en-US" w:eastAsia="zh-CN"/>
              </w:rPr>
              <w:t>3</w:t>
            </w:r>
            <w:r>
              <w:rPr>
                <w:rFonts w:hint="default"/>
                <w:lang w:val="en-US" w:eastAsia="zh-CN"/>
              </w:rPr>
              <w:t>/a</w:t>
            </w:r>
            <w:r>
              <w:rPr>
                <w:rFonts w:hint="eastAsia"/>
                <w:lang w:val="en-US" w:eastAsia="zh-CN"/>
              </w:rPr>
              <w:t>。</w:t>
            </w:r>
          </w:p>
          <w:p w14:paraId="56449635">
            <w:pPr>
              <w:pStyle w:val="18"/>
              <w:ind w:firstLine="420"/>
              <w:rPr>
                <w:rFonts w:hint="eastAsia"/>
                <w:b/>
                <w:bCs/>
                <w:sz w:val="24"/>
                <w:szCs w:val="24"/>
                <w:u w:val="none"/>
                <w:lang w:val="en-US" w:eastAsia="zh-CN"/>
              </w:rPr>
            </w:pPr>
            <w:r>
              <w:rPr>
                <w:b/>
                <w:bCs/>
                <w:sz w:val="24"/>
                <w:szCs w:val="24"/>
                <w:u w:val="none"/>
              </w:rPr>
              <w:fldChar w:fldCharType="begin"/>
            </w:r>
            <w:r>
              <w:rPr>
                <w:b/>
                <w:bCs/>
                <w:sz w:val="24"/>
                <w:szCs w:val="24"/>
                <w:u w:val="none"/>
              </w:rPr>
              <w:instrText xml:space="preserve"> = 4 \* GB3 \* MERGEFORMAT </w:instrText>
            </w:r>
            <w:r>
              <w:rPr>
                <w:b/>
                <w:bCs/>
                <w:sz w:val="24"/>
                <w:szCs w:val="24"/>
                <w:u w:val="none"/>
              </w:rPr>
              <w:fldChar w:fldCharType="separate"/>
            </w:r>
            <w:r>
              <w:rPr>
                <w:rFonts w:hint="eastAsia" w:ascii="宋体" w:hAnsi="宋体" w:cs="宋体"/>
                <w:b/>
                <w:bCs/>
                <w:sz w:val="24"/>
                <w:szCs w:val="24"/>
                <w:u w:val="none"/>
              </w:rPr>
              <w:t>④</w:t>
            </w:r>
            <w:r>
              <w:rPr>
                <w:b/>
                <w:bCs/>
                <w:sz w:val="24"/>
                <w:szCs w:val="24"/>
                <w:u w:val="none"/>
              </w:rPr>
              <w:fldChar w:fldCharType="end"/>
            </w:r>
            <w:r>
              <w:rPr>
                <w:rFonts w:hint="eastAsia"/>
                <w:b/>
                <w:bCs/>
                <w:sz w:val="24"/>
                <w:szCs w:val="24"/>
                <w:u w:val="none"/>
              </w:rPr>
              <w:t>毒性中药饮片</w:t>
            </w:r>
            <w:r>
              <w:rPr>
                <w:rFonts w:hint="eastAsia"/>
                <w:b/>
                <w:bCs/>
                <w:sz w:val="24"/>
                <w:szCs w:val="24"/>
                <w:u w:val="none"/>
                <w:lang w:val="en-US" w:eastAsia="zh-CN"/>
              </w:rPr>
              <w:t>炮制用水</w:t>
            </w:r>
          </w:p>
          <w:p w14:paraId="28B81A2B">
            <w:pPr>
              <w:pStyle w:val="18"/>
              <w:ind w:firstLine="420"/>
              <w:rPr>
                <w:rFonts w:hint="eastAsia"/>
                <w:sz w:val="24"/>
                <w:szCs w:val="24"/>
                <w:u w:val="none"/>
                <w:lang w:eastAsia="zh-CN"/>
              </w:rPr>
            </w:pPr>
            <w:r>
              <w:rPr>
                <w:rFonts w:hint="eastAsia"/>
                <w:sz w:val="24"/>
                <w:szCs w:val="24"/>
                <w:u w:val="none"/>
              </w:rPr>
              <w:t>根据建设单位生产经验及提供资料</w:t>
            </w:r>
            <w:r>
              <w:rPr>
                <w:rFonts w:hint="eastAsia"/>
                <w:sz w:val="24"/>
                <w:szCs w:val="24"/>
                <w:u w:val="none"/>
                <w:lang w:eastAsia="zh-CN"/>
              </w:rPr>
              <w:t>，</w:t>
            </w:r>
            <w:r>
              <w:rPr>
                <w:rFonts w:hint="eastAsia"/>
                <w:sz w:val="24"/>
                <w:szCs w:val="24"/>
                <w:u w:val="none"/>
              </w:rPr>
              <w:t>毒性中药饮片生产</w:t>
            </w:r>
            <w:r>
              <w:rPr>
                <w:rFonts w:hint="eastAsia"/>
                <w:sz w:val="24"/>
                <w:szCs w:val="24"/>
                <w:u w:val="none"/>
                <w:lang w:val="en-US" w:eastAsia="zh-CN"/>
              </w:rPr>
              <w:t>中需要加入</w:t>
            </w:r>
            <w:r>
              <w:rPr>
                <w:rFonts w:hint="eastAsia"/>
                <w:sz w:val="24"/>
                <w:szCs w:val="24"/>
                <w:u w:val="none"/>
              </w:rPr>
              <w:t>加入白矾或生姜片</w:t>
            </w:r>
            <w:r>
              <w:rPr>
                <w:rFonts w:hint="eastAsia"/>
                <w:sz w:val="24"/>
                <w:szCs w:val="24"/>
                <w:u w:val="none"/>
                <w:lang w:val="en-US" w:eastAsia="zh-CN"/>
              </w:rPr>
              <w:t>蒸煮解毒，</w:t>
            </w:r>
            <w:r>
              <w:rPr>
                <w:rFonts w:hint="eastAsia"/>
                <w:sz w:val="24"/>
                <w:szCs w:val="24"/>
                <w:u w:val="none"/>
              </w:rPr>
              <w:t>毒性中药饮片</w:t>
            </w:r>
            <w:r>
              <w:rPr>
                <w:rFonts w:hint="eastAsia"/>
                <w:sz w:val="24"/>
                <w:szCs w:val="24"/>
                <w:u w:val="none"/>
                <w:lang w:val="en-US" w:eastAsia="zh-CN"/>
              </w:rPr>
              <w:t>炮制</w:t>
            </w:r>
            <w:r>
              <w:rPr>
                <w:rFonts w:hint="eastAsia"/>
                <w:sz w:val="24"/>
                <w:szCs w:val="24"/>
                <w:u w:val="none"/>
              </w:rPr>
              <w:t>工艺用水量为0.0</w:t>
            </w:r>
            <w:r>
              <w:rPr>
                <w:rFonts w:hint="eastAsia"/>
                <w:sz w:val="24"/>
                <w:szCs w:val="24"/>
                <w:u w:val="none"/>
                <w:lang w:val="en-US" w:eastAsia="zh-CN"/>
              </w:rPr>
              <w:t>2</w:t>
            </w:r>
            <w:r>
              <w:rPr>
                <w:rFonts w:hint="eastAsia"/>
                <w:sz w:val="24"/>
                <w:szCs w:val="24"/>
                <w:u w:val="none"/>
              </w:rPr>
              <w:t>m</w:t>
            </w:r>
            <w:r>
              <w:rPr>
                <w:rFonts w:hint="eastAsia"/>
                <w:sz w:val="24"/>
                <w:szCs w:val="24"/>
                <w:u w:val="none"/>
                <w:vertAlign w:val="superscript"/>
              </w:rPr>
              <w:t>3</w:t>
            </w:r>
            <w:r>
              <w:rPr>
                <w:rFonts w:hint="eastAsia"/>
                <w:sz w:val="24"/>
                <w:szCs w:val="24"/>
                <w:u w:val="none"/>
              </w:rPr>
              <w:t>/d</w:t>
            </w:r>
            <w:r>
              <w:rPr>
                <w:rFonts w:hint="eastAsia"/>
                <w:sz w:val="24"/>
                <w:szCs w:val="24"/>
                <w:u w:val="none"/>
                <w:lang w:eastAsia="zh-CN"/>
              </w:rPr>
              <w:t>、</w:t>
            </w:r>
            <w:r>
              <w:rPr>
                <w:rFonts w:hint="eastAsia"/>
                <w:sz w:val="24"/>
                <w:szCs w:val="24"/>
                <w:u w:val="none"/>
                <w:lang w:val="en-US" w:eastAsia="zh-CN"/>
              </w:rPr>
              <w:t>6.4</w:t>
            </w:r>
            <w:r>
              <w:rPr>
                <w:rFonts w:hint="eastAsia"/>
                <w:sz w:val="24"/>
                <w:szCs w:val="24"/>
                <w:u w:val="none"/>
              </w:rPr>
              <w:t>m</w:t>
            </w:r>
            <w:r>
              <w:rPr>
                <w:rFonts w:hint="eastAsia"/>
                <w:sz w:val="24"/>
                <w:szCs w:val="24"/>
                <w:u w:val="none"/>
                <w:vertAlign w:val="superscript"/>
              </w:rPr>
              <w:t>3</w:t>
            </w:r>
            <w:r>
              <w:rPr>
                <w:rFonts w:hint="eastAsia"/>
                <w:sz w:val="24"/>
                <w:szCs w:val="24"/>
                <w:u w:val="none"/>
              </w:rPr>
              <w:t>/a</w:t>
            </w:r>
            <w:r>
              <w:rPr>
                <w:rFonts w:hint="eastAsia"/>
                <w:sz w:val="24"/>
                <w:szCs w:val="24"/>
                <w:u w:val="none"/>
                <w:lang w:eastAsia="zh-CN"/>
              </w:rPr>
              <w:t>。</w:t>
            </w:r>
          </w:p>
          <w:p w14:paraId="077ED1FB">
            <w:pPr>
              <w:rPr>
                <w:rFonts w:hint="eastAsia" w:eastAsia="宋体"/>
                <w:b/>
                <w:bCs/>
                <w:sz w:val="24"/>
                <w:szCs w:val="24"/>
                <w:u w:val="none"/>
                <w:lang w:val="en-US" w:eastAsia="zh-CN"/>
              </w:rPr>
            </w:pPr>
            <w:r>
              <w:rPr>
                <w:rFonts w:hint="eastAsia"/>
                <w:b/>
                <w:bCs/>
                <w:sz w:val="24"/>
                <w:szCs w:val="24"/>
                <w:u w:val="none"/>
              </w:rPr>
              <w:t>⑤设备清洗</w:t>
            </w:r>
            <w:r>
              <w:rPr>
                <w:rFonts w:hint="eastAsia"/>
                <w:b/>
                <w:bCs/>
                <w:sz w:val="24"/>
                <w:szCs w:val="24"/>
                <w:u w:val="none"/>
                <w:lang w:val="en-US" w:eastAsia="zh-CN"/>
              </w:rPr>
              <w:t>用水</w:t>
            </w:r>
          </w:p>
          <w:p w14:paraId="31EEA711">
            <w:pPr>
              <w:rPr>
                <w:rFonts w:hint="eastAsia"/>
                <w:sz w:val="24"/>
                <w:szCs w:val="24"/>
                <w:u w:val="none"/>
                <w:lang w:val="en-US" w:eastAsia="zh-CN"/>
              </w:rPr>
            </w:pPr>
            <w:r>
              <w:rPr>
                <w:rFonts w:hint="eastAsia"/>
                <w:b/>
                <w:bCs/>
                <w:sz w:val="24"/>
                <w:szCs w:val="24"/>
                <w:u w:val="single"/>
              </w:rPr>
              <w:t>项目中药饮片生产车间生产线炮制</w:t>
            </w:r>
            <w:r>
              <w:rPr>
                <w:rFonts w:hint="eastAsia"/>
                <w:b/>
                <w:bCs/>
                <w:sz w:val="24"/>
                <w:szCs w:val="24"/>
                <w:u w:val="single"/>
                <w:lang w:eastAsia="zh-CN"/>
              </w:rPr>
              <w:t>、</w:t>
            </w:r>
            <w:r>
              <w:rPr>
                <w:rFonts w:hint="eastAsia"/>
                <w:b/>
                <w:bCs/>
                <w:sz w:val="24"/>
                <w:szCs w:val="24"/>
                <w:u w:val="single"/>
                <w:lang w:val="en-US" w:eastAsia="zh-CN"/>
              </w:rPr>
              <w:t>提取、发酵</w:t>
            </w:r>
            <w:r>
              <w:rPr>
                <w:rFonts w:hint="eastAsia"/>
                <w:b/>
                <w:bCs/>
                <w:sz w:val="24"/>
                <w:szCs w:val="24"/>
                <w:u w:val="single"/>
              </w:rPr>
              <w:t>过程中换药加工需要对机器进行清洗，防止混药</w:t>
            </w:r>
            <w:r>
              <w:rPr>
                <w:rFonts w:hint="eastAsia"/>
                <w:b/>
                <w:bCs/>
                <w:sz w:val="24"/>
                <w:szCs w:val="24"/>
                <w:u w:val="single"/>
                <w:lang w:eastAsia="zh-CN"/>
              </w:rPr>
              <w:t>，</w:t>
            </w:r>
            <w:r>
              <w:rPr>
                <w:rFonts w:hint="eastAsia"/>
                <w:b/>
                <w:bCs/>
                <w:sz w:val="24"/>
                <w:szCs w:val="24"/>
                <w:u w:val="single"/>
                <w:lang w:val="en-US" w:eastAsia="zh-CN"/>
              </w:rPr>
              <w:t>以及</w:t>
            </w:r>
            <w:r>
              <w:rPr>
                <w:rFonts w:hint="eastAsia"/>
                <w:b/>
                <w:bCs/>
                <w:sz w:val="24"/>
                <w:szCs w:val="24"/>
                <w:u w:val="single"/>
              </w:rPr>
              <w:t>颗粒剂及制丸车间设备</w:t>
            </w:r>
            <w:r>
              <w:rPr>
                <w:rFonts w:hint="eastAsia"/>
                <w:b/>
                <w:bCs/>
                <w:sz w:val="24"/>
                <w:szCs w:val="24"/>
                <w:u w:val="single"/>
                <w:lang w:val="en-US" w:eastAsia="zh-CN"/>
              </w:rPr>
              <w:t>清洗</w:t>
            </w:r>
            <w:r>
              <w:rPr>
                <w:rFonts w:hint="eastAsia"/>
                <w:b/>
                <w:bCs/>
                <w:sz w:val="24"/>
                <w:szCs w:val="24"/>
                <w:u w:val="single"/>
                <w:lang w:eastAsia="zh-CN"/>
              </w:rPr>
              <w:t>。</w:t>
            </w:r>
            <w:r>
              <w:rPr>
                <w:rFonts w:hint="eastAsia"/>
                <w:sz w:val="24"/>
                <w:szCs w:val="24"/>
                <w:u w:val="none"/>
                <w:lang w:val="en-US" w:eastAsia="zh-CN"/>
              </w:rPr>
              <w:t>根据企业提供，其中：</w:t>
            </w:r>
          </w:p>
          <w:p w14:paraId="5286AEEB">
            <w:pPr>
              <w:rPr>
                <w:rFonts w:hint="eastAsia"/>
                <w:sz w:val="24"/>
                <w:szCs w:val="24"/>
                <w:u w:val="none"/>
              </w:rPr>
            </w:pPr>
            <w:r>
              <w:rPr>
                <w:rFonts w:hint="eastAsia"/>
                <w:sz w:val="24"/>
                <w:szCs w:val="24"/>
                <w:u w:val="none"/>
              </w:rPr>
              <w:t>中药饮片生产车间生产线</w:t>
            </w:r>
            <w:r>
              <w:rPr>
                <w:rFonts w:hint="eastAsia"/>
                <w:sz w:val="24"/>
                <w:szCs w:val="24"/>
                <w:u w:val="none"/>
                <w:lang w:val="en-US" w:eastAsia="zh-CN"/>
              </w:rPr>
              <w:t>每次清洗用水量占容器容量的5%左右，因此炮制、提取、发酵等工序总</w:t>
            </w:r>
            <w:r>
              <w:rPr>
                <w:rFonts w:hint="eastAsia"/>
                <w:sz w:val="24"/>
                <w:szCs w:val="24"/>
                <w:u w:val="none"/>
              </w:rPr>
              <w:t>清洗用水量约</w:t>
            </w:r>
            <w:r>
              <w:rPr>
                <w:rFonts w:hint="eastAsia"/>
                <w:sz w:val="24"/>
                <w:szCs w:val="24"/>
                <w:u w:val="none"/>
                <w:lang w:val="en-US" w:eastAsia="zh-CN"/>
              </w:rPr>
              <w:t>3m</w:t>
            </w:r>
            <w:r>
              <w:rPr>
                <w:rFonts w:hint="eastAsia"/>
                <w:sz w:val="24"/>
                <w:szCs w:val="24"/>
                <w:u w:val="none"/>
                <w:vertAlign w:val="superscript"/>
                <w:lang w:val="en-US" w:eastAsia="zh-CN"/>
              </w:rPr>
              <w:t>3</w:t>
            </w:r>
            <w:r>
              <w:rPr>
                <w:rFonts w:hint="eastAsia"/>
                <w:sz w:val="24"/>
                <w:szCs w:val="24"/>
                <w:u w:val="none"/>
              </w:rPr>
              <w:t>/d</w:t>
            </w:r>
            <w:r>
              <w:rPr>
                <w:rFonts w:hint="eastAsia"/>
                <w:sz w:val="24"/>
                <w:szCs w:val="24"/>
                <w:u w:val="none"/>
                <w:lang w:val="en-US" w:eastAsia="zh-CN"/>
              </w:rPr>
              <w:t>、960m</w:t>
            </w:r>
            <w:r>
              <w:rPr>
                <w:rFonts w:hint="eastAsia"/>
                <w:sz w:val="24"/>
                <w:szCs w:val="24"/>
                <w:u w:val="none"/>
                <w:vertAlign w:val="superscript"/>
                <w:lang w:val="en-US" w:eastAsia="zh-CN"/>
              </w:rPr>
              <w:t>3</w:t>
            </w:r>
            <w:r>
              <w:rPr>
                <w:rFonts w:hint="eastAsia"/>
                <w:sz w:val="24"/>
                <w:szCs w:val="24"/>
                <w:u w:val="none"/>
                <w:lang w:val="en-US" w:eastAsia="zh-CN"/>
              </w:rPr>
              <w:t>/a</w:t>
            </w:r>
            <w:r>
              <w:rPr>
                <w:rFonts w:hint="eastAsia"/>
                <w:sz w:val="24"/>
                <w:szCs w:val="24"/>
                <w:u w:val="none"/>
              </w:rPr>
              <w:t>。</w:t>
            </w:r>
          </w:p>
          <w:p w14:paraId="1817CAF2">
            <w:pPr>
              <w:rPr>
                <w:rFonts w:hint="eastAsia"/>
                <w:sz w:val="24"/>
                <w:szCs w:val="24"/>
                <w:u w:val="none"/>
              </w:rPr>
            </w:pPr>
            <w:r>
              <w:rPr>
                <w:rFonts w:hint="eastAsia"/>
                <w:sz w:val="24"/>
                <w:szCs w:val="24"/>
                <w:u w:val="none"/>
              </w:rPr>
              <w:t>颗粒剂及制丸车间设备</w:t>
            </w:r>
            <w:r>
              <w:rPr>
                <w:rFonts w:hint="eastAsia"/>
                <w:sz w:val="24"/>
                <w:szCs w:val="24"/>
                <w:u w:val="none"/>
                <w:lang w:val="en-US" w:eastAsia="zh-CN"/>
              </w:rPr>
              <w:t>清洗</w:t>
            </w:r>
            <w:r>
              <w:rPr>
                <w:rFonts w:hint="eastAsia"/>
                <w:sz w:val="24"/>
                <w:szCs w:val="24"/>
                <w:u w:val="none"/>
              </w:rPr>
              <w:t>采用纯水，生产设备需每天需要清洗一次，用水量约</w:t>
            </w:r>
            <w:r>
              <w:rPr>
                <w:rFonts w:hint="eastAsia"/>
                <w:sz w:val="24"/>
                <w:szCs w:val="24"/>
                <w:u w:val="none"/>
                <w:lang w:val="en-US" w:eastAsia="zh-CN"/>
              </w:rPr>
              <w:t>1m</w:t>
            </w:r>
            <w:r>
              <w:rPr>
                <w:rFonts w:hint="eastAsia"/>
                <w:sz w:val="24"/>
                <w:szCs w:val="24"/>
                <w:u w:val="none"/>
                <w:vertAlign w:val="superscript"/>
                <w:lang w:val="en-US" w:eastAsia="zh-CN"/>
              </w:rPr>
              <w:t>3</w:t>
            </w:r>
            <w:r>
              <w:rPr>
                <w:rFonts w:hint="eastAsia"/>
                <w:sz w:val="24"/>
                <w:szCs w:val="24"/>
                <w:u w:val="none"/>
              </w:rPr>
              <w:t>/d</w:t>
            </w:r>
            <w:r>
              <w:rPr>
                <w:rFonts w:hint="eastAsia"/>
                <w:sz w:val="24"/>
                <w:szCs w:val="24"/>
                <w:u w:val="none"/>
                <w:lang w:val="en-US" w:eastAsia="zh-CN"/>
              </w:rPr>
              <w:t>、320m</w:t>
            </w:r>
            <w:r>
              <w:rPr>
                <w:rFonts w:hint="eastAsia"/>
                <w:sz w:val="24"/>
                <w:szCs w:val="24"/>
                <w:u w:val="none"/>
                <w:vertAlign w:val="superscript"/>
                <w:lang w:val="en-US" w:eastAsia="zh-CN"/>
              </w:rPr>
              <w:t>3</w:t>
            </w:r>
            <w:r>
              <w:rPr>
                <w:rFonts w:hint="eastAsia"/>
                <w:sz w:val="24"/>
                <w:szCs w:val="24"/>
                <w:u w:val="none"/>
                <w:lang w:val="en-US" w:eastAsia="zh-CN"/>
              </w:rPr>
              <w:t>/a</w:t>
            </w:r>
            <w:r>
              <w:rPr>
                <w:rFonts w:hint="eastAsia"/>
                <w:sz w:val="24"/>
                <w:szCs w:val="24"/>
                <w:u w:val="none"/>
              </w:rPr>
              <w:t>。</w:t>
            </w:r>
          </w:p>
          <w:p w14:paraId="015548CF">
            <w:pPr>
              <w:rPr>
                <w:rFonts w:hint="default" w:eastAsia="宋体"/>
                <w:sz w:val="24"/>
                <w:szCs w:val="24"/>
                <w:u w:val="none"/>
                <w:lang w:val="en-US" w:eastAsia="zh-CN"/>
              </w:rPr>
            </w:pPr>
            <w:r>
              <w:rPr>
                <w:rFonts w:hint="eastAsia"/>
                <w:sz w:val="24"/>
                <w:szCs w:val="24"/>
                <w:u w:val="none"/>
                <w:lang w:val="en-US" w:eastAsia="zh-CN"/>
              </w:rPr>
              <w:t>综上，项目设备清洗总用水量为4m</w:t>
            </w:r>
            <w:r>
              <w:rPr>
                <w:rFonts w:hint="eastAsia"/>
                <w:sz w:val="24"/>
                <w:szCs w:val="24"/>
                <w:u w:val="none"/>
                <w:vertAlign w:val="superscript"/>
                <w:lang w:val="en-US" w:eastAsia="zh-CN"/>
              </w:rPr>
              <w:t>3</w:t>
            </w:r>
            <w:r>
              <w:rPr>
                <w:rFonts w:hint="eastAsia"/>
                <w:sz w:val="24"/>
                <w:szCs w:val="24"/>
                <w:u w:val="none"/>
              </w:rPr>
              <w:t>/d</w:t>
            </w:r>
            <w:r>
              <w:rPr>
                <w:rFonts w:hint="eastAsia"/>
                <w:sz w:val="24"/>
                <w:szCs w:val="24"/>
                <w:u w:val="none"/>
                <w:lang w:val="en-US" w:eastAsia="zh-CN"/>
              </w:rPr>
              <w:t>、1280m</w:t>
            </w:r>
            <w:r>
              <w:rPr>
                <w:rFonts w:hint="eastAsia"/>
                <w:sz w:val="24"/>
                <w:szCs w:val="24"/>
                <w:u w:val="none"/>
                <w:vertAlign w:val="superscript"/>
                <w:lang w:val="en-US" w:eastAsia="zh-CN"/>
              </w:rPr>
              <w:t>3</w:t>
            </w:r>
            <w:r>
              <w:rPr>
                <w:rFonts w:hint="eastAsia"/>
                <w:sz w:val="24"/>
                <w:szCs w:val="24"/>
                <w:u w:val="none"/>
                <w:lang w:val="en-US" w:eastAsia="zh-CN"/>
              </w:rPr>
              <w:t>/a</w:t>
            </w:r>
            <w:r>
              <w:rPr>
                <w:rFonts w:hint="eastAsia"/>
                <w:sz w:val="24"/>
                <w:szCs w:val="24"/>
                <w:u w:val="none"/>
              </w:rPr>
              <w:t>，</w:t>
            </w:r>
            <w:r>
              <w:rPr>
                <w:rFonts w:hint="eastAsia"/>
                <w:sz w:val="24"/>
                <w:szCs w:val="24"/>
                <w:u w:val="none"/>
                <w:lang w:val="en-US" w:eastAsia="zh-CN"/>
              </w:rPr>
              <w:t>其中新鲜水用量为3m</w:t>
            </w:r>
            <w:r>
              <w:rPr>
                <w:rFonts w:hint="eastAsia"/>
                <w:sz w:val="24"/>
                <w:szCs w:val="24"/>
                <w:u w:val="none"/>
                <w:vertAlign w:val="superscript"/>
                <w:lang w:val="en-US" w:eastAsia="zh-CN"/>
              </w:rPr>
              <w:t>3</w:t>
            </w:r>
            <w:r>
              <w:rPr>
                <w:rFonts w:hint="eastAsia"/>
                <w:sz w:val="24"/>
                <w:szCs w:val="24"/>
                <w:u w:val="none"/>
              </w:rPr>
              <w:t>/d</w:t>
            </w:r>
            <w:r>
              <w:rPr>
                <w:rFonts w:hint="eastAsia"/>
                <w:sz w:val="24"/>
                <w:szCs w:val="24"/>
                <w:u w:val="none"/>
                <w:lang w:val="en-US" w:eastAsia="zh-CN"/>
              </w:rPr>
              <w:t>、960m</w:t>
            </w:r>
            <w:r>
              <w:rPr>
                <w:rFonts w:hint="eastAsia"/>
                <w:sz w:val="24"/>
                <w:szCs w:val="24"/>
                <w:u w:val="none"/>
                <w:vertAlign w:val="superscript"/>
                <w:lang w:val="en-US" w:eastAsia="zh-CN"/>
              </w:rPr>
              <w:t>3</w:t>
            </w:r>
            <w:r>
              <w:rPr>
                <w:rFonts w:hint="eastAsia"/>
                <w:sz w:val="24"/>
                <w:szCs w:val="24"/>
                <w:u w:val="none"/>
                <w:lang w:val="en-US" w:eastAsia="zh-CN"/>
              </w:rPr>
              <w:t>/a；纯水用水量1m</w:t>
            </w:r>
            <w:r>
              <w:rPr>
                <w:rFonts w:hint="eastAsia"/>
                <w:sz w:val="24"/>
                <w:szCs w:val="24"/>
                <w:u w:val="none"/>
                <w:vertAlign w:val="superscript"/>
                <w:lang w:val="en-US" w:eastAsia="zh-CN"/>
              </w:rPr>
              <w:t>3</w:t>
            </w:r>
            <w:r>
              <w:rPr>
                <w:rFonts w:hint="eastAsia"/>
                <w:sz w:val="24"/>
                <w:szCs w:val="24"/>
                <w:u w:val="none"/>
              </w:rPr>
              <w:t>/d</w:t>
            </w:r>
            <w:r>
              <w:rPr>
                <w:rFonts w:hint="eastAsia"/>
                <w:sz w:val="24"/>
                <w:szCs w:val="24"/>
                <w:u w:val="none"/>
                <w:lang w:val="en-US" w:eastAsia="zh-CN"/>
              </w:rPr>
              <w:t>、320m</w:t>
            </w:r>
            <w:r>
              <w:rPr>
                <w:rFonts w:hint="eastAsia"/>
                <w:sz w:val="24"/>
                <w:szCs w:val="24"/>
                <w:u w:val="none"/>
                <w:vertAlign w:val="superscript"/>
                <w:lang w:val="en-US" w:eastAsia="zh-CN"/>
              </w:rPr>
              <w:t>3</w:t>
            </w:r>
            <w:r>
              <w:rPr>
                <w:rFonts w:hint="eastAsia"/>
                <w:sz w:val="24"/>
                <w:szCs w:val="24"/>
                <w:u w:val="none"/>
                <w:lang w:val="en-US" w:eastAsia="zh-CN"/>
              </w:rPr>
              <w:t>/a</w:t>
            </w:r>
            <w:r>
              <w:rPr>
                <w:rFonts w:hint="eastAsia"/>
                <w:sz w:val="24"/>
                <w:szCs w:val="24"/>
                <w:u w:val="none"/>
              </w:rPr>
              <w:t>。</w:t>
            </w:r>
          </w:p>
          <w:p w14:paraId="597D5310">
            <w:pPr>
              <w:rPr>
                <w:rFonts w:hint="default" w:eastAsia="宋体"/>
                <w:b/>
                <w:bCs/>
                <w:sz w:val="24"/>
                <w:szCs w:val="24"/>
                <w:lang w:val="en-US" w:eastAsia="zh-CN"/>
              </w:rPr>
            </w:pPr>
            <w:r>
              <w:rPr>
                <w:rFonts w:hint="eastAsia"/>
                <w:b/>
                <w:bCs/>
                <w:sz w:val="24"/>
                <w:szCs w:val="24"/>
                <w:u w:val="none"/>
                <w:lang w:eastAsia="zh-CN"/>
              </w:rPr>
              <w:t>⑥</w:t>
            </w:r>
            <w:r>
              <w:rPr>
                <w:rFonts w:hint="eastAsia"/>
                <w:b/>
                <w:bCs/>
                <w:sz w:val="24"/>
                <w:szCs w:val="24"/>
                <w:lang w:val="en-US" w:eastAsia="zh-CN"/>
              </w:rPr>
              <w:t>地面清洗用水</w:t>
            </w:r>
          </w:p>
          <w:p w14:paraId="745EFA23">
            <w:pPr>
              <w:pStyle w:val="18"/>
              <w:ind w:firstLine="420"/>
              <w:rPr>
                <w:rFonts w:hint="eastAsia"/>
                <w:sz w:val="24"/>
                <w:szCs w:val="24"/>
                <w:lang w:val="en-US" w:eastAsia="zh-CN"/>
              </w:rPr>
            </w:pPr>
            <w:r>
              <w:rPr>
                <w:rFonts w:hint="eastAsia"/>
                <w:sz w:val="24"/>
                <w:szCs w:val="24"/>
                <w:lang w:val="en-US" w:eastAsia="zh-CN"/>
              </w:rPr>
              <w:t>根据企业提供资料，</w:t>
            </w:r>
            <w:r>
              <w:rPr>
                <w:sz w:val="24"/>
                <w:szCs w:val="24"/>
              </w:rPr>
              <w:t>项目生产车间需用水定期清洗，</w:t>
            </w:r>
            <w:r>
              <w:rPr>
                <w:rFonts w:hint="eastAsia"/>
                <w:sz w:val="24"/>
                <w:szCs w:val="24"/>
                <w:lang w:val="en-US" w:eastAsia="zh-CN"/>
              </w:rPr>
              <w:t>其中：</w:t>
            </w:r>
          </w:p>
          <w:p w14:paraId="17566BFF">
            <w:pPr>
              <w:rPr>
                <w:rFonts w:hint="eastAsia"/>
                <w:sz w:val="24"/>
                <w:szCs w:val="24"/>
                <w:u w:val="none"/>
              </w:rPr>
            </w:pPr>
            <w:r>
              <w:rPr>
                <w:rFonts w:hint="eastAsia"/>
                <w:lang w:val="en-US" w:eastAsia="zh-CN"/>
              </w:rPr>
              <w:t>项目浸膏暂存区、颗粒剂及制丸车间设置D级洁净区，采用纯水清洁，</w:t>
            </w:r>
            <w:r>
              <w:rPr>
                <w:rFonts w:hint="eastAsia"/>
                <w:sz w:val="24"/>
                <w:szCs w:val="24"/>
                <w:u w:val="none"/>
              </w:rPr>
              <w:t>用水量约</w:t>
            </w:r>
            <w:r>
              <w:rPr>
                <w:rFonts w:hint="eastAsia"/>
                <w:sz w:val="24"/>
                <w:szCs w:val="24"/>
                <w:u w:val="none"/>
                <w:lang w:val="en-US" w:eastAsia="zh-CN"/>
              </w:rPr>
              <w:t>1.2m</w:t>
            </w:r>
            <w:r>
              <w:rPr>
                <w:rFonts w:hint="eastAsia"/>
                <w:sz w:val="24"/>
                <w:szCs w:val="24"/>
                <w:u w:val="none"/>
                <w:vertAlign w:val="superscript"/>
                <w:lang w:val="en-US" w:eastAsia="zh-CN"/>
              </w:rPr>
              <w:t>3</w:t>
            </w:r>
            <w:r>
              <w:rPr>
                <w:rFonts w:hint="eastAsia"/>
                <w:sz w:val="24"/>
                <w:szCs w:val="24"/>
                <w:u w:val="none"/>
              </w:rPr>
              <w:t>/d</w:t>
            </w:r>
            <w:r>
              <w:rPr>
                <w:rFonts w:hint="eastAsia"/>
                <w:sz w:val="24"/>
                <w:szCs w:val="24"/>
                <w:u w:val="none"/>
                <w:lang w:val="en-US" w:eastAsia="zh-CN"/>
              </w:rPr>
              <w:t>、384m</w:t>
            </w:r>
            <w:r>
              <w:rPr>
                <w:rFonts w:hint="eastAsia"/>
                <w:sz w:val="24"/>
                <w:szCs w:val="24"/>
                <w:u w:val="none"/>
                <w:vertAlign w:val="superscript"/>
                <w:lang w:val="en-US" w:eastAsia="zh-CN"/>
              </w:rPr>
              <w:t>3</w:t>
            </w:r>
            <w:r>
              <w:rPr>
                <w:rFonts w:hint="eastAsia"/>
                <w:sz w:val="24"/>
                <w:szCs w:val="24"/>
                <w:u w:val="none"/>
                <w:lang w:val="en-US" w:eastAsia="zh-CN"/>
              </w:rPr>
              <w:t>/a</w:t>
            </w:r>
            <w:r>
              <w:rPr>
                <w:rFonts w:hint="eastAsia"/>
                <w:sz w:val="24"/>
                <w:szCs w:val="24"/>
                <w:u w:val="none"/>
                <w:lang w:eastAsia="zh-CN"/>
              </w:rPr>
              <w:t>；D级洁净区之外的地面采用</w:t>
            </w:r>
            <w:r>
              <w:rPr>
                <w:rFonts w:hint="eastAsia"/>
                <w:sz w:val="24"/>
                <w:szCs w:val="24"/>
                <w:u w:val="none"/>
                <w:lang w:val="en-US" w:eastAsia="zh-CN"/>
              </w:rPr>
              <w:t>自来水清洗，</w:t>
            </w:r>
            <w:r>
              <w:rPr>
                <w:rFonts w:hint="eastAsia"/>
                <w:sz w:val="24"/>
                <w:szCs w:val="24"/>
                <w:u w:val="none"/>
              </w:rPr>
              <w:t>用水量约</w:t>
            </w:r>
            <w:r>
              <w:rPr>
                <w:rFonts w:hint="eastAsia"/>
                <w:sz w:val="24"/>
                <w:szCs w:val="24"/>
                <w:u w:val="none"/>
                <w:lang w:val="en-US" w:eastAsia="zh-CN"/>
              </w:rPr>
              <w:t>3.8m</w:t>
            </w:r>
            <w:r>
              <w:rPr>
                <w:rFonts w:hint="eastAsia"/>
                <w:sz w:val="24"/>
                <w:szCs w:val="24"/>
                <w:u w:val="none"/>
                <w:vertAlign w:val="superscript"/>
                <w:lang w:val="en-US" w:eastAsia="zh-CN"/>
              </w:rPr>
              <w:t>3</w:t>
            </w:r>
            <w:r>
              <w:rPr>
                <w:rFonts w:hint="eastAsia"/>
                <w:sz w:val="24"/>
                <w:szCs w:val="24"/>
                <w:u w:val="none"/>
              </w:rPr>
              <w:t>/d</w:t>
            </w:r>
            <w:r>
              <w:rPr>
                <w:rFonts w:hint="eastAsia"/>
                <w:sz w:val="24"/>
                <w:szCs w:val="24"/>
                <w:u w:val="none"/>
                <w:lang w:val="en-US" w:eastAsia="zh-CN"/>
              </w:rPr>
              <w:t>、1216m</w:t>
            </w:r>
            <w:r>
              <w:rPr>
                <w:rFonts w:hint="eastAsia"/>
                <w:sz w:val="24"/>
                <w:szCs w:val="24"/>
                <w:u w:val="none"/>
                <w:vertAlign w:val="superscript"/>
                <w:lang w:val="en-US" w:eastAsia="zh-CN"/>
              </w:rPr>
              <w:t>3</w:t>
            </w:r>
            <w:r>
              <w:rPr>
                <w:rFonts w:hint="eastAsia"/>
                <w:sz w:val="24"/>
                <w:szCs w:val="24"/>
                <w:u w:val="none"/>
                <w:lang w:val="en-US" w:eastAsia="zh-CN"/>
              </w:rPr>
              <w:t>/a</w:t>
            </w:r>
            <w:r>
              <w:rPr>
                <w:rFonts w:hint="eastAsia"/>
                <w:sz w:val="24"/>
                <w:szCs w:val="24"/>
                <w:u w:val="none"/>
              </w:rPr>
              <w:t>。</w:t>
            </w:r>
          </w:p>
          <w:p w14:paraId="29C67F38">
            <w:pPr>
              <w:rPr>
                <w:rFonts w:hint="eastAsia"/>
                <w:sz w:val="24"/>
                <w:szCs w:val="24"/>
                <w:u w:val="none"/>
              </w:rPr>
            </w:pPr>
            <w:r>
              <w:rPr>
                <w:rFonts w:hint="eastAsia"/>
                <w:sz w:val="24"/>
                <w:szCs w:val="24"/>
                <w:u w:val="none"/>
                <w:lang w:val="en-US" w:eastAsia="zh-CN"/>
              </w:rPr>
              <w:t>综上，地面清洗用水总量5m</w:t>
            </w:r>
            <w:r>
              <w:rPr>
                <w:rFonts w:hint="eastAsia"/>
                <w:sz w:val="24"/>
                <w:szCs w:val="24"/>
                <w:u w:val="none"/>
                <w:vertAlign w:val="superscript"/>
                <w:lang w:val="en-US" w:eastAsia="zh-CN"/>
              </w:rPr>
              <w:t>3</w:t>
            </w:r>
            <w:r>
              <w:rPr>
                <w:rFonts w:hint="eastAsia"/>
                <w:sz w:val="24"/>
                <w:szCs w:val="24"/>
                <w:u w:val="none"/>
              </w:rPr>
              <w:t>/d</w:t>
            </w:r>
            <w:r>
              <w:rPr>
                <w:rFonts w:hint="eastAsia"/>
                <w:sz w:val="24"/>
                <w:szCs w:val="24"/>
                <w:u w:val="none"/>
                <w:lang w:val="en-US" w:eastAsia="zh-CN"/>
              </w:rPr>
              <w:t>、1600m</w:t>
            </w:r>
            <w:r>
              <w:rPr>
                <w:rFonts w:hint="eastAsia"/>
                <w:sz w:val="24"/>
                <w:szCs w:val="24"/>
                <w:u w:val="none"/>
                <w:vertAlign w:val="superscript"/>
                <w:lang w:val="en-US" w:eastAsia="zh-CN"/>
              </w:rPr>
              <w:t>3</w:t>
            </w:r>
            <w:r>
              <w:rPr>
                <w:rFonts w:hint="eastAsia"/>
                <w:sz w:val="24"/>
                <w:szCs w:val="24"/>
                <w:u w:val="none"/>
                <w:lang w:val="en-US" w:eastAsia="zh-CN"/>
              </w:rPr>
              <w:t>/a</w:t>
            </w:r>
            <w:r>
              <w:rPr>
                <w:rFonts w:hint="eastAsia"/>
                <w:sz w:val="24"/>
                <w:szCs w:val="24"/>
                <w:u w:val="none"/>
                <w:lang w:eastAsia="zh-CN"/>
              </w:rPr>
              <w:t>，</w:t>
            </w:r>
            <w:r>
              <w:rPr>
                <w:rFonts w:hint="eastAsia"/>
                <w:lang w:val="en-US" w:eastAsia="zh-CN"/>
              </w:rPr>
              <w:t>废水排放系数取</w:t>
            </w:r>
            <w:r>
              <w:rPr>
                <w:rFonts w:hint="eastAsia"/>
                <w:sz w:val="24"/>
                <w:szCs w:val="24"/>
                <w:u w:val="none"/>
                <w:lang w:val="en-US" w:eastAsia="zh-CN"/>
              </w:rPr>
              <w:t>80%</w:t>
            </w:r>
            <w:r>
              <w:rPr>
                <w:rFonts w:hint="eastAsia"/>
                <w:sz w:val="24"/>
                <w:szCs w:val="24"/>
                <w:u w:val="none"/>
              </w:rPr>
              <w:t>，则废水排放量</w:t>
            </w:r>
            <w:r>
              <w:rPr>
                <w:rFonts w:hint="eastAsia"/>
                <w:sz w:val="24"/>
                <w:szCs w:val="24"/>
                <w:u w:val="none"/>
                <w:lang w:val="en-US" w:eastAsia="zh-CN"/>
              </w:rPr>
              <w:t>4m</w:t>
            </w:r>
            <w:r>
              <w:rPr>
                <w:rFonts w:hint="eastAsia"/>
                <w:sz w:val="24"/>
                <w:szCs w:val="24"/>
                <w:u w:val="none"/>
                <w:vertAlign w:val="superscript"/>
                <w:lang w:val="en-US" w:eastAsia="zh-CN"/>
              </w:rPr>
              <w:t>3</w:t>
            </w:r>
            <w:r>
              <w:rPr>
                <w:rFonts w:hint="eastAsia"/>
                <w:sz w:val="24"/>
                <w:szCs w:val="24"/>
                <w:u w:val="none"/>
              </w:rPr>
              <w:t>/d</w:t>
            </w:r>
            <w:r>
              <w:rPr>
                <w:rFonts w:hint="eastAsia"/>
                <w:sz w:val="24"/>
                <w:szCs w:val="24"/>
                <w:u w:val="none"/>
                <w:lang w:val="en-US" w:eastAsia="zh-CN"/>
              </w:rPr>
              <w:t>、1280m</w:t>
            </w:r>
            <w:r>
              <w:rPr>
                <w:rFonts w:hint="eastAsia"/>
                <w:sz w:val="24"/>
                <w:szCs w:val="24"/>
                <w:u w:val="none"/>
                <w:vertAlign w:val="superscript"/>
                <w:lang w:val="en-US" w:eastAsia="zh-CN"/>
              </w:rPr>
              <w:t>3</w:t>
            </w:r>
            <w:r>
              <w:rPr>
                <w:rFonts w:hint="eastAsia"/>
                <w:sz w:val="24"/>
                <w:szCs w:val="24"/>
                <w:u w:val="none"/>
                <w:lang w:val="en-US" w:eastAsia="zh-CN"/>
              </w:rPr>
              <w:t>/a</w:t>
            </w:r>
            <w:r>
              <w:rPr>
                <w:rFonts w:hint="eastAsia"/>
                <w:sz w:val="24"/>
                <w:szCs w:val="24"/>
                <w:u w:val="none"/>
              </w:rPr>
              <w:t>，排水排入厂内污水处理站处理。</w:t>
            </w:r>
          </w:p>
          <w:p w14:paraId="1D671F98">
            <w:pPr>
              <w:rPr>
                <w:b/>
                <w:bCs/>
                <w:sz w:val="24"/>
                <w:szCs w:val="24"/>
                <w:u w:val="none"/>
              </w:rPr>
            </w:pPr>
            <w:r>
              <w:rPr>
                <w:rFonts w:hint="eastAsia"/>
                <w:b/>
                <w:bCs/>
                <w:sz w:val="24"/>
                <w:szCs w:val="24"/>
                <w:u w:val="none"/>
                <w:lang w:eastAsia="zh-CN"/>
              </w:rPr>
              <w:t>⑦</w:t>
            </w:r>
            <w:r>
              <w:rPr>
                <w:rFonts w:hint="eastAsia"/>
                <w:b/>
                <w:bCs/>
                <w:sz w:val="24"/>
                <w:szCs w:val="24"/>
                <w:u w:val="none"/>
                <w:lang w:val="en-US" w:eastAsia="zh-CN"/>
              </w:rPr>
              <w:t>纯水</w:t>
            </w:r>
            <w:r>
              <w:rPr>
                <w:b/>
                <w:bCs/>
                <w:sz w:val="24"/>
                <w:szCs w:val="24"/>
                <w:u w:val="none"/>
              </w:rPr>
              <w:t>制水系统用水</w:t>
            </w:r>
          </w:p>
          <w:p w14:paraId="567282D2">
            <w:pPr>
              <w:rPr>
                <w:sz w:val="24"/>
                <w:szCs w:val="24"/>
                <w:u w:val="none"/>
              </w:rPr>
            </w:pPr>
            <w:r>
              <w:rPr>
                <w:sz w:val="24"/>
                <w:szCs w:val="24"/>
                <w:u w:val="none"/>
              </w:rPr>
              <w:t>根据</w:t>
            </w:r>
            <w:r>
              <w:rPr>
                <w:rFonts w:hint="eastAsia"/>
                <w:sz w:val="24"/>
                <w:szCs w:val="24"/>
                <w:u w:val="none"/>
                <w:lang w:val="en-US" w:eastAsia="zh-CN"/>
              </w:rPr>
              <w:t>企业</w:t>
            </w:r>
            <w:r>
              <w:rPr>
                <w:sz w:val="24"/>
                <w:szCs w:val="24"/>
                <w:u w:val="none"/>
              </w:rPr>
              <w:t>提供资料，</w:t>
            </w:r>
            <w:r>
              <w:rPr>
                <w:rFonts w:hint="eastAsia"/>
                <w:sz w:val="24"/>
                <w:szCs w:val="24"/>
                <w:u w:val="none"/>
                <w:lang w:val="en-US" w:eastAsia="zh-CN"/>
              </w:rPr>
              <w:t>项目设置2台纯水制备系统，采用二级反渗透工艺，主要用于</w:t>
            </w:r>
            <w:r>
              <w:rPr>
                <w:rFonts w:hint="eastAsia"/>
                <w:sz w:val="24"/>
                <w:szCs w:val="24"/>
                <w:u w:val="none"/>
              </w:rPr>
              <w:t>颗粒剂及制丸车间设备</w:t>
            </w:r>
            <w:r>
              <w:rPr>
                <w:rFonts w:hint="eastAsia"/>
                <w:sz w:val="24"/>
                <w:szCs w:val="24"/>
                <w:u w:val="none"/>
                <w:lang w:val="en-US" w:eastAsia="zh-CN"/>
              </w:rPr>
              <w:t>及地面清洗等，纯水用水量为2.2m</w:t>
            </w:r>
            <w:r>
              <w:rPr>
                <w:rFonts w:hint="eastAsia"/>
                <w:sz w:val="24"/>
                <w:szCs w:val="24"/>
                <w:u w:val="none"/>
                <w:vertAlign w:val="superscript"/>
                <w:lang w:val="en-US" w:eastAsia="zh-CN"/>
              </w:rPr>
              <w:t>3</w:t>
            </w:r>
            <w:r>
              <w:rPr>
                <w:rFonts w:hint="eastAsia"/>
                <w:sz w:val="24"/>
                <w:szCs w:val="24"/>
                <w:u w:val="none"/>
              </w:rPr>
              <w:t>/d</w:t>
            </w:r>
            <w:r>
              <w:rPr>
                <w:rFonts w:hint="eastAsia"/>
                <w:sz w:val="24"/>
                <w:szCs w:val="24"/>
                <w:u w:val="none"/>
                <w:lang w:val="en-US" w:eastAsia="zh-CN"/>
              </w:rPr>
              <w:t>、704m</w:t>
            </w:r>
            <w:r>
              <w:rPr>
                <w:rFonts w:hint="eastAsia"/>
                <w:sz w:val="24"/>
                <w:szCs w:val="24"/>
                <w:u w:val="none"/>
                <w:vertAlign w:val="superscript"/>
                <w:lang w:val="en-US" w:eastAsia="zh-CN"/>
              </w:rPr>
              <w:t>3</w:t>
            </w:r>
            <w:r>
              <w:rPr>
                <w:rFonts w:hint="eastAsia"/>
                <w:sz w:val="24"/>
                <w:szCs w:val="24"/>
                <w:u w:val="none"/>
                <w:lang w:val="en-US" w:eastAsia="zh-CN"/>
              </w:rPr>
              <w:t>/a，</w:t>
            </w:r>
            <w:r>
              <w:rPr>
                <w:sz w:val="24"/>
                <w:szCs w:val="24"/>
                <w:u w:val="none"/>
              </w:rPr>
              <w:t>纯水制备得水率约为</w:t>
            </w:r>
            <w:r>
              <w:rPr>
                <w:rFonts w:hint="eastAsia"/>
                <w:sz w:val="24"/>
                <w:szCs w:val="24"/>
                <w:u w:val="none"/>
                <w:lang w:val="en-US" w:eastAsia="zh-CN"/>
              </w:rPr>
              <w:t>7</w:t>
            </w:r>
            <w:r>
              <w:rPr>
                <w:sz w:val="24"/>
                <w:szCs w:val="24"/>
                <w:u w:val="none"/>
              </w:rPr>
              <w:t>0%，</w:t>
            </w:r>
            <w:r>
              <w:rPr>
                <w:rFonts w:hint="eastAsia"/>
                <w:sz w:val="24"/>
                <w:szCs w:val="24"/>
                <w:u w:val="none"/>
                <w:lang w:val="en-US" w:eastAsia="zh-CN"/>
              </w:rPr>
              <w:t>纯水制备用水</w:t>
            </w:r>
            <w:r>
              <w:rPr>
                <w:sz w:val="24"/>
                <w:szCs w:val="24"/>
                <w:u w:val="none"/>
              </w:rPr>
              <w:t>量约</w:t>
            </w:r>
            <w:r>
              <w:rPr>
                <w:rFonts w:hint="eastAsia"/>
                <w:sz w:val="24"/>
                <w:szCs w:val="24"/>
                <w:u w:val="none"/>
                <w:lang w:val="en-US" w:eastAsia="zh-CN"/>
              </w:rPr>
              <w:t>3.14m</w:t>
            </w:r>
            <w:r>
              <w:rPr>
                <w:rFonts w:hint="eastAsia"/>
                <w:sz w:val="24"/>
                <w:szCs w:val="24"/>
                <w:u w:val="none"/>
                <w:vertAlign w:val="superscript"/>
                <w:lang w:val="en-US" w:eastAsia="zh-CN"/>
              </w:rPr>
              <w:t>3</w:t>
            </w:r>
            <w:r>
              <w:rPr>
                <w:rFonts w:hint="eastAsia"/>
                <w:sz w:val="24"/>
                <w:szCs w:val="24"/>
                <w:u w:val="none"/>
              </w:rPr>
              <w:t>/d</w:t>
            </w:r>
            <w:r>
              <w:rPr>
                <w:rFonts w:hint="eastAsia"/>
                <w:sz w:val="24"/>
                <w:szCs w:val="24"/>
                <w:u w:val="none"/>
                <w:lang w:val="en-US" w:eastAsia="zh-CN"/>
              </w:rPr>
              <w:t>、1006m</w:t>
            </w:r>
            <w:r>
              <w:rPr>
                <w:rFonts w:hint="eastAsia"/>
                <w:sz w:val="24"/>
                <w:szCs w:val="24"/>
                <w:u w:val="none"/>
                <w:vertAlign w:val="superscript"/>
                <w:lang w:val="en-US" w:eastAsia="zh-CN"/>
              </w:rPr>
              <w:t>3</w:t>
            </w:r>
            <w:r>
              <w:rPr>
                <w:rFonts w:hint="eastAsia"/>
                <w:sz w:val="24"/>
                <w:szCs w:val="24"/>
                <w:u w:val="none"/>
                <w:lang w:val="en-US" w:eastAsia="zh-CN"/>
              </w:rPr>
              <w:t>/a</w:t>
            </w:r>
            <w:r>
              <w:rPr>
                <w:sz w:val="24"/>
                <w:szCs w:val="24"/>
                <w:u w:val="none"/>
              </w:rPr>
              <w:t>。</w:t>
            </w:r>
          </w:p>
          <w:p w14:paraId="052BF0EC">
            <w:pPr>
              <w:rPr>
                <w:rFonts w:hint="eastAsia"/>
                <w:b/>
                <w:bCs/>
                <w:sz w:val="24"/>
                <w:szCs w:val="24"/>
                <w:u w:val="single"/>
              </w:rPr>
            </w:pPr>
            <w:r>
              <w:rPr>
                <w:rFonts w:hint="eastAsia"/>
                <w:b/>
                <w:bCs/>
                <w:sz w:val="24"/>
                <w:szCs w:val="24"/>
                <w:u w:val="single"/>
                <w:lang w:eastAsia="zh-CN"/>
              </w:rPr>
              <w:t>⑧</w:t>
            </w:r>
            <w:r>
              <w:rPr>
                <w:rFonts w:hint="eastAsia"/>
                <w:b/>
                <w:bCs/>
                <w:sz w:val="24"/>
                <w:szCs w:val="24"/>
                <w:u w:val="single"/>
              </w:rPr>
              <w:t>质检</w:t>
            </w:r>
            <w:r>
              <w:rPr>
                <w:rFonts w:hint="eastAsia"/>
                <w:b/>
                <w:bCs/>
                <w:sz w:val="24"/>
                <w:szCs w:val="24"/>
                <w:u w:val="single"/>
                <w:lang w:val="en-US" w:eastAsia="zh-CN"/>
              </w:rPr>
              <w:t>工序</w:t>
            </w:r>
            <w:r>
              <w:rPr>
                <w:rFonts w:hint="eastAsia"/>
                <w:b/>
                <w:bCs/>
                <w:sz w:val="24"/>
                <w:szCs w:val="24"/>
                <w:u w:val="single"/>
              </w:rPr>
              <w:t>用水</w:t>
            </w:r>
          </w:p>
          <w:p w14:paraId="736D0240">
            <w:pPr>
              <w:rPr>
                <w:rFonts w:hint="eastAsia"/>
                <w:b/>
                <w:bCs/>
                <w:sz w:val="24"/>
                <w:szCs w:val="24"/>
                <w:u w:val="single"/>
              </w:rPr>
            </w:pPr>
            <w:r>
              <w:rPr>
                <w:rFonts w:hint="eastAsia"/>
                <w:b/>
                <w:bCs/>
                <w:sz w:val="24"/>
                <w:szCs w:val="24"/>
                <w:u w:val="single"/>
              </w:rPr>
              <w:t>本项目实验设备（主要包含气相色谱仪）采用自动清洗，清洗废水倒入危废暂存桶；实验器皿先采用很少量自来水清洗。</w:t>
            </w:r>
          </w:p>
          <w:p w14:paraId="1FAF746E">
            <w:pPr>
              <w:rPr>
                <w:rFonts w:hint="eastAsia"/>
                <w:b/>
                <w:bCs/>
                <w:sz w:val="24"/>
                <w:szCs w:val="24"/>
                <w:u w:val="single"/>
              </w:rPr>
            </w:pPr>
            <w:r>
              <w:rPr>
                <w:rFonts w:hint="eastAsia"/>
                <w:b/>
                <w:bCs/>
                <w:sz w:val="24"/>
                <w:szCs w:val="24"/>
                <w:u w:val="single"/>
              </w:rPr>
              <w:t>实验室每天平均检测10个样品（3</w:t>
            </w:r>
            <w:r>
              <w:rPr>
                <w:rFonts w:hint="eastAsia"/>
                <w:b/>
                <w:bCs/>
                <w:sz w:val="24"/>
                <w:szCs w:val="24"/>
                <w:u w:val="single"/>
                <w:lang w:val="en-US" w:eastAsia="zh-CN"/>
              </w:rPr>
              <w:t>2</w:t>
            </w:r>
            <w:r>
              <w:rPr>
                <w:rFonts w:hint="eastAsia"/>
                <w:b/>
                <w:bCs/>
                <w:sz w:val="24"/>
                <w:szCs w:val="24"/>
                <w:u w:val="single"/>
              </w:rPr>
              <w:t>00个/年，以开工3</w:t>
            </w:r>
            <w:r>
              <w:rPr>
                <w:rFonts w:hint="eastAsia"/>
                <w:b/>
                <w:bCs/>
                <w:sz w:val="24"/>
                <w:szCs w:val="24"/>
                <w:u w:val="single"/>
                <w:lang w:val="en-US" w:eastAsia="zh-CN"/>
              </w:rPr>
              <w:t>2</w:t>
            </w:r>
            <w:r>
              <w:rPr>
                <w:rFonts w:hint="eastAsia"/>
                <w:b/>
                <w:bCs/>
                <w:sz w:val="24"/>
                <w:szCs w:val="24"/>
                <w:u w:val="single"/>
              </w:rPr>
              <w:t>0天计算），以每个检测样品平均用水量0.002</w:t>
            </w:r>
            <w:r>
              <w:rPr>
                <w:rFonts w:hint="eastAsia"/>
                <w:b/>
                <w:bCs/>
                <w:sz w:val="24"/>
                <w:szCs w:val="24"/>
                <w:u w:val="single"/>
                <w:lang w:val="en-US" w:eastAsia="zh-CN"/>
              </w:rPr>
              <w:t>t</w:t>
            </w:r>
            <w:r>
              <w:rPr>
                <w:rFonts w:hint="eastAsia"/>
                <w:b/>
                <w:bCs/>
                <w:sz w:val="24"/>
                <w:szCs w:val="24"/>
                <w:u w:val="single"/>
              </w:rPr>
              <w:t>计算，则项目实验室用水量约为0.02</w:t>
            </w:r>
            <w:r>
              <w:rPr>
                <w:rFonts w:hint="eastAsia"/>
                <w:b/>
                <w:bCs/>
                <w:sz w:val="24"/>
                <w:szCs w:val="24"/>
                <w:u w:val="single"/>
                <w:lang w:val="en-US" w:eastAsia="zh-CN"/>
              </w:rPr>
              <w:t>m</w:t>
            </w:r>
            <w:r>
              <w:rPr>
                <w:rFonts w:hint="eastAsia"/>
                <w:b/>
                <w:bCs/>
                <w:sz w:val="24"/>
                <w:szCs w:val="24"/>
                <w:u w:val="single"/>
                <w:vertAlign w:val="superscript"/>
                <w:lang w:val="en-US" w:eastAsia="zh-CN"/>
              </w:rPr>
              <w:t>3</w:t>
            </w:r>
            <w:r>
              <w:rPr>
                <w:rFonts w:hint="eastAsia"/>
                <w:b/>
                <w:bCs/>
                <w:sz w:val="24"/>
                <w:szCs w:val="24"/>
                <w:u w:val="single"/>
              </w:rPr>
              <w:t>/d</w:t>
            </w:r>
            <w:r>
              <w:rPr>
                <w:rFonts w:hint="eastAsia"/>
                <w:b/>
                <w:bCs/>
                <w:sz w:val="24"/>
                <w:szCs w:val="24"/>
                <w:u w:val="single"/>
                <w:lang w:eastAsia="zh-CN"/>
              </w:rPr>
              <w:t>、</w:t>
            </w:r>
            <w:r>
              <w:rPr>
                <w:rFonts w:hint="eastAsia"/>
                <w:b/>
                <w:bCs/>
                <w:sz w:val="24"/>
                <w:szCs w:val="24"/>
                <w:u w:val="single"/>
                <w:lang w:val="en-US" w:eastAsia="zh-CN"/>
              </w:rPr>
              <w:t>6.4m</w:t>
            </w:r>
            <w:r>
              <w:rPr>
                <w:rFonts w:hint="eastAsia"/>
                <w:b/>
                <w:bCs/>
                <w:sz w:val="24"/>
                <w:szCs w:val="24"/>
                <w:u w:val="single"/>
                <w:vertAlign w:val="superscript"/>
                <w:lang w:val="en-US" w:eastAsia="zh-CN"/>
              </w:rPr>
              <w:t>3</w:t>
            </w:r>
            <w:r>
              <w:rPr>
                <w:rFonts w:hint="eastAsia"/>
                <w:b/>
                <w:bCs/>
                <w:sz w:val="24"/>
                <w:szCs w:val="24"/>
                <w:u w:val="single"/>
              </w:rPr>
              <w:t>/</w:t>
            </w:r>
            <w:r>
              <w:rPr>
                <w:rFonts w:hint="eastAsia"/>
                <w:b/>
                <w:bCs/>
                <w:sz w:val="24"/>
                <w:szCs w:val="24"/>
                <w:u w:val="single"/>
                <w:lang w:val="en-US" w:eastAsia="zh-CN"/>
              </w:rPr>
              <w:t>a</w:t>
            </w:r>
            <w:r>
              <w:rPr>
                <w:rFonts w:hint="eastAsia"/>
                <w:b/>
                <w:bCs/>
                <w:sz w:val="24"/>
                <w:szCs w:val="24"/>
                <w:u w:val="single"/>
              </w:rPr>
              <w:t>。</w:t>
            </w:r>
          </w:p>
          <w:p w14:paraId="269360D6">
            <w:pPr>
              <w:pStyle w:val="18"/>
              <w:ind w:firstLine="420"/>
              <w:rPr>
                <w:b/>
                <w:bCs/>
                <w:sz w:val="24"/>
                <w:szCs w:val="24"/>
                <w:u w:val="none"/>
              </w:rPr>
            </w:pPr>
            <w:r>
              <w:rPr>
                <w:rFonts w:hint="eastAsia"/>
                <w:b/>
                <w:bCs/>
                <w:sz w:val="24"/>
                <w:szCs w:val="24"/>
                <w:u w:val="none"/>
                <w:lang w:eastAsia="zh-CN"/>
              </w:rPr>
              <w:t>⑨</w:t>
            </w:r>
            <w:r>
              <w:rPr>
                <w:rFonts w:hint="eastAsia"/>
                <w:b/>
                <w:bCs/>
                <w:sz w:val="24"/>
                <w:szCs w:val="24"/>
                <w:u w:val="none"/>
                <w:lang w:val="en-US" w:eastAsia="zh-CN"/>
              </w:rPr>
              <w:t>办公</w:t>
            </w:r>
            <w:r>
              <w:rPr>
                <w:b/>
                <w:bCs/>
                <w:sz w:val="24"/>
                <w:szCs w:val="24"/>
                <w:u w:val="none"/>
              </w:rPr>
              <w:t>生活用水</w:t>
            </w:r>
          </w:p>
          <w:p w14:paraId="21EA2132">
            <w:pPr>
              <w:pStyle w:val="46"/>
              <w:keepNext w:val="0"/>
              <w:keepLines w:val="0"/>
              <w:pageBreakBefore w:val="0"/>
              <w:widowControl w:val="0"/>
              <w:numPr>
                <w:ilvl w:val="0"/>
                <w:numId w:val="0"/>
              </w:numPr>
              <w:tabs>
                <w:tab w:val="left" w:pos="1106"/>
              </w:tabs>
              <w:kinsoku/>
              <w:wordWrap/>
              <w:overflowPunct/>
              <w:topLinePunct w:val="0"/>
              <w:autoSpaceDE/>
              <w:autoSpaceDN/>
              <w:bidi w:val="0"/>
              <w:adjustRightInd/>
              <w:snapToGrid/>
              <w:spacing w:line="360" w:lineRule="auto"/>
              <w:ind w:firstLine="480" w:firstLineChars="200"/>
              <w:textAlignment w:val="auto"/>
              <w:rPr>
                <w:color w:val="auto"/>
                <w:spacing w:val="2"/>
                <w:sz w:val="24"/>
              </w:rPr>
            </w:pPr>
            <w:r>
              <w:rPr>
                <w:sz w:val="24"/>
                <w:szCs w:val="24"/>
                <w:u w:val="none"/>
              </w:rPr>
              <w:t>项目职工人员为</w:t>
            </w:r>
            <w:r>
              <w:rPr>
                <w:rFonts w:hint="eastAsia"/>
                <w:sz w:val="24"/>
                <w:szCs w:val="24"/>
                <w:u w:val="none"/>
                <w:lang w:val="en-US" w:eastAsia="zh-CN"/>
              </w:rPr>
              <w:t>100</w:t>
            </w:r>
            <w:r>
              <w:rPr>
                <w:sz w:val="24"/>
                <w:szCs w:val="24"/>
                <w:u w:val="none"/>
              </w:rPr>
              <w:t>人，</w:t>
            </w:r>
            <w:r>
              <w:rPr>
                <w:rFonts w:hint="eastAsia"/>
                <w:color w:val="auto"/>
                <w:spacing w:val="2"/>
                <w:sz w:val="24"/>
              </w:rPr>
              <w:t>在厂区用餐（仅提供午餐），不在厂内住宿，参照</w:t>
            </w:r>
            <w:r>
              <w:rPr>
                <w:rFonts w:hint="eastAsia"/>
                <w:color w:val="auto"/>
                <w:spacing w:val="2"/>
                <w:sz w:val="24"/>
                <w:lang w:val="en-US" w:eastAsia="zh-CN"/>
              </w:rPr>
              <w:t>河南省地方标准</w:t>
            </w:r>
            <w:r>
              <w:rPr>
                <w:rFonts w:hint="eastAsia"/>
                <w:color w:val="auto"/>
                <w:spacing w:val="2"/>
                <w:sz w:val="24"/>
              </w:rPr>
              <w:t>《工业与城镇生活用水定额》（DB41/T385-2020）中相关规定，</w:t>
            </w:r>
            <w:r>
              <w:rPr>
                <w:rFonts w:hint="eastAsia"/>
                <w:bCs/>
                <w:color w:val="auto"/>
                <w:sz w:val="24"/>
              </w:rPr>
              <w:t>在厂区用餐人员用水量按60L/人</w:t>
            </w:r>
            <w:r>
              <w:rPr>
                <w:bCs/>
                <w:color w:val="auto"/>
                <w:sz w:val="24"/>
              </w:rPr>
              <w:t>·</w:t>
            </w:r>
            <w:r>
              <w:rPr>
                <w:rFonts w:hint="eastAsia"/>
                <w:bCs/>
                <w:color w:val="auto"/>
                <w:sz w:val="24"/>
              </w:rPr>
              <w:t>d计算</w:t>
            </w:r>
            <w:r>
              <w:rPr>
                <w:rFonts w:hint="eastAsia"/>
                <w:color w:val="auto"/>
                <w:spacing w:val="2"/>
                <w:sz w:val="24"/>
              </w:rPr>
              <w:t>，则本项目生活用水量为</w:t>
            </w:r>
            <w:r>
              <w:rPr>
                <w:rFonts w:hint="eastAsia"/>
                <w:color w:val="auto"/>
                <w:spacing w:val="2"/>
                <w:sz w:val="24"/>
                <w:lang w:val="en-US" w:eastAsia="zh-CN"/>
              </w:rPr>
              <w:t>6</w:t>
            </w:r>
            <w:r>
              <w:rPr>
                <w:rFonts w:hint="eastAsia"/>
                <w:color w:val="auto"/>
                <w:spacing w:val="2"/>
                <w:sz w:val="24"/>
              </w:rPr>
              <w:t>m</w:t>
            </w:r>
            <w:r>
              <w:rPr>
                <w:rFonts w:hint="eastAsia"/>
                <w:color w:val="auto"/>
                <w:spacing w:val="2"/>
                <w:sz w:val="24"/>
                <w:vertAlign w:val="superscript"/>
              </w:rPr>
              <w:t>3</w:t>
            </w:r>
            <w:r>
              <w:rPr>
                <w:rFonts w:hint="eastAsia"/>
                <w:color w:val="auto"/>
                <w:spacing w:val="2"/>
                <w:sz w:val="24"/>
              </w:rPr>
              <w:t>/d、</w:t>
            </w:r>
            <w:r>
              <w:rPr>
                <w:rFonts w:hint="eastAsia"/>
                <w:color w:val="auto"/>
                <w:spacing w:val="2"/>
                <w:sz w:val="24"/>
                <w:lang w:val="en-US" w:eastAsia="zh-CN"/>
              </w:rPr>
              <w:t>1920</w:t>
            </w:r>
            <w:r>
              <w:rPr>
                <w:rFonts w:hint="eastAsia"/>
                <w:color w:val="auto"/>
                <w:spacing w:val="2"/>
                <w:sz w:val="24"/>
              </w:rPr>
              <w:t>m</w:t>
            </w:r>
            <w:r>
              <w:rPr>
                <w:rFonts w:hint="eastAsia"/>
                <w:color w:val="auto"/>
                <w:spacing w:val="2"/>
                <w:sz w:val="24"/>
                <w:vertAlign w:val="superscript"/>
              </w:rPr>
              <w:t>3</w:t>
            </w:r>
            <w:r>
              <w:rPr>
                <w:rFonts w:hint="eastAsia"/>
                <w:color w:val="auto"/>
                <w:spacing w:val="2"/>
                <w:sz w:val="24"/>
              </w:rPr>
              <w:t>/a。</w:t>
            </w:r>
          </w:p>
          <w:p w14:paraId="426DEC69">
            <w:pPr>
              <w:pStyle w:val="18"/>
              <w:ind w:firstLine="420"/>
              <w:rPr>
                <w:sz w:val="24"/>
                <w:szCs w:val="24"/>
              </w:rPr>
            </w:pPr>
            <w:r>
              <w:rPr>
                <w:sz w:val="24"/>
                <w:szCs w:val="24"/>
              </w:rPr>
              <w:t>（</w:t>
            </w:r>
            <w:r>
              <w:rPr>
                <w:rFonts w:hint="eastAsia"/>
                <w:sz w:val="24"/>
                <w:szCs w:val="24"/>
                <w:lang w:val="en-US" w:eastAsia="zh-CN"/>
              </w:rPr>
              <w:t>4</w:t>
            </w:r>
            <w:r>
              <w:rPr>
                <w:sz w:val="24"/>
                <w:szCs w:val="24"/>
              </w:rPr>
              <w:t>）排水</w:t>
            </w:r>
          </w:p>
          <w:p w14:paraId="0D4F67E9">
            <w:pPr>
              <w:spacing w:line="360" w:lineRule="auto"/>
              <w:ind w:firstLine="480" w:firstLineChars="200"/>
              <w:rPr>
                <w:rFonts w:hint="default" w:ascii="Times New Roman" w:hAnsi="Times New Roman" w:cs="Times New Roman"/>
                <w:sz w:val="24"/>
                <w:szCs w:val="24"/>
                <w:lang w:val="en-US" w:eastAsia="zh-CN"/>
              </w:rPr>
            </w:pPr>
            <w:r>
              <w:rPr>
                <w:sz w:val="24"/>
                <w:szCs w:val="24"/>
              </w:rPr>
              <w:t>本项目实行雨污分流制，</w:t>
            </w:r>
            <w:r>
              <w:rPr>
                <w:rFonts w:hint="eastAsia"/>
                <w:sz w:val="24"/>
                <w:szCs w:val="24"/>
                <w:lang w:val="en-US" w:eastAsia="zh-CN"/>
              </w:rPr>
              <w:t>污污分流，</w:t>
            </w:r>
            <w:r>
              <w:rPr>
                <w:sz w:val="24"/>
                <w:szCs w:val="24"/>
              </w:rPr>
              <w:t>雨水经雨水管道收集后直接进入园区雨水管网。项目废水主要有</w:t>
            </w:r>
            <w:r>
              <w:rPr>
                <w:rFonts w:hint="eastAsia"/>
                <w:sz w:val="24"/>
                <w:szCs w:val="24"/>
              </w:rPr>
              <w:t>药材清洗、润药</w:t>
            </w:r>
            <w:r>
              <w:rPr>
                <w:rFonts w:hint="eastAsia"/>
                <w:sz w:val="24"/>
                <w:szCs w:val="24"/>
                <w:lang w:val="en-US" w:eastAsia="zh-CN"/>
              </w:rPr>
              <w:t>废</w:t>
            </w:r>
            <w:r>
              <w:rPr>
                <w:rFonts w:hint="eastAsia"/>
                <w:sz w:val="24"/>
                <w:szCs w:val="24"/>
              </w:rPr>
              <w:t>水</w:t>
            </w:r>
            <w:r>
              <w:rPr>
                <w:sz w:val="24"/>
                <w:szCs w:val="24"/>
              </w:rPr>
              <w:t>、</w:t>
            </w:r>
            <w:r>
              <w:rPr>
                <w:rFonts w:hint="eastAsia"/>
                <w:sz w:val="24"/>
                <w:szCs w:val="24"/>
                <w:lang w:val="en-US" w:eastAsia="zh-CN"/>
              </w:rPr>
              <w:t>煮提废水、发酵工序废水、毒性饮片炮制废水、</w:t>
            </w:r>
            <w:r>
              <w:rPr>
                <w:sz w:val="24"/>
                <w:szCs w:val="24"/>
              </w:rPr>
              <w:t>设备清洗废水、</w:t>
            </w:r>
            <w:r>
              <w:rPr>
                <w:rFonts w:hint="eastAsia"/>
                <w:sz w:val="24"/>
                <w:szCs w:val="24"/>
                <w:lang w:val="en-US" w:eastAsia="zh-CN"/>
              </w:rPr>
              <w:t>地面清洗废水、纯水</w:t>
            </w:r>
            <w:r>
              <w:rPr>
                <w:sz w:val="24"/>
                <w:szCs w:val="24"/>
              </w:rPr>
              <w:t>制水系统排水及员工生活污水</w:t>
            </w:r>
            <w:r>
              <w:rPr>
                <w:rFonts w:hint="eastAsia"/>
                <w:lang w:val="en-US" w:eastAsia="zh-CN"/>
              </w:rPr>
              <w:t>，其中质检工序实验废水作为危废处置</w:t>
            </w:r>
            <w:r>
              <w:rPr>
                <w:rFonts w:hint="default"/>
                <w:lang w:val="en-US" w:eastAsia="zh-CN"/>
              </w:rPr>
              <w:t>，</w:t>
            </w:r>
            <w:r>
              <w:rPr>
                <w:rFonts w:hint="eastAsia"/>
                <w:lang w:val="en-US" w:eastAsia="zh-CN"/>
              </w:rPr>
              <w:t>因此</w:t>
            </w:r>
            <w:r>
              <w:rPr>
                <w:rFonts w:hint="eastAsia"/>
                <w:sz w:val="24"/>
                <w:szCs w:val="24"/>
                <w:lang w:val="en-US" w:eastAsia="zh-CN"/>
              </w:rPr>
              <w:t>废水总量为175.576</w:t>
            </w:r>
            <w:r>
              <w:rPr>
                <w:rFonts w:hint="default"/>
                <w:lang w:val="en-US" w:eastAsia="zh-CN"/>
              </w:rPr>
              <w:t>m</w:t>
            </w:r>
            <w:r>
              <w:rPr>
                <w:rFonts w:hint="default"/>
                <w:vertAlign w:val="superscript"/>
                <w:lang w:val="en-US" w:eastAsia="zh-CN"/>
              </w:rPr>
              <w:t>3</w:t>
            </w:r>
            <w:r>
              <w:rPr>
                <w:rFonts w:hint="default"/>
                <w:lang w:val="en-US" w:eastAsia="zh-CN"/>
              </w:rPr>
              <w:t>/d</w:t>
            </w:r>
            <w:r>
              <w:rPr>
                <w:rFonts w:hint="eastAsia"/>
                <w:lang w:val="en-US" w:eastAsia="zh-CN"/>
              </w:rPr>
              <w:t>、56184.92</w:t>
            </w:r>
            <w:r>
              <w:rPr>
                <w:rFonts w:hint="default"/>
                <w:lang w:val="en-US" w:eastAsia="zh-CN"/>
              </w:rPr>
              <w:t>m</w:t>
            </w:r>
            <w:r>
              <w:rPr>
                <w:rFonts w:hint="default"/>
                <w:vertAlign w:val="superscript"/>
                <w:lang w:val="en-US" w:eastAsia="zh-CN"/>
              </w:rPr>
              <w:t>3</w:t>
            </w:r>
            <w:r>
              <w:rPr>
                <w:rFonts w:hint="default"/>
                <w:lang w:val="en-US" w:eastAsia="zh-CN"/>
              </w:rPr>
              <w:t>/a</w:t>
            </w:r>
            <w:r>
              <w:rPr>
                <w:rFonts w:hint="default" w:ascii="Times New Roman" w:hAnsi="Times New Roman" w:cs="Times New Roman"/>
                <w:sz w:val="24"/>
                <w:szCs w:val="24"/>
              </w:rPr>
              <w:t>经管网收集后进入</w:t>
            </w:r>
            <w:r>
              <w:rPr>
                <w:rFonts w:hint="eastAsia" w:cs="Times New Roman"/>
                <w:sz w:val="24"/>
                <w:szCs w:val="24"/>
                <w:lang w:val="en-US" w:eastAsia="zh-CN"/>
              </w:rPr>
              <w:t>厂区</w:t>
            </w:r>
            <w:r>
              <w:rPr>
                <w:rFonts w:hint="default" w:ascii="Times New Roman" w:hAnsi="Times New Roman" w:cs="Times New Roman"/>
                <w:sz w:val="24"/>
                <w:szCs w:val="24"/>
              </w:rPr>
              <w:t>污水处理站处理后达到</w:t>
            </w:r>
            <w:r>
              <w:rPr>
                <w:rFonts w:hint="default" w:ascii="Times New Roman" w:hAnsi="Times New Roman" w:cs="Times New Roman"/>
                <w:sz w:val="24"/>
                <w:szCs w:val="24"/>
                <w:lang w:val="en-US" w:eastAsia="zh-CN"/>
              </w:rPr>
              <w:t>满足</w:t>
            </w:r>
            <w:r>
              <w:rPr>
                <w:rFonts w:hint="default" w:ascii="Times New Roman" w:hAnsi="Times New Roman" w:cs="Times New Roman"/>
                <w:sz w:val="24"/>
                <w:szCs w:val="24"/>
                <w:lang w:val="zh-CN"/>
              </w:rPr>
              <w:t>《中药类制药工业水污染物排放标准》（GB21906-2008）表2标准及</w:t>
            </w:r>
            <w:r>
              <w:rPr>
                <w:rFonts w:hint="default" w:ascii="Times New Roman" w:hAnsi="Times New Roman" w:cs="Times New Roman"/>
                <w:sz w:val="24"/>
                <w:szCs w:val="24"/>
                <w:lang w:val="en-US" w:eastAsia="zh-CN"/>
              </w:rPr>
              <w:t>南乐县污水处理厂纳管标准</w:t>
            </w:r>
            <w:r>
              <w:rPr>
                <w:rFonts w:hint="eastAsia" w:cs="Times New Roman"/>
                <w:sz w:val="24"/>
                <w:szCs w:val="24"/>
                <w:lang w:val="en-US" w:eastAsia="zh-CN"/>
              </w:rPr>
              <w:t>，通过</w:t>
            </w:r>
            <w:r>
              <w:rPr>
                <w:rFonts w:hint="default" w:ascii="Times New Roman" w:hAnsi="Times New Roman" w:cs="Times New Roman"/>
                <w:sz w:val="24"/>
                <w:szCs w:val="24"/>
              </w:rPr>
              <w:t>市政污水管网</w:t>
            </w:r>
            <w:r>
              <w:rPr>
                <w:rFonts w:hint="eastAsia" w:ascii="Times New Roman" w:hAnsi="Times New Roman" w:cs="Times New Roman"/>
                <w:sz w:val="24"/>
                <w:szCs w:val="24"/>
                <w:lang w:val="en-US" w:eastAsia="zh-CN"/>
              </w:rPr>
              <w:t>排入南乐县污水处理厂</w:t>
            </w:r>
            <w:r>
              <w:rPr>
                <w:rFonts w:hint="default" w:ascii="Times New Roman" w:hAnsi="Times New Roman" w:cs="Times New Roman"/>
                <w:sz w:val="24"/>
                <w:szCs w:val="24"/>
                <w:lang w:val="en-US" w:eastAsia="zh-CN"/>
              </w:rPr>
              <w:t>。</w:t>
            </w:r>
          </w:p>
          <w:p w14:paraId="00053220">
            <w:pPr>
              <w:spacing w:line="360" w:lineRule="auto"/>
              <w:ind w:firstLine="482" w:firstLineChars="200"/>
              <w:rPr>
                <w:rFonts w:hint="default" w:ascii="Times New Roman" w:hAnsi="Times New Roman" w:eastAsia="宋体" w:cs="Times New Roman"/>
                <w:sz w:val="24"/>
                <w:szCs w:val="24"/>
                <w:u w:val="none"/>
              </w:rPr>
            </w:pPr>
            <w:r>
              <w:rPr>
                <w:rFonts w:hint="default" w:ascii="Times New Roman" w:hAnsi="Times New Roman" w:eastAsia="宋体" w:cs="Times New Roman"/>
                <w:b/>
                <w:bCs/>
                <w:sz w:val="24"/>
                <w:szCs w:val="24"/>
                <w:u w:val="none"/>
              </w:rPr>
              <w:fldChar w:fldCharType="begin"/>
            </w:r>
            <w:r>
              <w:rPr>
                <w:rFonts w:hint="default" w:ascii="Times New Roman" w:hAnsi="Times New Roman" w:eastAsia="宋体" w:cs="Times New Roman"/>
                <w:b/>
                <w:bCs/>
                <w:sz w:val="24"/>
                <w:szCs w:val="24"/>
                <w:u w:val="none"/>
              </w:rPr>
              <w:instrText xml:space="preserve"> = 1 \* GB3 \* MERGEFORMAT </w:instrText>
            </w:r>
            <w:r>
              <w:rPr>
                <w:rFonts w:hint="default" w:ascii="Times New Roman" w:hAnsi="Times New Roman" w:eastAsia="宋体" w:cs="Times New Roman"/>
                <w:b/>
                <w:bCs/>
                <w:sz w:val="24"/>
                <w:szCs w:val="24"/>
                <w:u w:val="none"/>
              </w:rPr>
              <w:fldChar w:fldCharType="separate"/>
            </w:r>
            <w:r>
              <w:rPr>
                <w:rFonts w:hint="eastAsia" w:ascii="Times New Roman" w:hAnsi="Times New Roman" w:eastAsia="宋体" w:cs="Times New Roman"/>
                <w:b/>
                <w:bCs/>
                <w:sz w:val="24"/>
                <w:szCs w:val="24"/>
                <w:u w:val="none"/>
              </w:rPr>
              <w:t>①</w:t>
            </w:r>
            <w:r>
              <w:rPr>
                <w:rFonts w:hint="default" w:ascii="Times New Roman" w:hAnsi="Times New Roman" w:eastAsia="宋体" w:cs="Times New Roman"/>
                <w:b/>
                <w:bCs/>
                <w:sz w:val="24"/>
                <w:szCs w:val="24"/>
                <w:u w:val="none"/>
              </w:rPr>
              <w:fldChar w:fldCharType="end"/>
            </w:r>
            <w:r>
              <w:rPr>
                <w:rFonts w:hint="eastAsia" w:ascii="Times New Roman" w:hAnsi="Times New Roman" w:eastAsia="宋体" w:cs="Times New Roman"/>
                <w:b/>
                <w:bCs/>
                <w:sz w:val="24"/>
                <w:szCs w:val="24"/>
                <w:u w:val="none"/>
              </w:rPr>
              <w:t>药材清洗、润药</w:t>
            </w:r>
            <w:r>
              <w:rPr>
                <w:rFonts w:hint="eastAsia" w:ascii="Times New Roman" w:hAnsi="Times New Roman" w:eastAsia="宋体" w:cs="Times New Roman"/>
                <w:b/>
                <w:bCs/>
                <w:sz w:val="24"/>
                <w:szCs w:val="24"/>
                <w:u w:val="none"/>
                <w:lang w:val="en-US" w:eastAsia="zh-CN"/>
              </w:rPr>
              <w:t>废</w:t>
            </w:r>
            <w:r>
              <w:rPr>
                <w:rFonts w:hint="eastAsia" w:ascii="Times New Roman" w:hAnsi="Times New Roman" w:eastAsia="宋体" w:cs="Times New Roman"/>
                <w:b/>
                <w:bCs/>
                <w:sz w:val="24"/>
                <w:szCs w:val="24"/>
                <w:u w:val="none"/>
              </w:rPr>
              <w:t>水</w:t>
            </w:r>
            <w:r>
              <w:rPr>
                <w:rFonts w:hint="eastAsia" w:cs="Times New Roman"/>
                <w:b/>
                <w:bCs/>
                <w:sz w:val="24"/>
                <w:szCs w:val="24"/>
                <w:u w:val="none"/>
                <w:lang w:eastAsia="zh-CN"/>
              </w:rPr>
              <w:t>：</w:t>
            </w:r>
            <w:r>
              <w:rPr>
                <w:rFonts w:hint="eastAsia" w:cs="Times New Roman"/>
                <w:sz w:val="24"/>
                <w:szCs w:val="24"/>
                <w:u w:val="none"/>
                <w:lang w:val="en-US" w:eastAsia="zh-CN"/>
              </w:rPr>
              <w:t>本项目</w:t>
            </w:r>
            <w:r>
              <w:rPr>
                <w:rFonts w:hint="eastAsia"/>
                <w:b w:val="0"/>
                <w:sz w:val="24"/>
                <w:szCs w:val="24"/>
                <w:u w:val="none"/>
              </w:rPr>
              <w:t>药材清洗</w:t>
            </w:r>
            <w:r>
              <w:rPr>
                <w:rFonts w:hint="eastAsia"/>
                <w:b w:val="0"/>
                <w:sz w:val="24"/>
                <w:szCs w:val="24"/>
                <w:u w:val="none"/>
                <w:lang w:val="en-US" w:eastAsia="zh-CN"/>
              </w:rPr>
              <w:t>废</w:t>
            </w:r>
            <w:r>
              <w:rPr>
                <w:rFonts w:hint="eastAsia"/>
                <w:b w:val="0"/>
                <w:sz w:val="24"/>
                <w:szCs w:val="24"/>
                <w:u w:val="none"/>
              </w:rPr>
              <w:t>水量</w:t>
            </w:r>
            <w:r>
              <w:rPr>
                <w:rFonts w:hint="eastAsia"/>
                <w:b w:val="0"/>
                <w:sz w:val="24"/>
                <w:szCs w:val="24"/>
                <w:u w:val="none"/>
                <w:lang w:val="en-US" w:eastAsia="zh-CN"/>
              </w:rPr>
              <w:t>约</w:t>
            </w:r>
            <w:r>
              <w:rPr>
                <w:rFonts w:hint="eastAsia"/>
                <w:b w:val="0"/>
                <w:sz w:val="24"/>
                <w:szCs w:val="24"/>
                <w:u w:val="none"/>
              </w:rPr>
              <w:t>为</w:t>
            </w:r>
            <w:r>
              <w:rPr>
                <w:rFonts w:hint="eastAsia"/>
                <w:b w:val="0"/>
                <w:sz w:val="24"/>
                <w:szCs w:val="24"/>
                <w:u w:val="none"/>
                <w:lang w:val="en-US" w:eastAsia="zh-CN"/>
              </w:rPr>
              <w:t>9.49</w:t>
            </w:r>
            <w:r>
              <w:rPr>
                <w:rFonts w:hint="eastAsia"/>
                <w:b w:val="0"/>
                <w:sz w:val="24"/>
                <w:szCs w:val="24"/>
                <w:u w:val="none"/>
              </w:rPr>
              <w:t>m</w:t>
            </w:r>
            <w:r>
              <w:rPr>
                <w:rFonts w:hint="eastAsia"/>
                <w:b w:val="0"/>
                <w:sz w:val="24"/>
                <w:szCs w:val="24"/>
                <w:u w:val="none"/>
                <w:vertAlign w:val="superscript"/>
              </w:rPr>
              <w:t>3</w:t>
            </w:r>
            <w:r>
              <w:rPr>
                <w:rFonts w:hint="eastAsia"/>
                <w:b w:val="0"/>
                <w:sz w:val="24"/>
                <w:szCs w:val="24"/>
                <w:u w:val="none"/>
              </w:rPr>
              <w:t>/d</w:t>
            </w:r>
            <w:r>
              <w:rPr>
                <w:rFonts w:hint="eastAsia"/>
                <w:b w:val="0"/>
                <w:sz w:val="24"/>
                <w:szCs w:val="24"/>
                <w:u w:val="none"/>
                <w:lang w:eastAsia="zh-CN"/>
              </w:rPr>
              <w:t>、</w:t>
            </w:r>
            <w:r>
              <w:rPr>
                <w:rFonts w:hint="eastAsia"/>
                <w:b w:val="0"/>
                <w:sz w:val="24"/>
                <w:szCs w:val="24"/>
                <w:u w:val="none"/>
                <w:lang w:val="en-US" w:eastAsia="zh-CN"/>
              </w:rPr>
              <w:t>3037.8</w:t>
            </w:r>
            <w:r>
              <w:rPr>
                <w:rFonts w:hint="eastAsia"/>
                <w:b w:val="0"/>
                <w:sz w:val="24"/>
                <w:szCs w:val="24"/>
                <w:u w:val="none"/>
              </w:rPr>
              <w:t>m</w:t>
            </w:r>
            <w:r>
              <w:rPr>
                <w:rFonts w:hint="eastAsia"/>
                <w:b w:val="0"/>
                <w:sz w:val="24"/>
                <w:szCs w:val="24"/>
                <w:u w:val="none"/>
                <w:vertAlign w:val="superscript"/>
              </w:rPr>
              <w:t>3</w:t>
            </w:r>
            <w:r>
              <w:rPr>
                <w:rFonts w:hint="eastAsia"/>
                <w:b w:val="0"/>
                <w:sz w:val="24"/>
                <w:szCs w:val="24"/>
                <w:u w:val="none"/>
              </w:rPr>
              <w:t>/a</w:t>
            </w:r>
            <w:r>
              <w:rPr>
                <w:rFonts w:hint="default" w:ascii="Times New Roman" w:hAnsi="Times New Roman" w:eastAsia="宋体" w:cs="Times New Roman"/>
                <w:sz w:val="24"/>
                <w:szCs w:val="24"/>
                <w:u w:val="none"/>
              </w:rPr>
              <w:t>。</w:t>
            </w:r>
          </w:p>
          <w:p w14:paraId="78B8CCBE">
            <w:pPr>
              <w:pStyle w:val="18"/>
              <w:ind w:firstLine="420"/>
              <w:rPr>
                <w:sz w:val="24"/>
                <w:szCs w:val="24"/>
                <w:u w:val="none"/>
              </w:rPr>
            </w:pPr>
            <w:r>
              <w:rPr>
                <w:sz w:val="24"/>
                <w:szCs w:val="24"/>
                <w:u w:val="none"/>
              </w:rPr>
              <w:fldChar w:fldCharType="begin"/>
            </w:r>
            <w:r>
              <w:rPr>
                <w:sz w:val="24"/>
                <w:szCs w:val="24"/>
                <w:u w:val="none"/>
              </w:rPr>
              <w:instrText xml:space="preserve"> = 2 \* GB3 \* MERGEFORMAT </w:instrText>
            </w:r>
            <w:r>
              <w:rPr>
                <w:sz w:val="24"/>
                <w:szCs w:val="24"/>
                <w:u w:val="none"/>
              </w:rPr>
              <w:fldChar w:fldCharType="separate"/>
            </w:r>
            <w:r>
              <w:rPr>
                <w:rFonts w:hint="eastAsia" w:ascii="宋体" w:hAnsi="宋体" w:cs="宋体"/>
                <w:sz w:val="24"/>
                <w:szCs w:val="24"/>
                <w:u w:val="none"/>
              </w:rPr>
              <w:t>②</w:t>
            </w:r>
            <w:r>
              <w:rPr>
                <w:sz w:val="24"/>
                <w:szCs w:val="24"/>
                <w:u w:val="none"/>
              </w:rPr>
              <w:fldChar w:fldCharType="end"/>
            </w:r>
            <w:r>
              <w:rPr>
                <w:rFonts w:hint="default" w:ascii="Times New Roman" w:hAnsi="Times New Roman" w:cs="Times New Roman"/>
                <w:b/>
                <w:bCs w:val="0"/>
                <w:sz w:val="24"/>
                <w:szCs w:val="24"/>
                <w:highlight w:val="none"/>
                <w:u w:val="none"/>
                <w:lang w:eastAsia="zh-CN"/>
              </w:rPr>
              <w:t>蒸</w:t>
            </w:r>
            <w:r>
              <w:rPr>
                <w:rFonts w:hint="eastAsia" w:cs="Times New Roman"/>
                <w:b/>
                <w:bCs w:val="0"/>
                <w:sz w:val="24"/>
                <w:szCs w:val="24"/>
                <w:highlight w:val="none"/>
                <w:u w:val="none"/>
                <w:lang w:eastAsia="zh-CN"/>
              </w:rPr>
              <w:t>（</w:t>
            </w:r>
            <w:r>
              <w:rPr>
                <w:rFonts w:hint="eastAsia" w:ascii="Times New Roman" w:hAnsi="Times New Roman" w:cs="Times New Roman"/>
                <w:b/>
                <w:bCs w:val="0"/>
                <w:sz w:val="24"/>
                <w:szCs w:val="24"/>
                <w:u w:val="none"/>
                <w:lang w:val="en-US" w:eastAsia="zh-CN"/>
              </w:rPr>
              <w:t>煮</w:t>
            </w:r>
            <w:r>
              <w:rPr>
                <w:rFonts w:hint="eastAsia" w:cs="Times New Roman"/>
                <w:b/>
                <w:bCs w:val="0"/>
                <w:sz w:val="24"/>
                <w:szCs w:val="24"/>
                <w:highlight w:val="none"/>
                <w:u w:val="none"/>
                <w:lang w:eastAsia="zh-CN"/>
              </w:rPr>
              <w:t>）</w:t>
            </w:r>
            <w:r>
              <w:rPr>
                <w:rFonts w:hint="default" w:ascii="Times New Roman" w:hAnsi="Times New Roman" w:cs="Times New Roman"/>
                <w:b/>
                <w:bCs w:val="0"/>
                <w:sz w:val="24"/>
                <w:szCs w:val="24"/>
                <w:highlight w:val="none"/>
                <w:u w:val="none"/>
                <w:lang w:eastAsia="zh-CN"/>
              </w:rPr>
              <w:t>制工序</w:t>
            </w:r>
            <w:r>
              <w:rPr>
                <w:rFonts w:hint="eastAsia" w:cs="Times New Roman"/>
                <w:b/>
                <w:bCs w:val="0"/>
                <w:sz w:val="24"/>
                <w:szCs w:val="24"/>
                <w:highlight w:val="none"/>
                <w:u w:val="none"/>
                <w:lang w:eastAsia="zh-CN"/>
              </w:rPr>
              <w:t>、</w:t>
            </w:r>
            <w:r>
              <w:rPr>
                <w:rFonts w:hint="eastAsia" w:cs="Times New Roman"/>
                <w:b/>
                <w:bCs w:val="0"/>
                <w:sz w:val="24"/>
                <w:szCs w:val="24"/>
                <w:highlight w:val="none"/>
                <w:u w:val="none"/>
                <w:lang w:val="en-US" w:eastAsia="zh-CN"/>
              </w:rPr>
              <w:t>提取工序废水：</w:t>
            </w:r>
            <w:r>
              <w:rPr>
                <w:rFonts w:hint="eastAsia"/>
                <w:b w:val="0"/>
                <w:sz w:val="24"/>
                <w:szCs w:val="24"/>
                <w:u w:val="none"/>
                <w:lang w:val="en-US" w:eastAsia="zh-CN"/>
              </w:rPr>
              <w:t>本项目煮提工序废</w:t>
            </w:r>
            <w:r>
              <w:rPr>
                <w:rFonts w:hint="eastAsia"/>
                <w:b w:val="0"/>
                <w:sz w:val="24"/>
                <w:szCs w:val="24"/>
                <w:u w:val="none"/>
              </w:rPr>
              <w:t>水量</w:t>
            </w:r>
            <w:r>
              <w:rPr>
                <w:rFonts w:hint="eastAsia"/>
                <w:b w:val="0"/>
                <w:sz w:val="24"/>
                <w:szCs w:val="24"/>
                <w:u w:val="none"/>
                <w:lang w:val="en-US" w:eastAsia="zh-CN"/>
              </w:rPr>
              <w:t>约</w:t>
            </w:r>
            <w:r>
              <w:rPr>
                <w:rFonts w:hint="eastAsia"/>
                <w:b w:val="0"/>
                <w:sz w:val="24"/>
                <w:szCs w:val="24"/>
                <w:u w:val="none"/>
              </w:rPr>
              <w:t>为</w:t>
            </w:r>
            <w:r>
              <w:rPr>
                <w:rFonts w:hint="eastAsia"/>
                <w:b w:val="0"/>
                <w:sz w:val="24"/>
                <w:szCs w:val="24"/>
                <w:u w:val="none"/>
                <w:lang w:val="en-US" w:eastAsia="zh-CN"/>
              </w:rPr>
              <w:t>138.13</w:t>
            </w:r>
            <w:r>
              <w:rPr>
                <w:rFonts w:hint="eastAsia"/>
                <w:b w:val="0"/>
                <w:sz w:val="24"/>
                <w:szCs w:val="24"/>
                <w:u w:val="none"/>
              </w:rPr>
              <w:t>m</w:t>
            </w:r>
            <w:r>
              <w:rPr>
                <w:rFonts w:hint="eastAsia"/>
                <w:b w:val="0"/>
                <w:sz w:val="24"/>
                <w:szCs w:val="24"/>
                <w:u w:val="none"/>
                <w:vertAlign w:val="superscript"/>
              </w:rPr>
              <w:t>3</w:t>
            </w:r>
            <w:r>
              <w:rPr>
                <w:rFonts w:hint="eastAsia"/>
                <w:b w:val="0"/>
                <w:sz w:val="24"/>
                <w:szCs w:val="24"/>
                <w:u w:val="none"/>
              </w:rPr>
              <w:t>/d</w:t>
            </w:r>
            <w:r>
              <w:rPr>
                <w:rFonts w:hint="eastAsia"/>
                <w:b w:val="0"/>
                <w:sz w:val="24"/>
                <w:szCs w:val="24"/>
                <w:u w:val="none"/>
                <w:lang w:eastAsia="zh-CN"/>
              </w:rPr>
              <w:t>、</w:t>
            </w:r>
            <w:r>
              <w:rPr>
                <w:rFonts w:hint="eastAsia"/>
                <w:b w:val="0"/>
                <w:sz w:val="24"/>
                <w:szCs w:val="24"/>
                <w:u w:val="none"/>
                <w:lang w:val="en-US" w:eastAsia="zh-CN"/>
              </w:rPr>
              <w:t>44200</w:t>
            </w:r>
            <w:r>
              <w:rPr>
                <w:rFonts w:hint="eastAsia"/>
                <w:b w:val="0"/>
                <w:sz w:val="24"/>
                <w:szCs w:val="24"/>
                <w:u w:val="none"/>
              </w:rPr>
              <w:t>m</w:t>
            </w:r>
            <w:r>
              <w:rPr>
                <w:rFonts w:hint="eastAsia"/>
                <w:b w:val="0"/>
                <w:sz w:val="24"/>
                <w:szCs w:val="24"/>
                <w:u w:val="none"/>
                <w:vertAlign w:val="superscript"/>
              </w:rPr>
              <w:t>3</w:t>
            </w:r>
            <w:r>
              <w:rPr>
                <w:rFonts w:hint="eastAsia"/>
                <w:b w:val="0"/>
                <w:sz w:val="24"/>
                <w:szCs w:val="24"/>
                <w:u w:val="none"/>
              </w:rPr>
              <w:t>/a</w:t>
            </w:r>
            <w:r>
              <w:rPr>
                <w:rFonts w:hint="eastAsia"/>
                <w:sz w:val="24"/>
                <w:szCs w:val="24"/>
                <w:u w:val="none"/>
                <w:lang w:eastAsia="zh-CN"/>
              </w:rPr>
              <w:t>，</w:t>
            </w:r>
          </w:p>
          <w:p w14:paraId="381CB07D">
            <w:pPr>
              <w:pStyle w:val="18"/>
              <w:ind w:firstLine="420"/>
              <w:rPr>
                <w:rFonts w:hint="eastAsia"/>
                <w:lang w:val="en-US" w:eastAsia="zh-CN"/>
              </w:rPr>
            </w:pPr>
            <w:r>
              <w:rPr>
                <w:b/>
                <w:bCs/>
                <w:sz w:val="24"/>
                <w:szCs w:val="24"/>
                <w:u w:val="none"/>
              </w:rPr>
              <w:fldChar w:fldCharType="begin"/>
            </w:r>
            <w:r>
              <w:rPr>
                <w:b/>
                <w:bCs/>
                <w:sz w:val="24"/>
                <w:szCs w:val="24"/>
                <w:u w:val="none"/>
              </w:rPr>
              <w:instrText xml:space="preserve"> = 3 \* GB3 \* MERGEFORMAT </w:instrText>
            </w:r>
            <w:r>
              <w:rPr>
                <w:b/>
                <w:bCs/>
                <w:sz w:val="24"/>
                <w:szCs w:val="24"/>
                <w:u w:val="none"/>
              </w:rPr>
              <w:fldChar w:fldCharType="separate"/>
            </w:r>
            <w:r>
              <w:rPr>
                <w:rFonts w:hint="eastAsia" w:ascii="宋体" w:hAnsi="宋体" w:cs="宋体"/>
                <w:b/>
                <w:bCs/>
                <w:sz w:val="24"/>
                <w:szCs w:val="24"/>
                <w:u w:val="none"/>
              </w:rPr>
              <w:t>③</w:t>
            </w:r>
            <w:r>
              <w:rPr>
                <w:b/>
                <w:bCs/>
                <w:sz w:val="24"/>
                <w:szCs w:val="24"/>
                <w:u w:val="none"/>
              </w:rPr>
              <w:fldChar w:fldCharType="end"/>
            </w:r>
            <w:r>
              <w:rPr>
                <w:rFonts w:hint="eastAsia"/>
                <w:b/>
                <w:bCs/>
                <w:lang w:val="en-US" w:eastAsia="zh-CN"/>
              </w:rPr>
              <w:t>发酵工序废水：</w:t>
            </w:r>
            <w:r>
              <w:rPr>
                <w:rFonts w:hint="eastAsia"/>
                <w:b w:val="0"/>
                <w:bCs w:val="0"/>
                <w:lang w:val="en-US" w:eastAsia="zh-CN"/>
              </w:rPr>
              <w:t>本项目发酵</w:t>
            </w:r>
            <w:r>
              <w:rPr>
                <w:rFonts w:hint="default"/>
                <w:lang w:val="en-US" w:eastAsia="zh-CN"/>
              </w:rPr>
              <w:t>工艺废水量为</w:t>
            </w:r>
            <w:r>
              <w:rPr>
                <w:rFonts w:hint="eastAsia"/>
                <w:lang w:val="en-US" w:eastAsia="zh-CN"/>
              </w:rPr>
              <w:t>15</w:t>
            </w:r>
            <w:r>
              <w:rPr>
                <w:rFonts w:hint="default"/>
                <w:lang w:val="en-US" w:eastAsia="zh-CN"/>
              </w:rPr>
              <w:t>m</w:t>
            </w:r>
            <w:r>
              <w:rPr>
                <w:rFonts w:hint="default"/>
                <w:vertAlign w:val="superscript"/>
                <w:lang w:val="en-US" w:eastAsia="zh-CN"/>
              </w:rPr>
              <w:t>3</w:t>
            </w:r>
            <w:r>
              <w:rPr>
                <w:rFonts w:hint="default"/>
                <w:lang w:val="en-US" w:eastAsia="zh-CN"/>
              </w:rPr>
              <w:t>/d</w:t>
            </w:r>
            <w:r>
              <w:rPr>
                <w:rFonts w:hint="eastAsia"/>
                <w:lang w:val="en-US" w:eastAsia="zh-CN"/>
              </w:rPr>
              <w:t>、4800</w:t>
            </w:r>
            <w:r>
              <w:rPr>
                <w:rFonts w:hint="default"/>
                <w:lang w:val="en-US" w:eastAsia="zh-CN"/>
              </w:rPr>
              <w:t>m</w:t>
            </w:r>
            <w:r>
              <w:rPr>
                <w:rFonts w:hint="default"/>
                <w:vertAlign w:val="superscript"/>
                <w:lang w:val="en-US" w:eastAsia="zh-CN"/>
              </w:rPr>
              <w:t>3</w:t>
            </w:r>
            <w:r>
              <w:rPr>
                <w:rFonts w:hint="default"/>
                <w:lang w:val="en-US" w:eastAsia="zh-CN"/>
              </w:rPr>
              <w:t>/a，废水排入厂内污水处理站处理</w:t>
            </w:r>
            <w:r>
              <w:rPr>
                <w:rFonts w:hint="eastAsia"/>
                <w:lang w:val="en-US" w:eastAsia="zh-CN"/>
              </w:rPr>
              <w:t>。</w:t>
            </w:r>
          </w:p>
          <w:p w14:paraId="3DC09C61">
            <w:pPr>
              <w:pStyle w:val="18"/>
              <w:ind w:firstLine="420"/>
              <w:rPr>
                <w:rFonts w:hint="eastAsia" w:ascii="Times New Roman" w:hAnsi="Times New Roman" w:eastAsia="宋体" w:cs="Times New Roman"/>
                <w:sz w:val="24"/>
                <w:szCs w:val="24"/>
                <w:u w:val="none"/>
                <w:lang w:val="en-US" w:eastAsia="zh-CN"/>
              </w:rPr>
            </w:pPr>
            <w:r>
              <w:rPr>
                <w:b/>
                <w:bCs/>
                <w:sz w:val="24"/>
                <w:szCs w:val="24"/>
                <w:u w:val="none"/>
              </w:rPr>
              <w:fldChar w:fldCharType="begin"/>
            </w:r>
            <w:r>
              <w:rPr>
                <w:b/>
                <w:bCs/>
                <w:sz w:val="24"/>
                <w:szCs w:val="24"/>
                <w:u w:val="none"/>
              </w:rPr>
              <w:instrText xml:space="preserve"> = 4 \* GB3 \* MERGEFORMAT </w:instrText>
            </w:r>
            <w:r>
              <w:rPr>
                <w:b/>
                <w:bCs/>
                <w:sz w:val="24"/>
                <w:szCs w:val="24"/>
                <w:u w:val="none"/>
              </w:rPr>
              <w:fldChar w:fldCharType="separate"/>
            </w:r>
            <w:r>
              <w:rPr>
                <w:rFonts w:hint="eastAsia" w:ascii="宋体" w:hAnsi="宋体" w:cs="宋体"/>
                <w:b/>
                <w:bCs/>
                <w:sz w:val="24"/>
                <w:szCs w:val="24"/>
                <w:u w:val="none"/>
              </w:rPr>
              <w:t>④</w:t>
            </w:r>
            <w:r>
              <w:rPr>
                <w:b/>
                <w:bCs/>
                <w:sz w:val="24"/>
                <w:szCs w:val="24"/>
                <w:u w:val="none"/>
              </w:rPr>
              <w:fldChar w:fldCharType="end"/>
            </w:r>
            <w:r>
              <w:rPr>
                <w:rFonts w:hint="eastAsia"/>
                <w:b/>
                <w:bCs/>
                <w:sz w:val="24"/>
                <w:szCs w:val="24"/>
                <w:u w:val="none"/>
              </w:rPr>
              <w:t>毒性中药饮片</w:t>
            </w:r>
            <w:r>
              <w:rPr>
                <w:rFonts w:hint="eastAsia"/>
                <w:b/>
                <w:bCs/>
                <w:sz w:val="24"/>
                <w:szCs w:val="24"/>
                <w:u w:val="none"/>
                <w:lang w:val="en-US" w:eastAsia="zh-CN"/>
              </w:rPr>
              <w:t>炮制废水：</w:t>
            </w:r>
            <w:r>
              <w:rPr>
                <w:rFonts w:hint="eastAsia" w:ascii="Times New Roman" w:hAnsi="Times New Roman" w:eastAsia="宋体" w:cs="Times New Roman"/>
                <w:sz w:val="24"/>
                <w:szCs w:val="24"/>
                <w:u w:val="none"/>
              </w:rPr>
              <w:t>废水产生系数以</w:t>
            </w:r>
            <w:r>
              <w:rPr>
                <w:rFonts w:hint="eastAsia" w:ascii="Times New Roman" w:hAnsi="Times New Roman" w:eastAsia="宋体" w:cs="Times New Roman"/>
                <w:sz w:val="24"/>
                <w:szCs w:val="24"/>
                <w:u w:val="none"/>
                <w:lang w:val="en-US" w:eastAsia="zh-CN"/>
              </w:rPr>
              <w:t>80%</w:t>
            </w:r>
            <w:r>
              <w:rPr>
                <w:rFonts w:hint="eastAsia" w:ascii="Times New Roman" w:hAnsi="Times New Roman" w:eastAsia="宋体" w:cs="Times New Roman"/>
                <w:sz w:val="24"/>
                <w:szCs w:val="24"/>
                <w:u w:val="none"/>
              </w:rPr>
              <w:t>计算，则废水产生量为</w:t>
            </w:r>
            <w:r>
              <w:rPr>
                <w:rFonts w:hint="eastAsia"/>
                <w:sz w:val="24"/>
                <w:szCs w:val="24"/>
                <w:u w:val="none"/>
              </w:rPr>
              <w:t>0.0</w:t>
            </w:r>
            <w:r>
              <w:rPr>
                <w:rFonts w:hint="eastAsia"/>
                <w:sz w:val="24"/>
                <w:szCs w:val="24"/>
                <w:u w:val="none"/>
                <w:lang w:val="en-US" w:eastAsia="zh-CN"/>
              </w:rPr>
              <w:t>16</w:t>
            </w:r>
            <w:r>
              <w:rPr>
                <w:rFonts w:hint="eastAsia"/>
                <w:sz w:val="24"/>
                <w:szCs w:val="24"/>
                <w:u w:val="none"/>
              </w:rPr>
              <w:t>m</w:t>
            </w:r>
            <w:r>
              <w:rPr>
                <w:rFonts w:hint="eastAsia"/>
                <w:sz w:val="24"/>
                <w:szCs w:val="24"/>
                <w:u w:val="none"/>
                <w:vertAlign w:val="superscript"/>
              </w:rPr>
              <w:t>3</w:t>
            </w:r>
            <w:r>
              <w:rPr>
                <w:rFonts w:hint="eastAsia"/>
                <w:sz w:val="24"/>
                <w:szCs w:val="24"/>
                <w:u w:val="none"/>
              </w:rPr>
              <w:t>/d</w:t>
            </w:r>
            <w:r>
              <w:rPr>
                <w:rFonts w:hint="eastAsia"/>
                <w:sz w:val="24"/>
                <w:szCs w:val="24"/>
                <w:u w:val="none"/>
                <w:lang w:eastAsia="zh-CN"/>
              </w:rPr>
              <w:t>、</w:t>
            </w:r>
            <w:r>
              <w:rPr>
                <w:rFonts w:hint="eastAsia"/>
                <w:sz w:val="24"/>
                <w:szCs w:val="24"/>
                <w:u w:val="none"/>
                <w:lang w:val="en-US" w:eastAsia="zh-CN"/>
              </w:rPr>
              <w:t>5.12</w:t>
            </w:r>
            <w:r>
              <w:rPr>
                <w:rFonts w:hint="eastAsia"/>
                <w:sz w:val="24"/>
                <w:szCs w:val="24"/>
                <w:u w:val="none"/>
              </w:rPr>
              <w:t>m</w:t>
            </w:r>
            <w:r>
              <w:rPr>
                <w:rFonts w:hint="eastAsia"/>
                <w:sz w:val="24"/>
                <w:szCs w:val="24"/>
                <w:u w:val="none"/>
                <w:vertAlign w:val="superscript"/>
              </w:rPr>
              <w:t>3</w:t>
            </w:r>
            <w:r>
              <w:rPr>
                <w:rFonts w:hint="eastAsia"/>
                <w:sz w:val="24"/>
                <w:szCs w:val="24"/>
                <w:u w:val="none"/>
              </w:rPr>
              <w:t>/a</w:t>
            </w:r>
            <w:r>
              <w:rPr>
                <w:rFonts w:hint="eastAsia" w:ascii="Times New Roman" w:hAnsi="Times New Roman" w:eastAsia="宋体" w:cs="Times New Roman"/>
                <w:sz w:val="24"/>
                <w:szCs w:val="24"/>
                <w:u w:val="none"/>
              </w:rPr>
              <w:t>，</w:t>
            </w:r>
            <w:r>
              <w:rPr>
                <w:rFonts w:hint="eastAsia" w:ascii="Times New Roman" w:hAnsi="Times New Roman" w:eastAsia="宋体" w:cs="Times New Roman"/>
                <w:sz w:val="24"/>
                <w:szCs w:val="24"/>
                <w:u w:val="none"/>
                <w:lang w:val="en-US" w:eastAsia="zh-CN"/>
              </w:rPr>
              <w:t>解毒后的废水排入污水处理站处理。</w:t>
            </w:r>
          </w:p>
          <w:p w14:paraId="6FAF367A">
            <w:pPr>
              <w:rPr>
                <w:rFonts w:hint="eastAsia"/>
                <w:sz w:val="24"/>
                <w:szCs w:val="24"/>
                <w:u w:val="none"/>
              </w:rPr>
            </w:pPr>
            <w:r>
              <w:rPr>
                <w:rFonts w:hint="eastAsia"/>
                <w:b/>
                <w:bCs/>
                <w:sz w:val="24"/>
                <w:szCs w:val="24"/>
                <w:u w:val="none"/>
              </w:rPr>
              <w:t>⑤设备清洗</w:t>
            </w:r>
            <w:r>
              <w:rPr>
                <w:rFonts w:hint="eastAsia"/>
                <w:b/>
                <w:bCs/>
                <w:sz w:val="24"/>
                <w:szCs w:val="24"/>
                <w:lang w:val="en-US" w:eastAsia="zh-CN"/>
              </w:rPr>
              <w:t>废水：</w:t>
            </w:r>
            <w:r>
              <w:rPr>
                <w:rFonts w:hint="eastAsia"/>
                <w:sz w:val="24"/>
                <w:szCs w:val="24"/>
                <w:u w:val="none"/>
                <w:lang w:val="en-US" w:eastAsia="zh-CN"/>
              </w:rPr>
              <w:t>项目设备清洗</w:t>
            </w:r>
            <w:r>
              <w:rPr>
                <w:rFonts w:hint="eastAsia"/>
                <w:lang w:val="en-US" w:eastAsia="zh-CN"/>
              </w:rPr>
              <w:t>废水排放系数取</w:t>
            </w:r>
            <w:r>
              <w:rPr>
                <w:rFonts w:hint="eastAsia"/>
                <w:sz w:val="24"/>
                <w:szCs w:val="24"/>
                <w:u w:val="none"/>
                <w:lang w:val="en-US" w:eastAsia="zh-CN"/>
              </w:rPr>
              <w:t>80%</w:t>
            </w:r>
            <w:r>
              <w:rPr>
                <w:rFonts w:hint="eastAsia"/>
                <w:sz w:val="24"/>
                <w:szCs w:val="24"/>
                <w:u w:val="none"/>
              </w:rPr>
              <w:t>，则废水排放量</w:t>
            </w:r>
            <w:r>
              <w:rPr>
                <w:rFonts w:hint="eastAsia"/>
                <w:sz w:val="24"/>
                <w:szCs w:val="24"/>
                <w:u w:val="none"/>
                <w:lang w:val="en-US" w:eastAsia="zh-CN"/>
              </w:rPr>
              <w:t>3.2m</w:t>
            </w:r>
            <w:r>
              <w:rPr>
                <w:rFonts w:hint="eastAsia"/>
                <w:sz w:val="24"/>
                <w:szCs w:val="24"/>
                <w:u w:val="none"/>
                <w:vertAlign w:val="superscript"/>
                <w:lang w:val="en-US" w:eastAsia="zh-CN"/>
              </w:rPr>
              <w:t>3</w:t>
            </w:r>
            <w:r>
              <w:rPr>
                <w:rFonts w:hint="eastAsia"/>
                <w:sz w:val="24"/>
                <w:szCs w:val="24"/>
                <w:u w:val="none"/>
              </w:rPr>
              <w:t>/d</w:t>
            </w:r>
            <w:r>
              <w:rPr>
                <w:rFonts w:hint="eastAsia"/>
                <w:sz w:val="24"/>
                <w:szCs w:val="24"/>
                <w:u w:val="none"/>
                <w:lang w:val="en-US" w:eastAsia="zh-CN"/>
              </w:rPr>
              <w:t>、1024m</w:t>
            </w:r>
            <w:r>
              <w:rPr>
                <w:rFonts w:hint="eastAsia"/>
                <w:sz w:val="24"/>
                <w:szCs w:val="24"/>
                <w:u w:val="none"/>
                <w:vertAlign w:val="superscript"/>
                <w:lang w:val="en-US" w:eastAsia="zh-CN"/>
              </w:rPr>
              <w:t>3</w:t>
            </w:r>
            <w:r>
              <w:rPr>
                <w:rFonts w:hint="eastAsia"/>
                <w:sz w:val="24"/>
                <w:szCs w:val="24"/>
                <w:u w:val="none"/>
                <w:lang w:val="en-US" w:eastAsia="zh-CN"/>
              </w:rPr>
              <w:t>/a</w:t>
            </w:r>
            <w:r>
              <w:rPr>
                <w:rFonts w:hint="eastAsia"/>
                <w:sz w:val="24"/>
                <w:szCs w:val="24"/>
                <w:u w:val="none"/>
              </w:rPr>
              <w:t>，排入厂内污水处理站处理。</w:t>
            </w:r>
          </w:p>
          <w:p w14:paraId="1C7A140F">
            <w:pPr>
              <w:rPr>
                <w:rFonts w:hint="eastAsia"/>
                <w:sz w:val="24"/>
                <w:szCs w:val="24"/>
                <w:u w:val="none"/>
              </w:rPr>
            </w:pPr>
            <w:r>
              <w:rPr>
                <w:rFonts w:hint="eastAsia"/>
                <w:b/>
                <w:bCs/>
                <w:sz w:val="24"/>
                <w:szCs w:val="24"/>
                <w:u w:val="none"/>
                <w:lang w:eastAsia="zh-CN"/>
              </w:rPr>
              <w:t>⑥</w:t>
            </w:r>
            <w:r>
              <w:rPr>
                <w:rFonts w:hint="eastAsia"/>
                <w:b/>
                <w:bCs/>
                <w:sz w:val="24"/>
                <w:szCs w:val="24"/>
                <w:lang w:val="en-US" w:eastAsia="zh-CN"/>
              </w:rPr>
              <w:t>地面清洗废水：</w:t>
            </w:r>
            <w:r>
              <w:rPr>
                <w:rFonts w:hint="eastAsia"/>
                <w:sz w:val="24"/>
                <w:szCs w:val="24"/>
                <w:lang w:val="en-US" w:eastAsia="zh-CN"/>
              </w:rPr>
              <w:t>项目</w:t>
            </w:r>
            <w:r>
              <w:rPr>
                <w:rFonts w:hint="eastAsia"/>
                <w:lang w:val="en-US" w:eastAsia="zh-CN"/>
              </w:rPr>
              <w:t>废水排放系数取</w:t>
            </w:r>
            <w:r>
              <w:rPr>
                <w:rFonts w:hint="eastAsia"/>
                <w:sz w:val="24"/>
                <w:szCs w:val="24"/>
                <w:u w:val="none"/>
                <w:lang w:val="en-US" w:eastAsia="zh-CN"/>
              </w:rPr>
              <w:t>80%</w:t>
            </w:r>
            <w:r>
              <w:rPr>
                <w:rFonts w:hint="eastAsia"/>
                <w:sz w:val="24"/>
                <w:szCs w:val="24"/>
                <w:u w:val="none"/>
              </w:rPr>
              <w:t>，则废水排放量</w:t>
            </w:r>
            <w:r>
              <w:rPr>
                <w:rFonts w:hint="eastAsia"/>
                <w:sz w:val="24"/>
                <w:szCs w:val="24"/>
                <w:u w:val="none"/>
                <w:lang w:val="en-US" w:eastAsia="zh-CN"/>
              </w:rPr>
              <w:t>4m</w:t>
            </w:r>
            <w:r>
              <w:rPr>
                <w:rFonts w:hint="eastAsia"/>
                <w:sz w:val="24"/>
                <w:szCs w:val="24"/>
                <w:u w:val="none"/>
                <w:vertAlign w:val="superscript"/>
                <w:lang w:val="en-US" w:eastAsia="zh-CN"/>
              </w:rPr>
              <w:t>3</w:t>
            </w:r>
            <w:r>
              <w:rPr>
                <w:rFonts w:hint="eastAsia"/>
                <w:sz w:val="24"/>
                <w:szCs w:val="24"/>
                <w:u w:val="none"/>
              </w:rPr>
              <w:t>/d</w:t>
            </w:r>
            <w:r>
              <w:rPr>
                <w:rFonts w:hint="eastAsia"/>
                <w:sz w:val="24"/>
                <w:szCs w:val="24"/>
                <w:u w:val="none"/>
                <w:lang w:val="en-US" w:eastAsia="zh-CN"/>
              </w:rPr>
              <w:t>、1280m</w:t>
            </w:r>
            <w:r>
              <w:rPr>
                <w:rFonts w:hint="eastAsia"/>
                <w:sz w:val="24"/>
                <w:szCs w:val="24"/>
                <w:u w:val="none"/>
                <w:vertAlign w:val="superscript"/>
                <w:lang w:val="en-US" w:eastAsia="zh-CN"/>
              </w:rPr>
              <w:t>3</w:t>
            </w:r>
            <w:r>
              <w:rPr>
                <w:rFonts w:hint="eastAsia"/>
                <w:sz w:val="24"/>
                <w:szCs w:val="24"/>
                <w:u w:val="none"/>
                <w:lang w:val="en-US" w:eastAsia="zh-CN"/>
              </w:rPr>
              <w:t>/a</w:t>
            </w:r>
            <w:r>
              <w:rPr>
                <w:rFonts w:hint="eastAsia"/>
                <w:sz w:val="24"/>
                <w:szCs w:val="24"/>
                <w:u w:val="none"/>
              </w:rPr>
              <w:t>，排入厂内污水处理站处理。</w:t>
            </w:r>
          </w:p>
          <w:p w14:paraId="6E6F073D">
            <w:pPr>
              <w:rPr>
                <w:sz w:val="24"/>
                <w:szCs w:val="24"/>
                <w:u w:val="none"/>
              </w:rPr>
            </w:pPr>
            <w:r>
              <w:rPr>
                <w:rFonts w:hint="eastAsia"/>
                <w:b/>
                <w:bCs/>
                <w:sz w:val="24"/>
                <w:szCs w:val="24"/>
                <w:u w:val="none"/>
                <w:lang w:eastAsia="zh-CN"/>
              </w:rPr>
              <w:t>⑦</w:t>
            </w:r>
            <w:r>
              <w:rPr>
                <w:rFonts w:hint="eastAsia"/>
                <w:b/>
                <w:bCs/>
                <w:sz w:val="24"/>
                <w:szCs w:val="24"/>
                <w:u w:val="none"/>
                <w:lang w:val="en-US" w:eastAsia="zh-CN"/>
              </w:rPr>
              <w:t>纯水</w:t>
            </w:r>
            <w:r>
              <w:rPr>
                <w:b/>
                <w:bCs/>
                <w:sz w:val="24"/>
                <w:szCs w:val="24"/>
                <w:u w:val="none"/>
              </w:rPr>
              <w:t>制水系统</w:t>
            </w:r>
            <w:r>
              <w:rPr>
                <w:rFonts w:hint="eastAsia"/>
                <w:b/>
                <w:bCs/>
                <w:sz w:val="24"/>
                <w:szCs w:val="24"/>
                <w:u w:val="none"/>
                <w:lang w:val="en-US" w:eastAsia="zh-CN"/>
              </w:rPr>
              <w:t>产生的浓水：</w:t>
            </w:r>
            <w:r>
              <w:rPr>
                <w:rFonts w:hint="eastAsia"/>
                <w:sz w:val="24"/>
                <w:szCs w:val="24"/>
                <w:u w:val="none"/>
                <w:lang w:val="en-US" w:eastAsia="zh-CN"/>
              </w:rPr>
              <w:t>制水系统</w:t>
            </w:r>
            <w:r>
              <w:rPr>
                <w:sz w:val="24"/>
                <w:szCs w:val="24"/>
                <w:u w:val="none"/>
              </w:rPr>
              <w:t>用</w:t>
            </w:r>
            <w:r>
              <w:rPr>
                <w:rFonts w:hint="eastAsia"/>
                <w:sz w:val="24"/>
                <w:szCs w:val="24"/>
                <w:u w:val="none"/>
                <w:lang w:val="en-US" w:eastAsia="zh-CN"/>
              </w:rPr>
              <w:t>水</w:t>
            </w:r>
            <w:r>
              <w:rPr>
                <w:sz w:val="24"/>
                <w:szCs w:val="24"/>
                <w:u w:val="none"/>
              </w:rPr>
              <w:t>量</w:t>
            </w:r>
            <w:r>
              <w:rPr>
                <w:rFonts w:hint="eastAsia"/>
                <w:sz w:val="24"/>
                <w:szCs w:val="24"/>
                <w:u w:val="none"/>
                <w:lang w:val="en-US" w:eastAsia="zh-CN"/>
              </w:rPr>
              <w:t>为3.14m</w:t>
            </w:r>
            <w:r>
              <w:rPr>
                <w:rFonts w:hint="eastAsia"/>
                <w:sz w:val="24"/>
                <w:szCs w:val="24"/>
                <w:u w:val="none"/>
                <w:vertAlign w:val="superscript"/>
                <w:lang w:val="en-US" w:eastAsia="zh-CN"/>
              </w:rPr>
              <w:t>3</w:t>
            </w:r>
            <w:r>
              <w:rPr>
                <w:rFonts w:hint="eastAsia"/>
                <w:sz w:val="24"/>
                <w:szCs w:val="24"/>
                <w:u w:val="none"/>
              </w:rPr>
              <w:t>/d</w:t>
            </w:r>
            <w:r>
              <w:rPr>
                <w:rFonts w:hint="eastAsia"/>
                <w:sz w:val="24"/>
                <w:szCs w:val="24"/>
                <w:u w:val="none"/>
                <w:lang w:val="en-US" w:eastAsia="zh-CN"/>
              </w:rPr>
              <w:t>、1006m</w:t>
            </w:r>
            <w:r>
              <w:rPr>
                <w:rFonts w:hint="eastAsia"/>
                <w:sz w:val="24"/>
                <w:szCs w:val="24"/>
                <w:u w:val="none"/>
                <w:vertAlign w:val="superscript"/>
                <w:lang w:val="en-US" w:eastAsia="zh-CN"/>
              </w:rPr>
              <w:t>3</w:t>
            </w:r>
            <w:r>
              <w:rPr>
                <w:rFonts w:hint="eastAsia"/>
                <w:sz w:val="24"/>
                <w:szCs w:val="24"/>
                <w:u w:val="none"/>
                <w:lang w:val="en-US" w:eastAsia="zh-CN"/>
              </w:rPr>
              <w:t>/a</w:t>
            </w:r>
            <w:r>
              <w:rPr>
                <w:sz w:val="24"/>
                <w:szCs w:val="24"/>
                <w:u w:val="none"/>
              </w:rPr>
              <w:t>，纯水制备得水率约为</w:t>
            </w:r>
            <w:r>
              <w:rPr>
                <w:rFonts w:hint="eastAsia"/>
                <w:sz w:val="24"/>
                <w:szCs w:val="24"/>
                <w:u w:val="none"/>
                <w:lang w:val="en-US" w:eastAsia="zh-CN"/>
              </w:rPr>
              <w:t>7</w:t>
            </w:r>
            <w:r>
              <w:rPr>
                <w:sz w:val="24"/>
                <w:szCs w:val="24"/>
                <w:u w:val="none"/>
              </w:rPr>
              <w:t>0%，制备过程中产生的</w:t>
            </w:r>
            <w:r>
              <w:rPr>
                <w:rFonts w:hint="eastAsia"/>
                <w:sz w:val="24"/>
                <w:szCs w:val="24"/>
                <w:u w:val="none"/>
                <w:lang w:val="en-US" w:eastAsia="zh-CN"/>
              </w:rPr>
              <w:t>浓水</w:t>
            </w:r>
            <w:r>
              <w:rPr>
                <w:sz w:val="24"/>
                <w:szCs w:val="24"/>
                <w:u w:val="none"/>
              </w:rPr>
              <w:t>量</w:t>
            </w:r>
            <w:r>
              <w:rPr>
                <w:rFonts w:hint="eastAsia"/>
                <w:sz w:val="24"/>
                <w:szCs w:val="24"/>
                <w:u w:val="none"/>
                <w:lang w:val="en-US" w:eastAsia="zh-CN"/>
              </w:rPr>
              <w:t>为0.94m</w:t>
            </w:r>
            <w:r>
              <w:rPr>
                <w:rFonts w:hint="eastAsia"/>
                <w:sz w:val="24"/>
                <w:szCs w:val="24"/>
                <w:u w:val="none"/>
                <w:vertAlign w:val="superscript"/>
                <w:lang w:val="en-US" w:eastAsia="zh-CN"/>
              </w:rPr>
              <w:t>3</w:t>
            </w:r>
            <w:r>
              <w:rPr>
                <w:rFonts w:hint="eastAsia"/>
                <w:sz w:val="24"/>
                <w:szCs w:val="24"/>
                <w:u w:val="none"/>
              </w:rPr>
              <w:t>/d</w:t>
            </w:r>
            <w:r>
              <w:rPr>
                <w:rFonts w:hint="eastAsia"/>
                <w:sz w:val="24"/>
                <w:szCs w:val="24"/>
                <w:u w:val="none"/>
                <w:lang w:val="en-US" w:eastAsia="zh-CN"/>
              </w:rPr>
              <w:t>、302m</w:t>
            </w:r>
            <w:r>
              <w:rPr>
                <w:rFonts w:hint="eastAsia"/>
                <w:sz w:val="24"/>
                <w:szCs w:val="24"/>
                <w:u w:val="none"/>
                <w:vertAlign w:val="superscript"/>
                <w:lang w:val="en-US" w:eastAsia="zh-CN"/>
              </w:rPr>
              <w:t>3</w:t>
            </w:r>
            <w:r>
              <w:rPr>
                <w:rFonts w:hint="eastAsia"/>
                <w:sz w:val="24"/>
                <w:szCs w:val="24"/>
                <w:u w:val="none"/>
                <w:lang w:val="en-US" w:eastAsia="zh-CN"/>
              </w:rPr>
              <w:t>/a</w:t>
            </w:r>
            <w:r>
              <w:rPr>
                <w:sz w:val="24"/>
                <w:szCs w:val="24"/>
                <w:u w:val="none"/>
              </w:rPr>
              <w:t>。</w:t>
            </w:r>
          </w:p>
          <w:p w14:paraId="31205482">
            <w:pPr>
              <w:rPr>
                <w:b/>
                <w:bCs/>
                <w:sz w:val="24"/>
                <w:szCs w:val="24"/>
                <w:u w:val="single"/>
              </w:rPr>
            </w:pPr>
            <w:r>
              <w:rPr>
                <w:rFonts w:hint="eastAsia"/>
                <w:b/>
                <w:bCs/>
                <w:sz w:val="24"/>
                <w:szCs w:val="24"/>
                <w:u w:val="single"/>
                <w:lang w:eastAsia="zh-CN"/>
              </w:rPr>
              <w:t>⑧</w:t>
            </w:r>
            <w:r>
              <w:rPr>
                <w:rFonts w:hint="eastAsia"/>
                <w:b/>
                <w:bCs/>
                <w:sz w:val="24"/>
                <w:szCs w:val="24"/>
                <w:u w:val="single"/>
              </w:rPr>
              <w:t>质检</w:t>
            </w:r>
            <w:r>
              <w:rPr>
                <w:rFonts w:hint="eastAsia"/>
                <w:b/>
                <w:bCs/>
                <w:sz w:val="24"/>
                <w:szCs w:val="24"/>
                <w:u w:val="single"/>
                <w:lang w:val="en-US" w:eastAsia="zh-CN"/>
              </w:rPr>
              <w:t>工序实验废水：</w:t>
            </w:r>
            <w:r>
              <w:rPr>
                <w:rFonts w:hint="eastAsia"/>
                <w:b/>
                <w:bCs/>
                <w:sz w:val="24"/>
                <w:szCs w:val="24"/>
                <w:u w:val="single"/>
              </w:rPr>
              <w:t>项目实验设备</w:t>
            </w:r>
            <w:r>
              <w:rPr>
                <w:rFonts w:hint="eastAsia"/>
                <w:b/>
                <w:bCs/>
                <w:sz w:val="24"/>
                <w:szCs w:val="24"/>
                <w:u w:val="single"/>
                <w:lang w:val="en-US" w:eastAsia="zh-CN"/>
              </w:rPr>
              <w:t>和器皿</w:t>
            </w:r>
            <w:r>
              <w:rPr>
                <w:rFonts w:hint="eastAsia"/>
                <w:b/>
                <w:bCs/>
                <w:sz w:val="24"/>
                <w:szCs w:val="24"/>
                <w:u w:val="single"/>
              </w:rPr>
              <w:t>清洗废水</w:t>
            </w:r>
            <w:r>
              <w:rPr>
                <w:rFonts w:hint="eastAsia"/>
                <w:b/>
                <w:bCs/>
                <w:sz w:val="24"/>
                <w:szCs w:val="24"/>
                <w:u w:val="single"/>
                <w:lang w:val="en-US" w:eastAsia="zh-CN"/>
              </w:rPr>
              <w:t>全部</w:t>
            </w:r>
            <w:r>
              <w:rPr>
                <w:rFonts w:hint="eastAsia"/>
                <w:b/>
                <w:bCs/>
                <w:sz w:val="24"/>
                <w:szCs w:val="24"/>
                <w:u w:val="single"/>
              </w:rPr>
              <w:t>收集作为</w:t>
            </w:r>
            <w:r>
              <w:rPr>
                <w:rFonts w:hint="eastAsia"/>
                <w:b/>
                <w:bCs/>
                <w:sz w:val="24"/>
                <w:szCs w:val="24"/>
                <w:u w:val="single"/>
                <w:lang w:val="en-US" w:eastAsia="zh-CN"/>
              </w:rPr>
              <w:t>危险废物</w:t>
            </w:r>
            <w:r>
              <w:rPr>
                <w:rFonts w:hint="eastAsia"/>
                <w:b/>
                <w:bCs/>
                <w:sz w:val="24"/>
                <w:szCs w:val="24"/>
                <w:u w:val="single"/>
              </w:rPr>
              <w:t>废液委托处置。废水排放量按用水量的</w:t>
            </w:r>
            <w:r>
              <w:rPr>
                <w:rFonts w:hint="eastAsia"/>
                <w:b/>
                <w:bCs/>
                <w:sz w:val="24"/>
                <w:szCs w:val="24"/>
                <w:u w:val="single"/>
                <w:lang w:val="en-US" w:eastAsia="zh-CN"/>
              </w:rPr>
              <w:t>9</w:t>
            </w:r>
            <w:r>
              <w:rPr>
                <w:rFonts w:hint="eastAsia"/>
                <w:b/>
                <w:bCs/>
                <w:sz w:val="24"/>
                <w:szCs w:val="24"/>
                <w:u w:val="single"/>
              </w:rPr>
              <w:t>0%计算，则废水排放量为0.0</w:t>
            </w:r>
            <w:r>
              <w:rPr>
                <w:rFonts w:hint="eastAsia"/>
                <w:b/>
                <w:bCs/>
                <w:sz w:val="24"/>
                <w:szCs w:val="24"/>
                <w:u w:val="single"/>
                <w:lang w:val="en-US" w:eastAsia="zh-CN"/>
              </w:rPr>
              <w:t>18m</w:t>
            </w:r>
            <w:r>
              <w:rPr>
                <w:rFonts w:hint="eastAsia"/>
                <w:b/>
                <w:bCs/>
                <w:sz w:val="24"/>
                <w:szCs w:val="24"/>
                <w:u w:val="single"/>
                <w:vertAlign w:val="superscript"/>
                <w:lang w:val="en-US" w:eastAsia="zh-CN"/>
              </w:rPr>
              <w:t>3</w:t>
            </w:r>
            <w:r>
              <w:rPr>
                <w:rFonts w:hint="eastAsia"/>
                <w:b/>
                <w:bCs/>
                <w:sz w:val="24"/>
                <w:szCs w:val="24"/>
                <w:u w:val="single"/>
              </w:rPr>
              <w:t>/d</w:t>
            </w:r>
            <w:r>
              <w:rPr>
                <w:rFonts w:hint="eastAsia"/>
                <w:b/>
                <w:bCs/>
                <w:sz w:val="24"/>
                <w:szCs w:val="24"/>
                <w:u w:val="single"/>
                <w:lang w:eastAsia="zh-CN"/>
              </w:rPr>
              <w:t>、</w:t>
            </w:r>
            <w:r>
              <w:rPr>
                <w:rFonts w:hint="eastAsia"/>
                <w:b/>
                <w:bCs/>
                <w:sz w:val="24"/>
                <w:szCs w:val="24"/>
                <w:u w:val="single"/>
                <w:lang w:val="en-US" w:eastAsia="zh-CN"/>
              </w:rPr>
              <w:t>5.76m</w:t>
            </w:r>
            <w:r>
              <w:rPr>
                <w:rFonts w:hint="eastAsia"/>
                <w:b/>
                <w:bCs/>
                <w:sz w:val="24"/>
                <w:szCs w:val="24"/>
                <w:u w:val="single"/>
                <w:vertAlign w:val="superscript"/>
                <w:lang w:val="en-US" w:eastAsia="zh-CN"/>
              </w:rPr>
              <w:t>3</w:t>
            </w:r>
            <w:r>
              <w:rPr>
                <w:rFonts w:hint="eastAsia"/>
                <w:b/>
                <w:bCs/>
                <w:sz w:val="24"/>
                <w:szCs w:val="24"/>
                <w:u w:val="single"/>
              </w:rPr>
              <w:t>/</w:t>
            </w:r>
            <w:r>
              <w:rPr>
                <w:rFonts w:hint="eastAsia"/>
                <w:b/>
                <w:bCs/>
                <w:sz w:val="24"/>
                <w:szCs w:val="24"/>
                <w:u w:val="single"/>
                <w:lang w:val="en-US" w:eastAsia="zh-CN"/>
              </w:rPr>
              <w:t>a</w:t>
            </w:r>
            <w:r>
              <w:rPr>
                <w:rFonts w:hint="eastAsia"/>
                <w:b/>
                <w:bCs/>
                <w:sz w:val="24"/>
                <w:szCs w:val="24"/>
                <w:u w:val="single"/>
                <w:lang w:eastAsia="zh-CN"/>
              </w:rPr>
              <w:t>，</w:t>
            </w:r>
            <w:r>
              <w:rPr>
                <w:b/>
                <w:bCs/>
                <w:sz w:val="24"/>
                <w:szCs w:val="24"/>
                <w:u w:val="single"/>
              </w:rPr>
              <w:t>对照《国家危险废物名录》（2021版），属于</w:t>
            </w:r>
            <w:r>
              <w:rPr>
                <w:rFonts w:hint="eastAsia"/>
                <w:b/>
                <w:bCs/>
                <w:sz w:val="24"/>
                <w:szCs w:val="24"/>
                <w:u w:val="single"/>
              </w:rPr>
              <w:t>其他废物</w:t>
            </w:r>
            <w:r>
              <w:rPr>
                <w:b/>
                <w:bCs/>
                <w:sz w:val="24"/>
                <w:szCs w:val="24"/>
                <w:u w:val="single"/>
              </w:rPr>
              <w:t>（HW</w:t>
            </w:r>
            <w:r>
              <w:rPr>
                <w:rFonts w:hint="eastAsia"/>
                <w:b/>
                <w:bCs/>
                <w:sz w:val="24"/>
                <w:szCs w:val="24"/>
                <w:u w:val="single"/>
              </w:rPr>
              <w:t>49</w:t>
            </w:r>
            <w:r>
              <w:rPr>
                <w:b/>
                <w:bCs/>
                <w:sz w:val="24"/>
                <w:szCs w:val="24"/>
                <w:u w:val="single"/>
              </w:rPr>
              <w:t>），经收集后暂存于危险废物暂存间，交由</w:t>
            </w:r>
            <w:r>
              <w:rPr>
                <w:rFonts w:hint="eastAsia"/>
                <w:b/>
                <w:bCs/>
                <w:sz w:val="24"/>
                <w:szCs w:val="24"/>
                <w:u w:val="single"/>
                <w:lang w:val="en-US" w:eastAsia="zh-CN"/>
              </w:rPr>
              <w:t>有资质</w:t>
            </w:r>
            <w:r>
              <w:rPr>
                <w:b/>
                <w:bCs/>
                <w:sz w:val="24"/>
                <w:szCs w:val="24"/>
                <w:u w:val="single"/>
              </w:rPr>
              <w:t>单位处置。</w:t>
            </w:r>
          </w:p>
          <w:p w14:paraId="4EBF50D8">
            <w:pPr>
              <w:pStyle w:val="46"/>
              <w:keepNext w:val="0"/>
              <w:keepLines w:val="0"/>
              <w:pageBreakBefore w:val="0"/>
              <w:widowControl w:val="0"/>
              <w:numPr>
                <w:ilvl w:val="0"/>
                <w:numId w:val="0"/>
              </w:numPr>
              <w:tabs>
                <w:tab w:val="left" w:pos="1106"/>
              </w:tabs>
              <w:kinsoku/>
              <w:wordWrap/>
              <w:overflowPunct/>
              <w:topLinePunct w:val="0"/>
              <w:autoSpaceDE/>
              <w:autoSpaceDN/>
              <w:bidi w:val="0"/>
              <w:adjustRightInd/>
              <w:snapToGrid/>
              <w:spacing w:line="360" w:lineRule="auto"/>
              <w:ind w:firstLine="482" w:firstLineChars="200"/>
              <w:textAlignment w:val="auto"/>
              <w:rPr>
                <w:rFonts w:hint="eastAsia"/>
                <w:sz w:val="24"/>
                <w:szCs w:val="24"/>
                <w:u w:val="none"/>
              </w:rPr>
            </w:pPr>
            <w:r>
              <w:rPr>
                <w:rFonts w:hint="eastAsia"/>
                <w:b/>
                <w:bCs/>
                <w:sz w:val="24"/>
                <w:szCs w:val="24"/>
                <w:u w:val="none"/>
                <w:lang w:eastAsia="zh-CN"/>
              </w:rPr>
              <w:t>⑨</w:t>
            </w:r>
            <w:r>
              <w:rPr>
                <w:rFonts w:hint="eastAsia"/>
                <w:b/>
                <w:bCs/>
                <w:sz w:val="24"/>
                <w:szCs w:val="24"/>
                <w:u w:val="none"/>
                <w:lang w:val="en-US" w:eastAsia="zh-CN"/>
              </w:rPr>
              <w:t>办公</w:t>
            </w:r>
            <w:r>
              <w:rPr>
                <w:b/>
                <w:bCs/>
                <w:sz w:val="24"/>
                <w:szCs w:val="24"/>
                <w:u w:val="none"/>
              </w:rPr>
              <w:t>生活</w:t>
            </w:r>
            <w:r>
              <w:rPr>
                <w:rFonts w:hint="eastAsia"/>
                <w:b/>
                <w:bCs/>
                <w:sz w:val="24"/>
                <w:szCs w:val="24"/>
                <w:u w:val="none"/>
                <w:lang w:val="en-US" w:eastAsia="zh-CN"/>
              </w:rPr>
              <w:t>污水</w:t>
            </w:r>
            <w:r>
              <w:rPr>
                <w:rFonts w:hint="eastAsia"/>
                <w:b/>
                <w:bCs/>
                <w:sz w:val="24"/>
                <w:szCs w:val="24"/>
                <w:u w:val="none"/>
                <w:lang w:eastAsia="zh-CN"/>
              </w:rPr>
              <w:t>：</w:t>
            </w:r>
            <w:r>
              <w:rPr>
                <w:rFonts w:hint="eastAsia" w:ascii="Times New Roman" w:hAnsi="Times New Roman" w:eastAsia="宋体" w:cs="Times New Roman"/>
                <w:sz w:val="24"/>
                <w:szCs w:val="24"/>
                <w:u w:val="none"/>
              </w:rPr>
              <w:t>废水产生系数以</w:t>
            </w:r>
            <w:r>
              <w:rPr>
                <w:rFonts w:hint="eastAsia" w:ascii="Times New Roman" w:hAnsi="Times New Roman" w:eastAsia="宋体" w:cs="Times New Roman"/>
                <w:sz w:val="24"/>
                <w:szCs w:val="24"/>
                <w:u w:val="none"/>
                <w:lang w:val="en-US" w:eastAsia="zh-CN"/>
              </w:rPr>
              <w:t>80%</w:t>
            </w:r>
            <w:r>
              <w:rPr>
                <w:rFonts w:hint="eastAsia" w:ascii="Times New Roman" w:hAnsi="Times New Roman" w:eastAsia="宋体" w:cs="Times New Roman"/>
                <w:sz w:val="24"/>
                <w:szCs w:val="24"/>
                <w:u w:val="none"/>
              </w:rPr>
              <w:t>计算，则废水产生量</w:t>
            </w:r>
            <w:r>
              <w:rPr>
                <w:rFonts w:hint="eastAsia"/>
                <w:color w:val="auto"/>
                <w:spacing w:val="2"/>
                <w:sz w:val="24"/>
                <w:lang w:val="en-US" w:eastAsia="zh-CN"/>
              </w:rPr>
              <w:t>4.8</w:t>
            </w:r>
            <w:r>
              <w:rPr>
                <w:rFonts w:hint="eastAsia"/>
                <w:color w:val="auto"/>
                <w:spacing w:val="2"/>
                <w:sz w:val="24"/>
              </w:rPr>
              <w:t>m</w:t>
            </w:r>
            <w:r>
              <w:rPr>
                <w:rFonts w:hint="eastAsia"/>
                <w:color w:val="auto"/>
                <w:spacing w:val="2"/>
                <w:sz w:val="24"/>
                <w:vertAlign w:val="superscript"/>
              </w:rPr>
              <w:t>3</w:t>
            </w:r>
            <w:r>
              <w:rPr>
                <w:rFonts w:hint="eastAsia"/>
                <w:color w:val="auto"/>
                <w:spacing w:val="2"/>
                <w:sz w:val="24"/>
              </w:rPr>
              <w:t>/d、</w:t>
            </w:r>
            <w:r>
              <w:rPr>
                <w:rFonts w:hint="eastAsia"/>
                <w:color w:val="auto"/>
                <w:spacing w:val="2"/>
                <w:sz w:val="24"/>
                <w:lang w:val="en-US" w:eastAsia="zh-CN"/>
              </w:rPr>
              <w:t>1536</w:t>
            </w:r>
            <w:r>
              <w:rPr>
                <w:rFonts w:hint="eastAsia"/>
                <w:color w:val="auto"/>
                <w:spacing w:val="2"/>
                <w:sz w:val="24"/>
              </w:rPr>
              <w:t>m</w:t>
            </w:r>
            <w:r>
              <w:rPr>
                <w:rFonts w:hint="eastAsia"/>
                <w:color w:val="auto"/>
                <w:spacing w:val="2"/>
                <w:sz w:val="24"/>
                <w:vertAlign w:val="superscript"/>
              </w:rPr>
              <w:t>3</w:t>
            </w:r>
            <w:r>
              <w:rPr>
                <w:rFonts w:hint="eastAsia"/>
                <w:color w:val="auto"/>
                <w:spacing w:val="2"/>
                <w:sz w:val="24"/>
              </w:rPr>
              <w:t>/a</w:t>
            </w:r>
            <w:r>
              <w:rPr>
                <w:rFonts w:hint="eastAsia"/>
                <w:sz w:val="24"/>
                <w:szCs w:val="24"/>
                <w:u w:val="none"/>
              </w:rPr>
              <w:t>，排入厂内</w:t>
            </w:r>
            <w:r>
              <w:rPr>
                <w:rFonts w:hint="eastAsia"/>
                <w:sz w:val="24"/>
                <w:szCs w:val="24"/>
                <w:u w:val="none"/>
                <w:lang w:val="en-US" w:eastAsia="zh-CN"/>
              </w:rPr>
              <w:t>已建化粪池</w:t>
            </w:r>
            <w:r>
              <w:rPr>
                <w:rFonts w:hint="eastAsia"/>
                <w:sz w:val="24"/>
                <w:szCs w:val="24"/>
                <w:u w:val="none"/>
              </w:rPr>
              <w:t>。</w:t>
            </w:r>
          </w:p>
          <w:p w14:paraId="153160C2">
            <w:pPr>
              <w:pStyle w:val="18"/>
              <w:ind w:firstLine="420"/>
              <w:rPr>
                <w:rFonts w:hint="eastAsia" w:ascii="Times New Roman" w:hAnsi="Times New Roman" w:eastAsia="宋体" w:cs="Times New Roman"/>
                <w:sz w:val="24"/>
                <w:szCs w:val="24"/>
                <w:u w:val="none"/>
              </w:rPr>
            </w:pPr>
            <w:r>
              <w:rPr>
                <w:rFonts w:hint="eastAsia" w:ascii="Times New Roman" w:hAnsi="Times New Roman" w:eastAsia="宋体" w:cs="Times New Roman"/>
                <w:sz w:val="24"/>
                <w:szCs w:val="24"/>
                <w:u w:val="none"/>
              </w:rPr>
              <w:t>项目给水及排水情况核算见</w:t>
            </w:r>
            <w:r>
              <w:rPr>
                <w:rFonts w:hint="eastAsia" w:cs="Times New Roman"/>
                <w:sz w:val="24"/>
                <w:szCs w:val="24"/>
                <w:u w:val="none"/>
                <w:lang w:val="en-US" w:eastAsia="zh-CN"/>
              </w:rPr>
              <w:t>下表</w:t>
            </w:r>
            <w:r>
              <w:rPr>
                <w:rFonts w:hint="eastAsia" w:ascii="Times New Roman" w:hAnsi="Times New Roman" w:eastAsia="宋体" w:cs="Times New Roman"/>
                <w:sz w:val="24"/>
                <w:szCs w:val="24"/>
                <w:u w:val="none"/>
              </w:rPr>
              <w:t>。</w:t>
            </w:r>
          </w:p>
          <w:p w14:paraId="21458D2B">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425" w:leftChars="0" w:hanging="425" w:firstLineChars="0"/>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项目用排水量计算表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7"/>
              <w:gridCol w:w="1123"/>
              <w:gridCol w:w="1142"/>
              <w:gridCol w:w="1142"/>
              <w:gridCol w:w="983"/>
              <w:gridCol w:w="919"/>
              <w:gridCol w:w="1137"/>
              <w:gridCol w:w="1506"/>
            </w:tblGrid>
            <w:tr w14:paraId="6D41C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60" w:type="pct"/>
                  <w:vMerge w:val="restart"/>
                  <w:noWrap w:val="0"/>
                  <w:vAlign w:val="center"/>
                </w:tcPr>
                <w:p w14:paraId="4E00075A">
                  <w:pPr>
                    <w:keepNext w:val="0"/>
                    <w:keepLines w:val="0"/>
                    <w:pageBreakBefore w:val="0"/>
                    <w:kinsoku/>
                    <w:wordWrap w:val="0"/>
                    <w:overflowPunct/>
                    <w:topLinePunct w:val="0"/>
                    <w:autoSpaceDE/>
                    <w:autoSpaceDN/>
                    <w:bidi w:val="0"/>
                    <w:adjustRightInd/>
                    <w:spacing w:line="240" w:lineRule="auto"/>
                    <w:ind w:firstLine="0" w:firstLineChars="0"/>
                    <w:jc w:val="center"/>
                    <w:rPr>
                      <w:rFonts w:hint="eastAsia" w:ascii="Times New Roman" w:hAnsi="Times New Roman" w:eastAsia="宋体" w:cs="Times New Roman"/>
                      <w:color w:val="000000"/>
                      <w:kern w:val="0"/>
                      <w:sz w:val="21"/>
                      <w:szCs w:val="21"/>
                      <w:u w:val="none"/>
                      <w:lang w:val="en-US" w:eastAsia="zh-CN"/>
                    </w:rPr>
                  </w:pPr>
                  <w:r>
                    <w:rPr>
                      <w:rFonts w:hint="eastAsia" w:cs="Times New Roman"/>
                      <w:color w:val="000000"/>
                      <w:kern w:val="0"/>
                      <w:sz w:val="21"/>
                      <w:szCs w:val="21"/>
                      <w:u w:val="none"/>
                      <w:lang w:val="en-US" w:eastAsia="zh-CN"/>
                    </w:rPr>
                    <w:t>类别</w:t>
                  </w:r>
                </w:p>
              </w:tc>
              <w:tc>
                <w:tcPr>
                  <w:tcW w:w="654" w:type="pct"/>
                  <w:vMerge w:val="restart"/>
                  <w:noWrap w:val="0"/>
                  <w:vAlign w:val="center"/>
                </w:tcPr>
                <w:p w14:paraId="52B96CF3">
                  <w:pPr>
                    <w:keepNext w:val="0"/>
                    <w:keepLines w:val="0"/>
                    <w:pageBreakBefore w:val="0"/>
                    <w:kinsoku/>
                    <w:wordWrap w:val="0"/>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kern w:val="0"/>
                      <w:sz w:val="21"/>
                      <w:szCs w:val="21"/>
                      <w:u w:val="none"/>
                    </w:rPr>
                  </w:pPr>
                  <w:r>
                    <w:rPr>
                      <w:rFonts w:hint="default" w:ascii="Times New Roman" w:hAnsi="Times New Roman" w:eastAsia="宋体" w:cs="Times New Roman"/>
                      <w:color w:val="000000"/>
                      <w:kern w:val="0"/>
                      <w:sz w:val="21"/>
                      <w:szCs w:val="21"/>
                      <w:u w:val="none"/>
                    </w:rPr>
                    <w:t>用水项目</w:t>
                  </w:r>
                </w:p>
              </w:tc>
              <w:tc>
                <w:tcPr>
                  <w:tcW w:w="666" w:type="pct"/>
                  <w:vMerge w:val="restart"/>
                  <w:noWrap w:val="0"/>
                  <w:vAlign w:val="center"/>
                </w:tcPr>
                <w:p w14:paraId="76ABCC21">
                  <w:pPr>
                    <w:keepNext w:val="0"/>
                    <w:keepLines w:val="0"/>
                    <w:pageBreakBefore w:val="0"/>
                    <w:kinsoku/>
                    <w:wordWrap w:val="0"/>
                    <w:overflowPunct/>
                    <w:topLinePunct w:val="0"/>
                    <w:autoSpaceDE/>
                    <w:autoSpaceDN/>
                    <w:bidi w:val="0"/>
                    <w:adjustRightInd/>
                    <w:spacing w:line="240" w:lineRule="auto"/>
                    <w:ind w:firstLine="0" w:firstLineChars="0"/>
                    <w:jc w:val="center"/>
                    <w:rPr>
                      <w:rFonts w:hint="eastAsia" w:ascii="Times New Roman" w:hAnsi="Times New Roman" w:eastAsia="宋体" w:cs="Times New Roman"/>
                      <w:color w:val="000000"/>
                      <w:kern w:val="0"/>
                      <w:sz w:val="21"/>
                      <w:szCs w:val="21"/>
                      <w:u w:val="none"/>
                      <w:lang w:val="en-US" w:eastAsia="zh-CN"/>
                    </w:rPr>
                  </w:pPr>
                  <w:r>
                    <w:rPr>
                      <w:rFonts w:hint="eastAsia" w:cs="Times New Roman"/>
                      <w:color w:val="000000"/>
                      <w:kern w:val="0"/>
                      <w:sz w:val="21"/>
                      <w:szCs w:val="21"/>
                      <w:u w:val="none"/>
                      <w:lang w:val="en-US" w:eastAsia="zh-CN"/>
                    </w:rPr>
                    <w:t>用水量</w:t>
                  </w:r>
                </w:p>
              </w:tc>
              <w:tc>
                <w:tcPr>
                  <w:tcW w:w="1239" w:type="pct"/>
                  <w:gridSpan w:val="2"/>
                  <w:noWrap w:val="0"/>
                  <w:vAlign w:val="center"/>
                </w:tcPr>
                <w:p w14:paraId="395F2883">
                  <w:pPr>
                    <w:keepNext w:val="0"/>
                    <w:keepLines w:val="0"/>
                    <w:pageBreakBefore w:val="0"/>
                    <w:kinsoku/>
                    <w:wordWrap w:val="0"/>
                    <w:overflowPunct/>
                    <w:topLinePunct w:val="0"/>
                    <w:autoSpaceDE/>
                    <w:autoSpaceDN/>
                    <w:bidi w:val="0"/>
                    <w:adjustRightInd/>
                    <w:snapToGrid w:val="0"/>
                    <w:spacing w:line="240" w:lineRule="auto"/>
                    <w:ind w:firstLine="0" w:firstLineChars="0"/>
                    <w:jc w:val="center"/>
                    <w:rPr>
                      <w:rFonts w:hint="eastAsia" w:ascii="Times New Roman" w:hAnsi="Times New Roman" w:eastAsia="宋体" w:cs="Times New Roman"/>
                      <w:color w:val="000000"/>
                      <w:kern w:val="0"/>
                      <w:sz w:val="21"/>
                      <w:szCs w:val="21"/>
                      <w:u w:val="none"/>
                      <w:lang w:val="en-US" w:eastAsia="zh-CN"/>
                    </w:rPr>
                  </w:pPr>
                  <w:r>
                    <w:rPr>
                      <w:rFonts w:hint="eastAsia" w:cs="Times New Roman"/>
                      <w:color w:val="000000"/>
                      <w:kern w:val="0"/>
                      <w:sz w:val="21"/>
                      <w:szCs w:val="21"/>
                      <w:u w:val="none"/>
                      <w:lang w:val="en-US" w:eastAsia="zh-CN"/>
                    </w:rPr>
                    <w:t>给水</w:t>
                  </w:r>
                </w:p>
              </w:tc>
              <w:tc>
                <w:tcPr>
                  <w:tcW w:w="536" w:type="pct"/>
                  <w:vMerge w:val="restart"/>
                  <w:noWrap w:val="0"/>
                  <w:vAlign w:val="center"/>
                </w:tcPr>
                <w:p w14:paraId="4EEB72E9">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kern w:val="0"/>
                      <w:sz w:val="21"/>
                      <w:szCs w:val="21"/>
                      <w:u w:val="none"/>
                    </w:rPr>
                  </w:pPr>
                  <w:r>
                    <w:rPr>
                      <w:rFonts w:hint="default" w:ascii="Times New Roman" w:hAnsi="Times New Roman" w:eastAsia="宋体" w:cs="Times New Roman"/>
                      <w:color w:val="000000"/>
                      <w:kern w:val="0"/>
                      <w:sz w:val="21"/>
                      <w:szCs w:val="21"/>
                      <w:u w:val="none"/>
                    </w:rPr>
                    <w:t>损耗量（</w:t>
                  </w:r>
                  <w:r>
                    <w:rPr>
                      <w:rFonts w:hint="default" w:ascii="Times New Roman" w:hAnsi="Times New Roman" w:eastAsia="宋体" w:cs="Times New Roman"/>
                      <w:sz w:val="21"/>
                      <w:szCs w:val="21"/>
                      <w:u w:val="none"/>
                    </w:rPr>
                    <w:t>m</w:t>
                  </w:r>
                  <w:r>
                    <w:rPr>
                      <w:rFonts w:hint="default" w:ascii="Times New Roman" w:hAnsi="Times New Roman" w:eastAsia="宋体" w:cs="Times New Roman"/>
                      <w:sz w:val="21"/>
                      <w:szCs w:val="21"/>
                      <w:u w:val="none"/>
                      <w:vertAlign w:val="superscript"/>
                    </w:rPr>
                    <w:t>3</w:t>
                  </w:r>
                  <w:r>
                    <w:rPr>
                      <w:rFonts w:hint="default" w:ascii="Times New Roman" w:hAnsi="Times New Roman" w:eastAsia="宋体" w:cs="Times New Roman"/>
                      <w:color w:val="000000"/>
                      <w:kern w:val="0"/>
                      <w:sz w:val="21"/>
                      <w:szCs w:val="21"/>
                      <w:u w:val="none"/>
                    </w:rPr>
                    <w:t>/a）</w:t>
                  </w:r>
                </w:p>
              </w:tc>
              <w:tc>
                <w:tcPr>
                  <w:tcW w:w="663" w:type="pct"/>
                  <w:noWrap w:val="0"/>
                  <w:vAlign w:val="center"/>
                </w:tcPr>
                <w:p w14:paraId="64C44DDC">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kern w:val="0"/>
                      <w:sz w:val="21"/>
                      <w:szCs w:val="21"/>
                      <w:u w:val="none"/>
                      <w:lang w:val="en-US" w:eastAsia="zh-CN"/>
                    </w:rPr>
                  </w:pPr>
                  <w:r>
                    <w:rPr>
                      <w:rFonts w:hint="eastAsia" w:cs="Times New Roman"/>
                      <w:color w:val="000000"/>
                      <w:kern w:val="0"/>
                      <w:sz w:val="21"/>
                      <w:szCs w:val="21"/>
                      <w:u w:val="none"/>
                      <w:lang w:val="en-US" w:eastAsia="zh-CN"/>
                    </w:rPr>
                    <w:t>排水</w:t>
                  </w:r>
                </w:p>
              </w:tc>
              <w:tc>
                <w:tcPr>
                  <w:tcW w:w="878" w:type="pct"/>
                  <w:vMerge w:val="restart"/>
                  <w:noWrap w:val="0"/>
                  <w:vAlign w:val="center"/>
                </w:tcPr>
                <w:p w14:paraId="2CFE2061">
                  <w:pPr>
                    <w:keepNext w:val="0"/>
                    <w:keepLines w:val="0"/>
                    <w:pageBreakBefore w:val="0"/>
                    <w:kinsoku/>
                    <w:wordWrap w:val="0"/>
                    <w:overflowPunct/>
                    <w:topLinePunct w:val="0"/>
                    <w:autoSpaceDE/>
                    <w:autoSpaceDN/>
                    <w:bidi w:val="0"/>
                    <w:adjustRightInd/>
                    <w:snapToGrid w:val="0"/>
                    <w:spacing w:line="240" w:lineRule="auto"/>
                    <w:ind w:firstLine="0" w:firstLineChars="0"/>
                    <w:jc w:val="center"/>
                    <w:rPr>
                      <w:rFonts w:hint="eastAsia" w:ascii="Times New Roman" w:hAnsi="Times New Roman" w:eastAsia="宋体" w:cs="Times New Roman"/>
                      <w:color w:val="000000"/>
                      <w:kern w:val="0"/>
                      <w:sz w:val="21"/>
                      <w:szCs w:val="21"/>
                      <w:u w:val="none"/>
                      <w:lang w:eastAsia="zh-CN"/>
                    </w:rPr>
                  </w:pPr>
                  <w:r>
                    <w:rPr>
                      <w:rFonts w:hint="default" w:ascii="Times New Roman" w:hAnsi="Times New Roman" w:eastAsia="宋体" w:cs="Times New Roman"/>
                      <w:color w:val="000000"/>
                      <w:kern w:val="0"/>
                      <w:sz w:val="21"/>
                      <w:szCs w:val="21"/>
                      <w:u w:val="none"/>
                    </w:rPr>
                    <w:t>排放</w:t>
                  </w:r>
                  <w:r>
                    <w:rPr>
                      <w:rFonts w:hint="eastAsia" w:ascii="Times New Roman" w:hAnsi="Times New Roman" w:eastAsia="宋体" w:cs="Times New Roman"/>
                      <w:color w:val="000000"/>
                      <w:kern w:val="0"/>
                      <w:sz w:val="21"/>
                      <w:szCs w:val="21"/>
                      <w:u w:val="none"/>
                      <w:lang w:val="en-US" w:eastAsia="zh-CN"/>
                    </w:rPr>
                    <w:t>去向</w:t>
                  </w:r>
                </w:p>
              </w:tc>
            </w:tr>
            <w:tr w14:paraId="3765F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0" w:type="pct"/>
                  <w:vMerge w:val="continue"/>
                  <w:noWrap w:val="0"/>
                  <w:vAlign w:val="center"/>
                </w:tcPr>
                <w:p w14:paraId="312C6922">
                  <w:pPr>
                    <w:keepNext w:val="0"/>
                    <w:keepLines w:val="0"/>
                    <w:pageBreakBefore w:val="0"/>
                    <w:kinsoku/>
                    <w:wordWrap w:val="0"/>
                    <w:overflowPunct/>
                    <w:topLinePunct w:val="0"/>
                    <w:autoSpaceDE/>
                    <w:autoSpaceDN/>
                    <w:bidi w:val="0"/>
                    <w:adjustRightInd/>
                    <w:spacing w:line="240" w:lineRule="auto"/>
                    <w:ind w:firstLine="0" w:firstLineChars="0"/>
                    <w:jc w:val="center"/>
                    <w:rPr>
                      <w:rFonts w:hint="eastAsia" w:ascii="Times New Roman" w:hAnsi="Times New Roman" w:eastAsia="宋体" w:cs="Times New Roman"/>
                      <w:color w:val="000000"/>
                      <w:kern w:val="0"/>
                      <w:sz w:val="21"/>
                      <w:szCs w:val="21"/>
                      <w:u w:val="none"/>
                      <w:lang w:val="en-US" w:eastAsia="zh-CN"/>
                    </w:rPr>
                  </w:pPr>
                </w:p>
              </w:tc>
              <w:tc>
                <w:tcPr>
                  <w:tcW w:w="654" w:type="pct"/>
                  <w:vMerge w:val="continue"/>
                  <w:noWrap w:val="0"/>
                  <w:vAlign w:val="center"/>
                </w:tcPr>
                <w:p w14:paraId="38A2C77E">
                  <w:pPr>
                    <w:keepNext w:val="0"/>
                    <w:keepLines w:val="0"/>
                    <w:pageBreakBefore w:val="0"/>
                    <w:kinsoku/>
                    <w:wordWrap w:val="0"/>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kern w:val="0"/>
                      <w:sz w:val="21"/>
                      <w:szCs w:val="21"/>
                      <w:u w:val="none"/>
                    </w:rPr>
                  </w:pPr>
                </w:p>
              </w:tc>
              <w:tc>
                <w:tcPr>
                  <w:tcW w:w="666" w:type="pct"/>
                  <w:vMerge w:val="continue"/>
                  <w:noWrap w:val="0"/>
                  <w:vAlign w:val="center"/>
                </w:tcPr>
                <w:p w14:paraId="10DFDA85">
                  <w:pPr>
                    <w:keepNext w:val="0"/>
                    <w:keepLines w:val="0"/>
                    <w:pageBreakBefore w:val="0"/>
                    <w:kinsoku/>
                    <w:wordWrap w:val="0"/>
                    <w:overflowPunct/>
                    <w:topLinePunct w:val="0"/>
                    <w:autoSpaceDE/>
                    <w:autoSpaceDN/>
                    <w:bidi w:val="0"/>
                    <w:adjustRightInd/>
                    <w:spacing w:line="240" w:lineRule="auto"/>
                    <w:ind w:firstLine="0" w:firstLineChars="0"/>
                    <w:jc w:val="center"/>
                    <w:rPr>
                      <w:rFonts w:hint="eastAsia" w:ascii="Times New Roman" w:hAnsi="Times New Roman" w:eastAsia="宋体" w:cs="Times New Roman"/>
                      <w:color w:val="000000"/>
                      <w:kern w:val="0"/>
                      <w:sz w:val="21"/>
                      <w:szCs w:val="21"/>
                      <w:u w:val="none"/>
                      <w:lang w:val="en-US" w:eastAsia="zh-CN"/>
                    </w:rPr>
                  </w:pPr>
                </w:p>
              </w:tc>
              <w:tc>
                <w:tcPr>
                  <w:tcW w:w="666" w:type="pct"/>
                  <w:noWrap w:val="0"/>
                  <w:vAlign w:val="center"/>
                </w:tcPr>
                <w:p w14:paraId="58D42D36">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kern w:val="0"/>
                      <w:sz w:val="21"/>
                      <w:szCs w:val="21"/>
                      <w:u w:val="none"/>
                    </w:rPr>
                  </w:pPr>
                  <w:r>
                    <w:rPr>
                      <w:rFonts w:hint="eastAsia" w:cs="Times New Roman"/>
                      <w:color w:val="000000"/>
                      <w:kern w:val="0"/>
                      <w:sz w:val="21"/>
                      <w:szCs w:val="21"/>
                      <w:u w:val="none"/>
                      <w:lang w:val="en-US" w:eastAsia="zh-CN"/>
                    </w:rPr>
                    <w:t>新鲜</w:t>
                  </w:r>
                  <w:r>
                    <w:rPr>
                      <w:rFonts w:hint="default" w:ascii="Times New Roman" w:hAnsi="Times New Roman" w:eastAsia="宋体" w:cs="Times New Roman"/>
                      <w:color w:val="000000"/>
                      <w:kern w:val="0"/>
                      <w:sz w:val="21"/>
                      <w:szCs w:val="21"/>
                      <w:u w:val="none"/>
                    </w:rPr>
                    <w:t>水用量（</w:t>
                  </w:r>
                  <w:r>
                    <w:rPr>
                      <w:rFonts w:hint="default" w:ascii="Times New Roman" w:hAnsi="Times New Roman" w:eastAsia="宋体" w:cs="Times New Roman"/>
                      <w:sz w:val="21"/>
                      <w:szCs w:val="21"/>
                      <w:u w:val="none"/>
                    </w:rPr>
                    <w:t>m</w:t>
                  </w:r>
                  <w:r>
                    <w:rPr>
                      <w:rFonts w:hint="default" w:ascii="Times New Roman" w:hAnsi="Times New Roman" w:eastAsia="宋体" w:cs="Times New Roman"/>
                      <w:sz w:val="21"/>
                      <w:szCs w:val="21"/>
                      <w:u w:val="none"/>
                      <w:vertAlign w:val="superscript"/>
                    </w:rPr>
                    <w:t>3</w:t>
                  </w:r>
                  <w:r>
                    <w:rPr>
                      <w:rFonts w:hint="default" w:ascii="Times New Roman" w:hAnsi="Times New Roman" w:eastAsia="宋体" w:cs="Times New Roman"/>
                      <w:color w:val="000000"/>
                      <w:kern w:val="0"/>
                      <w:sz w:val="21"/>
                      <w:szCs w:val="21"/>
                      <w:u w:val="none"/>
                    </w:rPr>
                    <w:t>/a）</w:t>
                  </w:r>
                </w:p>
              </w:tc>
              <w:tc>
                <w:tcPr>
                  <w:tcW w:w="573" w:type="pct"/>
                  <w:noWrap w:val="0"/>
                  <w:vAlign w:val="center"/>
                </w:tcPr>
                <w:p w14:paraId="0ACB667C">
                  <w:pPr>
                    <w:keepNext w:val="0"/>
                    <w:keepLines w:val="0"/>
                    <w:pageBreakBefore w:val="0"/>
                    <w:kinsoku/>
                    <w:wordWrap w:val="0"/>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kern w:val="0"/>
                      <w:sz w:val="21"/>
                      <w:szCs w:val="21"/>
                      <w:u w:val="none"/>
                    </w:rPr>
                  </w:pPr>
                  <w:r>
                    <w:rPr>
                      <w:rFonts w:hint="default" w:ascii="Times New Roman" w:hAnsi="Times New Roman" w:eastAsia="宋体" w:cs="Times New Roman"/>
                      <w:color w:val="000000"/>
                      <w:kern w:val="0"/>
                      <w:sz w:val="21"/>
                      <w:szCs w:val="21"/>
                      <w:u w:val="none"/>
                    </w:rPr>
                    <w:t>纯水用量（</w:t>
                  </w:r>
                  <w:r>
                    <w:rPr>
                      <w:rFonts w:hint="default" w:ascii="Times New Roman" w:hAnsi="Times New Roman" w:eastAsia="宋体" w:cs="Times New Roman"/>
                      <w:sz w:val="21"/>
                      <w:szCs w:val="21"/>
                      <w:u w:val="none"/>
                    </w:rPr>
                    <w:t>m</w:t>
                  </w:r>
                  <w:r>
                    <w:rPr>
                      <w:rFonts w:hint="default" w:ascii="Times New Roman" w:hAnsi="Times New Roman" w:eastAsia="宋体" w:cs="Times New Roman"/>
                      <w:sz w:val="21"/>
                      <w:szCs w:val="21"/>
                      <w:u w:val="none"/>
                      <w:vertAlign w:val="superscript"/>
                    </w:rPr>
                    <w:t>3</w:t>
                  </w:r>
                  <w:r>
                    <w:rPr>
                      <w:rFonts w:hint="default" w:ascii="Times New Roman" w:hAnsi="Times New Roman" w:eastAsia="宋体" w:cs="Times New Roman"/>
                      <w:color w:val="000000"/>
                      <w:kern w:val="0"/>
                      <w:sz w:val="21"/>
                      <w:szCs w:val="21"/>
                      <w:u w:val="none"/>
                    </w:rPr>
                    <w:t>/a）</w:t>
                  </w:r>
                </w:p>
              </w:tc>
              <w:tc>
                <w:tcPr>
                  <w:tcW w:w="536" w:type="pct"/>
                  <w:vMerge w:val="continue"/>
                  <w:noWrap w:val="0"/>
                  <w:vAlign w:val="center"/>
                </w:tcPr>
                <w:p w14:paraId="27D2BC61">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kern w:val="0"/>
                      <w:sz w:val="21"/>
                      <w:szCs w:val="21"/>
                      <w:u w:val="none"/>
                    </w:rPr>
                  </w:pPr>
                </w:p>
              </w:tc>
              <w:tc>
                <w:tcPr>
                  <w:tcW w:w="663" w:type="pct"/>
                  <w:noWrap w:val="0"/>
                  <w:vAlign w:val="center"/>
                </w:tcPr>
                <w:p w14:paraId="1801F76E">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kern w:val="0"/>
                      <w:sz w:val="21"/>
                      <w:szCs w:val="21"/>
                      <w:u w:val="none"/>
                    </w:rPr>
                  </w:pPr>
                  <w:r>
                    <w:rPr>
                      <w:rFonts w:hint="default" w:ascii="Times New Roman" w:hAnsi="Times New Roman" w:eastAsia="宋体" w:cs="Times New Roman"/>
                      <w:color w:val="000000"/>
                      <w:kern w:val="0"/>
                      <w:sz w:val="21"/>
                      <w:szCs w:val="21"/>
                      <w:u w:val="none"/>
                      <w:lang w:eastAsia="zh-CN"/>
                    </w:rPr>
                    <w:t>废水</w:t>
                  </w:r>
                  <w:r>
                    <w:rPr>
                      <w:rFonts w:hint="default" w:ascii="Times New Roman" w:hAnsi="Times New Roman" w:eastAsia="宋体" w:cs="Times New Roman"/>
                      <w:color w:val="000000"/>
                      <w:kern w:val="0"/>
                      <w:sz w:val="21"/>
                      <w:szCs w:val="21"/>
                      <w:u w:val="none"/>
                    </w:rPr>
                    <w:t>排放量（</w:t>
                  </w:r>
                  <w:r>
                    <w:rPr>
                      <w:rFonts w:hint="default" w:ascii="Times New Roman" w:hAnsi="Times New Roman" w:eastAsia="宋体" w:cs="Times New Roman"/>
                      <w:sz w:val="21"/>
                      <w:szCs w:val="21"/>
                      <w:u w:val="none"/>
                    </w:rPr>
                    <w:t>m</w:t>
                  </w:r>
                  <w:r>
                    <w:rPr>
                      <w:rFonts w:hint="default" w:ascii="Times New Roman" w:hAnsi="Times New Roman" w:eastAsia="宋体" w:cs="Times New Roman"/>
                      <w:sz w:val="21"/>
                      <w:szCs w:val="21"/>
                      <w:u w:val="none"/>
                      <w:vertAlign w:val="superscript"/>
                    </w:rPr>
                    <w:t>3</w:t>
                  </w:r>
                  <w:r>
                    <w:rPr>
                      <w:rFonts w:hint="default" w:ascii="Times New Roman" w:hAnsi="Times New Roman" w:eastAsia="宋体" w:cs="Times New Roman"/>
                      <w:color w:val="000000"/>
                      <w:kern w:val="0"/>
                      <w:sz w:val="21"/>
                      <w:szCs w:val="21"/>
                      <w:u w:val="none"/>
                    </w:rPr>
                    <w:t>/a）</w:t>
                  </w:r>
                </w:p>
              </w:tc>
              <w:tc>
                <w:tcPr>
                  <w:tcW w:w="878" w:type="pct"/>
                  <w:vMerge w:val="continue"/>
                  <w:noWrap w:val="0"/>
                  <w:vAlign w:val="center"/>
                </w:tcPr>
                <w:p w14:paraId="49536AE7">
                  <w:pPr>
                    <w:keepNext w:val="0"/>
                    <w:keepLines w:val="0"/>
                    <w:pageBreakBefore w:val="0"/>
                    <w:kinsoku/>
                    <w:wordWrap w:val="0"/>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000000"/>
                      <w:kern w:val="0"/>
                      <w:sz w:val="21"/>
                      <w:szCs w:val="21"/>
                      <w:u w:val="none"/>
                    </w:rPr>
                  </w:pPr>
                </w:p>
              </w:tc>
            </w:tr>
            <w:tr w14:paraId="530C4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0" w:type="pct"/>
                  <w:vMerge w:val="restart"/>
                  <w:noWrap w:val="0"/>
                  <w:vAlign w:val="center"/>
                </w:tcPr>
                <w:p w14:paraId="4C9CECC5">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kern w:val="0"/>
                      <w:sz w:val="21"/>
                      <w:szCs w:val="21"/>
                      <w:u w:val="none"/>
                      <w:lang w:val="en-US" w:eastAsia="zh-CN"/>
                    </w:rPr>
                  </w:pPr>
                  <w:r>
                    <w:rPr>
                      <w:rFonts w:hint="eastAsia" w:cs="Times New Roman"/>
                      <w:color w:val="000000"/>
                      <w:kern w:val="0"/>
                      <w:sz w:val="21"/>
                      <w:szCs w:val="21"/>
                      <w:u w:val="none"/>
                      <w:lang w:val="en-US" w:eastAsia="zh-CN"/>
                    </w:rPr>
                    <w:t>生产用水</w:t>
                  </w:r>
                </w:p>
              </w:tc>
              <w:tc>
                <w:tcPr>
                  <w:tcW w:w="654" w:type="pct"/>
                  <w:noWrap w:val="0"/>
                  <w:vAlign w:val="center"/>
                </w:tcPr>
                <w:p w14:paraId="38BBD4AC">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kern w:val="0"/>
                      <w:sz w:val="21"/>
                      <w:szCs w:val="21"/>
                      <w:u w:val="none"/>
                    </w:rPr>
                  </w:pPr>
                  <w:r>
                    <w:rPr>
                      <w:rFonts w:hint="default" w:ascii="Times New Roman" w:hAnsi="Times New Roman" w:eastAsia="宋体" w:cs="Times New Roman"/>
                      <w:color w:val="000000"/>
                      <w:kern w:val="0"/>
                      <w:sz w:val="21"/>
                      <w:szCs w:val="21"/>
                      <w:u w:val="none"/>
                      <w:lang w:val="en-US" w:eastAsia="zh-CN"/>
                    </w:rPr>
                    <w:t>中</w:t>
                  </w:r>
                  <w:r>
                    <w:rPr>
                      <w:rFonts w:hint="default" w:ascii="Times New Roman" w:hAnsi="Times New Roman" w:eastAsia="宋体" w:cs="Times New Roman"/>
                      <w:color w:val="000000"/>
                      <w:kern w:val="0"/>
                      <w:sz w:val="21"/>
                      <w:szCs w:val="21"/>
                      <w:u w:val="none"/>
                    </w:rPr>
                    <w:t>药材清洗、润药</w:t>
                  </w:r>
                  <w:r>
                    <w:rPr>
                      <w:rFonts w:hint="default" w:ascii="Times New Roman" w:hAnsi="Times New Roman" w:eastAsia="宋体" w:cs="Times New Roman"/>
                      <w:color w:val="000000"/>
                      <w:kern w:val="0"/>
                      <w:sz w:val="21"/>
                      <w:szCs w:val="21"/>
                      <w:u w:val="none"/>
                      <w:lang w:val="en-US" w:eastAsia="zh-CN"/>
                    </w:rPr>
                    <w:t>工序</w:t>
                  </w:r>
                </w:p>
              </w:tc>
              <w:tc>
                <w:tcPr>
                  <w:tcW w:w="666" w:type="pct"/>
                  <w:shd w:val="clear" w:color="auto" w:fill="auto"/>
                  <w:noWrap w:val="0"/>
                  <w:vAlign w:val="center"/>
                </w:tcPr>
                <w:p w14:paraId="78FD17C6">
                  <w:pPr>
                    <w:keepNext w:val="0"/>
                    <w:keepLines w:val="0"/>
                    <w:pageBreakBefore w:val="0"/>
                    <w:kinsoku/>
                    <w:wordWrap w:val="0"/>
                    <w:overflowPunct/>
                    <w:topLinePunct w:val="0"/>
                    <w:autoSpaceDE/>
                    <w:autoSpaceDN/>
                    <w:bidi w:val="0"/>
                    <w:adjustRightInd/>
                    <w:spacing w:line="240" w:lineRule="auto"/>
                    <w:ind w:firstLine="0" w:firstLineChars="0"/>
                    <w:jc w:val="center"/>
                    <w:rPr>
                      <w:rFonts w:hint="eastAsia" w:ascii="Times New Roman" w:hAnsi="Times New Roman" w:eastAsia="宋体" w:cs="Times New Roman"/>
                      <w:color w:val="000000"/>
                      <w:kern w:val="0"/>
                      <w:sz w:val="21"/>
                      <w:szCs w:val="21"/>
                      <w:u w:val="none"/>
                      <w:lang w:val="en-US" w:eastAsia="zh-CN" w:bidi="ar-SA"/>
                    </w:rPr>
                  </w:pPr>
                  <w:r>
                    <w:rPr>
                      <w:rFonts w:hint="eastAsia"/>
                      <w:b w:val="0"/>
                      <w:sz w:val="21"/>
                      <w:szCs w:val="21"/>
                      <w:u w:val="none"/>
                      <w:lang w:val="en-US" w:eastAsia="zh-CN"/>
                    </w:rPr>
                    <w:t>3797.25</w:t>
                  </w:r>
                </w:p>
              </w:tc>
              <w:tc>
                <w:tcPr>
                  <w:tcW w:w="666" w:type="pct"/>
                  <w:noWrap w:val="0"/>
                  <w:vAlign w:val="center"/>
                </w:tcPr>
                <w:p w14:paraId="33B30A58">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kern w:val="0"/>
                      <w:sz w:val="21"/>
                      <w:szCs w:val="21"/>
                      <w:u w:val="none"/>
                      <w:lang w:val="en-US" w:eastAsia="zh-CN"/>
                    </w:rPr>
                  </w:pPr>
                  <w:r>
                    <w:rPr>
                      <w:rFonts w:hint="eastAsia"/>
                      <w:b w:val="0"/>
                      <w:sz w:val="21"/>
                      <w:szCs w:val="21"/>
                      <w:u w:val="none"/>
                      <w:lang w:val="en-US" w:eastAsia="zh-CN"/>
                    </w:rPr>
                    <w:t>3797.25</w:t>
                  </w:r>
                </w:p>
              </w:tc>
              <w:tc>
                <w:tcPr>
                  <w:tcW w:w="573" w:type="pct"/>
                  <w:noWrap w:val="0"/>
                  <w:vAlign w:val="center"/>
                </w:tcPr>
                <w:p w14:paraId="347D4F4B">
                  <w:pPr>
                    <w:keepNext w:val="0"/>
                    <w:keepLines w:val="0"/>
                    <w:pageBreakBefore w:val="0"/>
                    <w:kinsoku/>
                    <w:wordWrap w:val="0"/>
                    <w:overflowPunct/>
                    <w:topLinePunct w:val="0"/>
                    <w:autoSpaceDE/>
                    <w:autoSpaceDN/>
                    <w:bidi w:val="0"/>
                    <w:adjustRightInd/>
                    <w:spacing w:line="240" w:lineRule="auto"/>
                    <w:ind w:firstLine="0" w:firstLineChars="0"/>
                    <w:jc w:val="center"/>
                    <w:rPr>
                      <w:rFonts w:hint="eastAsia" w:ascii="Times New Roman" w:hAnsi="Times New Roman" w:eastAsia="宋体" w:cs="Times New Roman"/>
                      <w:color w:val="000000"/>
                      <w:kern w:val="0"/>
                      <w:sz w:val="21"/>
                      <w:szCs w:val="21"/>
                      <w:u w:val="none"/>
                      <w:lang w:val="en-US" w:eastAsia="zh-CN"/>
                    </w:rPr>
                  </w:pPr>
                  <w:r>
                    <w:rPr>
                      <w:rFonts w:hint="eastAsia" w:cs="Times New Roman"/>
                      <w:color w:val="000000"/>
                      <w:kern w:val="0"/>
                      <w:sz w:val="21"/>
                      <w:szCs w:val="21"/>
                      <w:u w:val="none"/>
                      <w:lang w:val="en-US" w:eastAsia="zh-CN"/>
                    </w:rPr>
                    <w:t>0</w:t>
                  </w:r>
                </w:p>
              </w:tc>
              <w:tc>
                <w:tcPr>
                  <w:tcW w:w="536" w:type="pct"/>
                  <w:noWrap w:val="0"/>
                  <w:vAlign w:val="center"/>
                </w:tcPr>
                <w:p w14:paraId="4D1735C5">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kern w:val="0"/>
                      <w:sz w:val="21"/>
                      <w:szCs w:val="21"/>
                      <w:u w:val="none"/>
                      <w:lang w:val="en-US" w:eastAsia="zh-CN"/>
                    </w:rPr>
                  </w:pPr>
                  <w:r>
                    <w:rPr>
                      <w:rFonts w:hint="eastAsia" w:cs="Times New Roman"/>
                      <w:color w:val="000000"/>
                      <w:kern w:val="0"/>
                      <w:sz w:val="21"/>
                      <w:szCs w:val="21"/>
                      <w:u w:val="none"/>
                      <w:lang w:val="en-US" w:eastAsia="zh-CN"/>
                    </w:rPr>
                    <w:t>759.45</w:t>
                  </w:r>
                </w:p>
              </w:tc>
              <w:tc>
                <w:tcPr>
                  <w:tcW w:w="663" w:type="pct"/>
                  <w:noWrap w:val="0"/>
                  <w:vAlign w:val="center"/>
                </w:tcPr>
                <w:p w14:paraId="1BD5491D">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val="0"/>
                      <w:sz w:val="21"/>
                      <w:szCs w:val="21"/>
                      <w:u w:val="none"/>
                      <w:lang w:val="en-US" w:eastAsia="zh-CN"/>
                    </w:rPr>
                  </w:pPr>
                  <w:r>
                    <w:rPr>
                      <w:rFonts w:hint="eastAsia" w:ascii="Times New Roman" w:hAnsi="Times New Roman" w:eastAsia="宋体" w:cs="Times New Roman"/>
                      <w:b w:val="0"/>
                      <w:sz w:val="21"/>
                      <w:szCs w:val="21"/>
                      <w:u w:val="none"/>
                      <w:lang w:val="en-US" w:eastAsia="zh-CN"/>
                    </w:rPr>
                    <w:t>3037.8</w:t>
                  </w:r>
                </w:p>
              </w:tc>
              <w:tc>
                <w:tcPr>
                  <w:tcW w:w="878" w:type="pct"/>
                  <w:vMerge w:val="restart"/>
                  <w:noWrap w:val="0"/>
                  <w:vAlign w:val="center"/>
                </w:tcPr>
                <w:p w14:paraId="26C2B94B">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kern w:val="0"/>
                      <w:sz w:val="21"/>
                      <w:szCs w:val="21"/>
                      <w:u w:val="none"/>
                      <w:lang w:val="en-US" w:eastAsia="zh-CN" w:bidi="ar-SA"/>
                    </w:rPr>
                  </w:pPr>
                  <w:r>
                    <w:rPr>
                      <w:rFonts w:hint="default" w:ascii="Times New Roman" w:hAnsi="Times New Roman" w:eastAsia="宋体" w:cs="Times New Roman"/>
                      <w:color w:val="000000"/>
                      <w:kern w:val="0"/>
                      <w:sz w:val="21"/>
                      <w:szCs w:val="21"/>
                      <w:u w:val="none"/>
                    </w:rPr>
                    <w:t>经污水处理站处理后排入市政污水管网</w:t>
                  </w:r>
                </w:p>
              </w:tc>
            </w:tr>
            <w:tr w14:paraId="059F0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60" w:type="pct"/>
                  <w:vMerge w:val="continue"/>
                  <w:noWrap w:val="0"/>
                  <w:vAlign w:val="center"/>
                </w:tcPr>
                <w:p w14:paraId="3E933D15">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kern w:val="0"/>
                      <w:sz w:val="21"/>
                      <w:szCs w:val="21"/>
                      <w:u w:val="none"/>
                    </w:rPr>
                  </w:pPr>
                </w:p>
              </w:tc>
              <w:tc>
                <w:tcPr>
                  <w:tcW w:w="654" w:type="pct"/>
                  <w:noWrap w:val="0"/>
                  <w:vAlign w:val="center"/>
                </w:tcPr>
                <w:p w14:paraId="0323C296">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kern w:val="0"/>
                      <w:sz w:val="21"/>
                      <w:szCs w:val="21"/>
                      <w:u w:val="none"/>
                    </w:rPr>
                  </w:pPr>
                  <w:r>
                    <w:rPr>
                      <w:rFonts w:hint="default" w:ascii="Times New Roman" w:hAnsi="Times New Roman" w:eastAsia="宋体" w:cs="Times New Roman"/>
                      <w:color w:val="000000"/>
                      <w:kern w:val="0"/>
                      <w:sz w:val="21"/>
                      <w:szCs w:val="21"/>
                      <w:u w:val="none"/>
                      <w:lang w:eastAsia="zh-CN"/>
                    </w:rPr>
                    <w:t>蒸（</w:t>
                  </w:r>
                  <w:r>
                    <w:rPr>
                      <w:rFonts w:hint="default" w:ascii="Times New Roman" w:hAnsi="Times New Roman" w:eastAsia="宋体" w:cs="Times New Roman"/>
                      <w:color w:val="000000"/>
                      <w:kern w:val="0"/>
                      <w:sz w:val="21"/>
                      <w:szCs w:val="21"/>
                      <w:u w:val="none"/>
                      <w:lang w:val="en-US" w:eastAsia="zh-CN"/>
                    </w:rPr>
                    <w:t>煮</w:t>
                  </w:r>
                  <w:r>
                    <w:rPr>
                      <w:rFonts w:hint="default" w:ascii="Times New Roman" w:hAnsi="Times New Roman" w:eastAsia="宋体" w:cs="Times New Roman"/>
                      <w:color w:val="000000"/>
                      <w:kern w:val="0"/>
                      <w:sz w:val="21"/>
                      <w:szCs w:val="21"/>
                      <w:u w:val="none"/>
                      <w:lang w:eastAsia="zh-CN"/>
                    </w:rPr>
                    <w:t>）制工序、</w:t>
                  </w:r>
                  <w:r>
                    <w:rPr>
                      <w:rFonts w:hint="default" w:ascii="Times New Roman" w:hAnsi="Times New Roman" w:eastAsia="宋体" w:cs="Times New Roman"/>
                      <w:color w:val="000000"/>
                      <w:kern w:val="0"/>
                      <w:sz w:val="21"/>
                      <w:szCs w:val="21"/>
                      <w:u w:val="none"/>
                      <w:lang w:val="en-US" w:eastAsia="zh-CN"/>
                    </w:rPr>
                    <w:t>提取工序</w:t>
                  </w:r>
                </w:p>
              </w:tc>
              <w:tc>
                <w:tcPr>
                  <w:tcW w:w="666" w:type="pct"/>
                  <w:shd w:val="clear" w:color="auto" w:fill="auto"/>
                  <w:noWrap w:val="0"/>
                  <w:vAlign w:val="center"/>
                </w:tcPr>
                <w:p w14:paraId="1027D2A6">
                  <w:pPr>
                    <w:keepNext w:val="0"/>
                    <w:keepLines w:val="0"/>
                    <w:pageBreakBefore w:val="0"/>
                    <w:kinsoku/>
                    <w:wordWrap w:val="0"/>
                    <w:overflowPunct/>
                    <w:topLinePunct w:val="0"/>
                    <w:autoSpaceDE/>
                    <w:autoSpaceDN/>
                    <w:bidi w:val="0"/>
                    <w:adjustRightInd/>
                    <w:spacing w:line="240" w:lineRule="auto"/>
                    <w:ind w:firstLine="0" w:firstLineChars="0"/>
                    <w:jc w:val="center"/>
                    <w:rPr>
                      <w:rFonts w:hint="eastAsia" w:ascii="Times New Roman" w:hAnsi="Times New Roman" w:eastAsia="宋体" w:cs="Times New Roman"/>
                      <w:color w:val="000000"/>
                      <w:kern w:val="0"/>
                      <w:sz w:val="21"/>
                      <w:szCs w:val="21"/>
                      <w:u w:val="none"/>
                      <w:lang w:val="en-US" w:eastAsia="zh-CN" w:bidi="ar-SA"/>
                    </w:rPr>
                  </w:pPr>
                  <w:r>
                    <w:rPr>
                      <w:rFonts w:hint="eastAsia"/>
                      <w:b w:val="0"/>
                      <w:sz w:val="21"/>
                      <w:szCs w:val="21"/>
                      <w:u w:val="none"/>
                      <w:lang w:val="en-US" w:eastAsia="zh-CN"/>
                    </w:rPr>
                    <w:t>88400</w:t>
                  </w:r>
                </w:p>
              </w:tc>
              <w:tc>
                <w:tcPr>
                  <w:tcW w:w="666" w:type="pct"/>
                  <w:noWrap w:val="0"/>
                  <w:vAlign w:val="center"/>
                </w:tcPr>
                <w:p w14:paraId="1A512D63">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kern w:val="0"/>
                      <w:sz w:val="21"/>
                      <w:szCs w:val="21"/>
                      <w:u w:val="none"/>
                    </w:rPr>
                  </w:pPr>
                  <w:r>
                    <w:rPr>
                      <w:rFonts w:hint="eastAsia"/>
                      <w:b w:val="0"/>
                      <w:sz w:val="21"/>
                      <w:szCs w:val="21"/>
                      <w:u w:val="none"/>
                      <w:lang w:val="en-US" w:eastAsia="zh-CN"/>
                    </w:rPr>
                    <w:t>88400</w:t>
                  </w:r>
                </w:p>
              </w:tc>
              <w:tc>
                <w:tcPr>
                  <w:tcW w:w="573" w:type="pct"/>
                  <w:noWrap w:val="0"/>
                  <w:vAlign w:val="center"/>
                </w:tcPr>
                <w:p w14:paraId="39CA0BC3">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kern w:val="0"/>
                      <w:sz w:val="21"/>
                      <w:szCs w:val="21"/>
                      <w:u w:val="none"/>
                      <w:lang w:val="en-US" w:eastAsia="zh-CN"/>
                    </w:rPr>
                  </w:pPr>
                  <w:r>
                    <w:rPr>
                      <w:rFonts w:hint="eastAsia" w:cs="Times New Roman"/>
                      <w:color w:val="000000"/>
                      <w:kern w:val="0"/>
                      <w:sz w:val="21"/>
                      <w:szCs w:val="21"/>
                      <w:u w:val="none"/>
                      <w:lang w:val="en-US" w:eastAsia="zh-CN"/>
                    </w:rPr>
                    <w:t>0</w:t>
                  </w:r>
                </w:p>
              </w:tc>
              <w:tc>
                <w:tcPr>
                  <w:tcW w:w="536" w:type="pct"/>
                  <w:noWrap w:val="0"/>
                  <w:vAlign w:val="center"/>
                </w:tcPr>
                <w:p w14:paraId="2746FAFF">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kern w:val="0"/>
                      <w:sz w:val="21"/>
                      <w:szCs w:val="21"/>
                      <w:u w:val="none"/>
                    </w:rPr>
                  </w:pPr>
                  <w:r>
                    <w:rPr>
                      <w:rFonts w:hint="eastAsia" w:ascii="Times New Roman" w:hAnsi="Times New Roman" w:eastAsia="宋体" w:cs="Times New Roman"/>
                      <w:b w:val="0"/>
                      <w:sz w:val="21"/>
                      <w:szCs w:val="21"/>
                      <w:u w:val="none"/>
                      <w:lang w:val="en-US" w:eastAsia="zh-CN"/>
                    </w:rPr>
                    <w:t>44200</w:t>
                  </w:r>
                </w:p>
              </w:tc>
              <w:tc>
                <w:tcPr>
                  <w:tcW w:w="663" w:type="pct"/>
                  <w:noWrap w:val="0"/>
                  <w:vAlign w:val="center"/>
                </w:tcPr>
                <w:p w14:paraId="1DBAF68F">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val="0"/>
                      <w:sz w:val="21"/>
                      <w:szCs w:val="21"/>
                      <w:u w:val="none"/>
                      <w:lang w:val="en-US" w:eastAsia="zh-CN"/>
                    </w:rPr>
                  </w:pPr>
                  <w:r>
                    <w:rPr>
                      <w:rFonts w:hint="eastAsia" w:ascii="Times New Roman" w:hAnsi="Times New Roman" w:eastAsia="宋体" w:cs="Times New Roman"/>
                      <w:b w:val="0"/>
                      <w:sz w:val="21"/>
                      <w:szCs w:val="21"/>
                      <w:u w:val="none"/>
                      <w:lang w:val="en-US" w:eastAsia="zh-CN"/>
                    </w:rPr>
                    <w:t>44200</w:t>
                  </w:r>
                </w:p>
              </w:tc>
              <w:tc>
                <w:tcPr>
                  <w:tcW w:w="878" w:type="pct"/>
                  <w:vMerge w:val="continue"/>
                  <w:noWrap w:val="0"/>
                  <w:vAlign w:val="center"/>
                </w:tcPr>
                <w:p w14:paraId="04D277C5">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kern w:val="0"/>
                      <w:sz w:val="21"/>
                      <w:szCs w:val="21"/>
                      <w:u w:val="none"/>
                    </w:rPr>
                  </w:pPr>
                </w:p>
              </w:tc>
            </w:tr>
            <w:tr w14:paraId="5A50A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0" w:type="pct"/>
                  <w:vMerge w:val="continue"/>
                  <w:noWrap w:val="0"/>
                  <w:vAlign w:val="center"/>
                </w:tcPr>
                <w:p w14:paraId="18D48D90">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kern w:val="0"/>
                      <w:sz w:val="21"/>
                      <w:szCs w:val="21"/>
                      <w:u w:val="none"/>
                    </w:rPr>
                  </w:pPr>
                </w:p>
              </w:tc>
              <w:tc>
                <w:tcPr>
                  <w:tcW w:w="654" w:type="pct"/>
                  <w:noWrap w:val="0"/>
                  <w:vAlign w:val="center"/>
                </w:tcPr>
                <w:p w14:paraId="4A9A28D9">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val="0"/>
                      <w:bCs w:val="0"/>
                      <w:color w:val="000000"/>
                      <w:kern w:val="0"/>
                      <w:sz w:val="21"/>
                      <w:szCs w:val="21"/>
                      <w:u w:val="none"/>
                      <w:lang w:val="en-US" w:eastAsia="zh-CN" w:bidi="ar-SA"/>
                    </w:rPr>
                  </w:pPr>
                  <w:r>
                    <w:rPr>
                      <w:rFonts w:hint="eastAsia"/>
                      <w:b w:val="0"/>
                      <w:bCs w:val="0"/>
                      <w:sz w:val="21"/>
                      <w:szCs w:val="21"/>
                      <w:lang w:val="en-US" w:eastAsia="zh-CN"/>
                    </w:rPr>
                    <w:t>发酵工序</w:t>
                  </w:r>
                </w:p>
              </w:tc>
              <w:tc>
                <w:tcPr>
                  <w:tcW w:w="666" w:type="pct"/>
                  <w:noWrap w:val="0"/>
                  <w:vAlign w:val="center"/>
                </w:tcPr>
                <w:p w14:paraId="49AF695D">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sz w:val="21"/>
                      <w:szCs w:val="21"/>
                      <w:lang w:val="en-US" w:eastAsia="zh-CN"/>
                    </w:rPr>
                  </w:pPr>
                  <w:r>
                    <w:rPr>
                      <w:rFonts w:hint="eastAsia"/>
                      <w:sz w:val="21"/>
                      <w:szCs w:val="21"/>
                      <w:lang w:val="en-US" w:eastAsia="zh-CN"/>
                    </w:rPr>
                    <w:t>8000</w:t>
                  </w:r>
                </w:p>
              </w:tc>
              <w:tc>
                <w:tcPr>
                  <w:tcW w:w="666" w:type="pct"/>
                  <w:noWrap w:val="0"/>
                  <w:vAlign w:val="center"/>
                </w:tcPr>
                <w:p w14:paraId="6A12DBF6">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kern w:val="0"/>
                      <w:sz w:val="21"/>
                      <w:szCs w:val="21"/>
                      <w:u w:val="none"/>
                      <w:lang w:val="en-US" w:eastAsia="zh-CN" w:bidi="ar-SA"/>
                    </w:rPr>
                  </w:pPr>
                  <w:r>
                    <w:rPr>
                      <w:rFonts w:hint="eastAsia"/>
                      <w:sz w:val="21"/>
                      <w:szCs w:val="21"/>
                      <w:lang w:val="en-US" w:eastAsia="zh-CN"/>
                    </w:rPr>
                    <w:t>8000</w:t>
                  </w:r>
                </w:p>
              </w:tc>
              <w:tc>
                <w:tcPr>
                  <w:tcW w:w="573" w:type="pct"/>
                  <w:noWrap w:val="0"/>
                  <w:vAlign w:val="center"/>
                </w:tcPr>
                <w:p w14:paraId="7AEDD7C5">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kern w:val="0"/>
                      <w:sz w:val="21"/>
                      <w:szCs w:val="21"/>
                      <w:u w:val="none"/>
                      <w:lang w:val="en-US" w:eastAsia="zh-CN" w:bidi="ar-SA"/>
                    </w:rPr>
                  </w:pPr>
                  <w:r>
                    <w:rPr>
                      <w:rFonts w:hint="eastAsia" w:cs="Times New Roman"/>
                      <w:color w:val="000000"/>
                      <w:kern w:val="0"/>
                      <w:sz w:val="21"/>
                      <w:szCs w:val="21"/>
                      <w:u w:val="none"/>
                      <w:lang w:val="en-US" w:eastAsia="zh-CN"/>
                    </w:rPr>
                    <w:t>0</w:t>
                  </w:r>
                </w:p>
              </w:tc>
              <w:tc>
                <w:tcPr>
                  <w:tcW w:w="536" w:type="pct"/>
                  <w:noWrap w:val="0"/>
                  <w:vAlign w:val="center"/>
                </w:tcPr>
                <w:p w14:paraId="68E1FE3E">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kern w:val="0"/>
                      <w:sz w:val="21"/>
                      <w:szCs w:val="21"/>
                      <w:u w:val="none"/>
                      <w:lang w:val="en-US" w:eastAsia="zh-CN" w:bidi="ar-SA"/>
                    </w:rPr>
                  </w:pPr>
                  <w:r>
                    <w:rPr>
                      <w:rFonts w:hint="eastAsia" w:cs="Times New Roman"/>
                      <w:color w:val="000000"/>
                      <w:kern w:val="0"/>
                      <w:sz w:val="21"/>
                      <w:szCs w:val="21"/>
                      <w:u w:val="none"/>
                      <w:lang w:val="en-US" w:eastAsia="zh-CN" w:bidi="ar-SA"/>
                    </w:rPr>
                    <w:t>3200</w:t>
                  </w:r>
                </w:p>
              </w:tc>
              <w:tc>
                <w:tcPr>
                  <w:tcW w:w="663" w:type="pct"/>
                  <w:noWrap w:val="0"/>
                  <w:vAlign w:val="center"/>
                </w:tcPr>
                <w:p w14:paraId="7A3E0A0D">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kern w:val="0"/>
                      <w:sz w:val="21"/>
                      <w:szCs w:val="21"/>
                      <w:u w:val="none"/>
                      <w:lang w:val="en-US" w:eastAsia="zh-CN" w:bidi="ar-SA"/>
                    </w:rPr>
                  </w:pPr>
                  <w:r>
                    <w:rPr>
                      <w:rFonts w:hint="eastAsia" w:cs="Times New Roman"/>
                      <w:color w:val="000000"/>
                      <w:kern w:val="0"/>
                      <w:sz w:val="21"/>
                      <w:szCs w:val="21"/>
                      <w:u w:val="none"/>
                      <w:lang w:val="en-US" w:eastAsia="zh-CN" w:bidi="ar-SA"/>
                    </w:rPr>
                    <w:t>4800</w:t>
                  </w:r>
                </w:p>
              </w:tc>
              <w:tc>
                <w:tcPr>
                  <w:tcW w:w="878" w:type="pct"/>
                  <w:vMerge w:val="continue"/>
                  <w:noWrap w:val="0"/>
                  <w:vAlign w:val="center"/>
                </w:tcPr>
                <w:p w14:paraId="45FD21A5">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kern w:val="0"/>
                      <w:sz w:val="21"/>
                      <w:szCs w:val="21"/>
                      <w:u w:val="none"/>
                      <w:lang w:val="en-US" w:eastAsia="zh-CN" w:bidi="ar-SA"/>
                    </w:rPr>
                  </w:pPr>
                </w:p>
              </w:tc>
            </w:tr>
            <w:tr w14:paraId="2E78D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0" w:type="pct"/>
                  <w:vMerge w:val="continue"/>
                  <w:noWrap w:val="0"/>
                  <w:vAlign w:val="center"/>
                </w:tcPr>
                <w:p w14:paraId="2D696E61">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kern w:val="0"/>
                      <w:sz w:val="21"/>
                      <w:szCs w:val="21"/>
                      <w:u w:val="none"/>
                      <w:lang w:val="en-US" w:eastAsia="zh-CN"/>
                    </w:rPr>
                  </w:pPr>
                </w:p>
              </w:tc>
              <w:tc>
                <w:tcPr>
                  <w:tcW w:w="654" w:type="pct"/>
                  <w:noWrap w:val="0"/>
                  <w:vAlign w:val="center"/>
                </w:tcPr>
                <w:p w14:paraId="1A62AE62">
                  <w:pPr>
                    <w:pStyle w:val="18"/>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color w:val="000000"/>
                      <w:kern w:val="0"/>
                      <w:sz w:val="21"/>
                      <w:szCs w:val="21"/>
                      <w:u w:val="none"/>
                      <w:lang w:val="en-US" w:eastAsia="zh-CN"/>
                    </w:rPr>
                  </w:pPr>
                  <w:r>
                    <w:rPr>
                      <w:rFonts w:hint="eastAsia" w:ascii="Times New Roman" w:hAnsi="Times New Roman" w:eastAsia="宋体" w:cs="Times New Roman"/>
                      <w:b w:val="0"/>
                      <w:bCs w:val="0"/>
                      <w:kern w:val="2"/>
                      <w:sz w:val="21"/>
                      <w:szCs w:val="21"/>
                      <w:lang w:val="en-US" w:eastAsia="zh-CN" w:bidi="ar-SA"/>
                    </w:rPr>
                    <w:t>毒性中药饮片炮制</w:t>
                  </w:r>
                </w:p>
              </w:tc>
              <w:tc>
                <w:tcPr>
                  <w:tcW w:w="666" w:type="pct"/>
                  <w:noWrap w:val="0"/>
                  <w:vAlign w:val="center"/>
                </w:tcPr>
                <w:p w14:paraId="7407F350">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sz w:val="21"/>
                      <w:szCs w:val="21"/>
                      <w:u w:val="none"/>
                      <w:lang w:val="en-US" w:eastAsia="zh-CN"/>
                    </w:rPr>
                  </w:pPr>
                  <w:r>
                    <w:rPr>
                      <w:rFonts w:hint="eastAsia"/>
                      <w:sz w:val="21"/>
                      <w:szCs w:val="21"/>
                      <w:u w:val="none"/>
                      <w:lang w:val="en-US" w:eastAsia="zh-CN"/>
                    </w:rPr>
                    <w:t>6.4</w:t>
                  </w:r>
                </w:p>
              </w:tc>
              <w:tc>
                <w:tcPr>
                  <w:tcW w:w="666" w:type="pct"/>
                  <w:noWrap w:val="0"/>
                  <w:vAlign w:val="center"/>
                </w:tcPr>
                <w:p w14:paraId="77A51833">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kern w:val="0"/>
                      <w:sz w:val="21"/>
                      <w:szCs w:val="21"/>
                      <w:u w:val="none"/>
                      <w:lang w:val="en-US" w:eastAsia="zh-CN"/>
                    </w:rPr>
                  </w:pPr>
                  <w:r>
                    <w:rPr>
                      <w:rFonts w:hint="eastAsia"/>
                      <w:sz w:val="21"/>
                      <w:szCs w:val="21"/>
                      <w:u w:val="none"/>
                      <w:lang w:val="en-US" w:eastAsia="zh-CN"/>
                    </w:rPr>
                    <w:t>6.4</w:t>
                  </w:r>
                </w:p>
              </w:tc>
              <w:tc>
                <w:tcPr>
                  <w:tcW w:w="573" w:type="pct"/>
                  <w:noWrap w:val="0"/>
                  <w:vAlign w:val="center"/>
                </w:tcPr>
                <w:p w14:paraId="433C26EA">
                  <w:pPr>
                    <w:keepNext w:val="0"/>
                    <w:keepLines w:val="0"/>
                    <w:pageBreakBefore w:val="0"/>
                    <w:kinsoku/>
                    <w:wordWrap w:val="0"/>
                    <w:overflowPunct/>
                    <w:topLinePunct w:val="0"/>
                    <w:autoSpaceDE/>
                    <w:autoSpaceDN/>
                    <w:bidi w:val="0"/>
                    <w:adjustRightInd/>
                    <w:spacing w:line="240" w:lineRule="auto"/>
                    <w:ind w:firstLine="0" w:firstLineChars="0"/>
                    <w:jc w:val="center"/>
                    <w:rPr>
                      <w:rFonts w:hint="eastAsia" w:ascii="Times New Roman" w:hAnsi="Times New Roman" w:eastAsia="宋体" w:cs="Times New Roman"/>
                      <w:color w:val="000000"/>
                      <w:kern w:val="0"/>
                      <w:sz w:val="21"/>
                      <w:szCs w:val="21"/>
                      <w:u w:val="none"/>
                      <w:lang w:val="en-US" w:eastAsia="zh-CN"/>
                    </w:rPr>
                  </w:pPr>
                  <w:r>
                    <w:rPr>
                      <w:rFonts w:hint="eastAsia" w:cs="Times New Roman"/>
                      <w:color w:val="000000"/>
                      <w:kern w:val="0"/>
                      <w:sz w:val="21"/>
                      <w:szCs w:val="21"/>
                      <w:u w:val="none"/>
                      <w:lang w:val="en-US" w:eastAsia="zh-CN"/>
                    </w:rPr>
                    <w:t>0</w:t>
                  </w:r>
                </w:p>
              </w:tc>
              <w:tc>
                <w:tcPr>
                  <w:tcW w:w="536" w:type="pct"/>
                  <w:noWrap w:val="0"/>
                  <w:vAlign w:val="center"/>
                </w:tcPr>
                <w:p w14:paraId="29069388">
                  <w:pPr>
                    <w:keepNext w:val="0"/>
                    <w:keepLines w:val="0"/>
                    <w:pageBreakBefore w:val="0"/>
                    <w:widowControl/>
                    <w:suppressLineNumbers w:val="0"/>
                    <w:kinsoku/>
                    <w:wordWrap w:val="0"/>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1.28</w:t>
                  </w:r>
                </w:p>
              </w:tc>
              <w:tc>
                <w:tcPr>
                  <w:tcW w:w="663" w:type="pct"/>
                  <w:noWrap w:val="0"/>
                  <w:vAlign w:val="center"/>
                </w:tcPr>
                <w:p w14:paraId="59537102">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kern w:val="0"/>
                      <w:sz w:val="21"/>
                      <w:szCs w:val="21"/>
                      <w:u w:val="none"/>
                      <w:lang w:val="en-US" w:eastAsia="zh-CN"/>
                    </w:rPr>
                  </w:pPr>
                  <w:r>
                    <w:rPr>
                      <w:rFonts w:hint="eastAsia" w:cs="Times New Roman"/>
                      <w:color w:val="000000"/>
                      <w:kern w:val="0"/>
                      <w:sz w:val="21"/>
                      <w:szCs w:val="21"/>
                      <w:u w:val="none"/>
                      <w:lang w:val="en-US" w:eastAsia="zh-CN"/>
                    </w:rPr>
                    <w:t>5.12</w:t>
                  </w:r>
                </w:p>
              </w:tc>
              <w:tc>
                <w:tcPr>
                  <w:tcW w:w="878" w:type="pct"/>
                  <w:noWrap w:val="0"/>
                  <w:vAlign w:val="center"/>
                </w:tcPr>
                <w:p w14:paraId="677BC78D">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解毒后的废水排入污水处理站处理</w:t>
                  </w:r>
                </w:p>
              </w:tc>
            </w:tr>
            <w:tr w14:paraId="74AE2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0" w:type="pct"/>
                  <w:vMerge w:val="continue"/>
                  <w:noWrap w:val="0"/>
                  <w:vAlign w:val="center"/>
                </w:tcPr>
                <w:p w14:paraId="29C227E9">
                  <w:pPr>
                    <w:keepNext w:val="0"/>
                    <w:keepLines w:val="0"/>
                    <w:pageBreakBefore w:val="0"/>
                    <w:kinsoku/>
                    <w:wordWrap w:val="0"/>
                    <w:overflowPunct/>
                    <w:topLinePunct w:val="0"/>
                    <w:autoSpaceDE/>
                    <w:autoSpaceDN/>
                    <w:bidi w:val="0"/>
                    <w:adjustRightInd/>
                    <w:spacing w:line="240" w:lineRule="auto"/>
                    <w:ind w:firstLine="0" w:firstLineChars="0"/>
                    <w:jc w:val="center"/>
                    <w:rPr>
                      <w:rFonts w:hint="eastAsia" w:ascii="Times New Roman" w:hAnsi="Times New Roman" w:eastAsia="宋体" w:cs="Times New Roman"/>
                      <w:color w:val="000000"/>
                      <w:kern w:val="0"/>
                      <w:sz w:val="21"/>
                      <w:szCs w:val="21"/>
                      <w:u w:val="none"/>
                      <w:lang w:val="en-US" w:eastAsia="zh-CN" w:bidi="ar-SA"/>
                    </w:rPr>
                  </w:pPr>
                </w:p>
              </w:tc>
              <w:tc>
                <w:tcPr>
                  <w:tcW w:w="654" w:type="pct"/>
                  <w:noWrap w:val="0"/>
                  <w:vAlign w:val="center"/>
                </w:tcPr>
                <w:p w14:paraId="3EFE5C66">
                  <w:pPr>
                    <w:keepNext w:val="0"/>
                    <w:keepLines w:val="0"/>
                    <w:pageBreakBefore w:val="0"/>
                    <w:kinsoku/>
                    <w:wordWrap w:val="0"/>
                    <w:overflowPunct/>
                    <w:topLinePunct w:val="0"/>
                    <w:autoSpaceDE/>
                    <w:autoSpaceDN/>
                    <w:bidi w:val="0"/>
                    <w:adjustRightInd/>
                    <w:spacing w:line="240" w:lineRule="auto"/>
                    <w:ind w:firstLine="0" w:firstLineChars="0"/>
                    <w:jc w:val="center"/>
                    <w:rPr>
                      <w:rFonts w:hint="eastAsia" w:ascii="Times New Roman" w:hAnsi="Times New Roman" w:eastAsia="宋体" w:cs="Times New Roman"/>
                      <w:b w:val="0"/>
                      <w:bCs w:val="0"/>
                      <w:color w:val="000000"/>
                      <w:kern w:val="0"/>
                      <w:sz w:val="21"/>
                      <w:szCs w:val="21"/>
                      <w:u w:val="none"/>
                      <w:lang w:val="en-US" w:eastAsia="zh-CN"/>
                    </w:rPr>
                  </w:pPr>
                  <w:r>
                    <w:rPr>
                      <w:rFonts w:hint="eastAsia"/>
                      <w:b w:val="0"/>
                      <w:bCs w:val="0"/>
                      <w:sz w:val="21"/>
                      <w:szCs w:val="21"/>
                      <w:u w:val="none"/>
                    </w:rPr>
                    <w:t>设备清洗</w:t>
                  </w:r>
                </w:p>
              </w:tc>
              <w:tc>
                <w:tcPr>
                  <w:tcW w:w="666" w:type="pct"/>
                  <w:noWrap w:val="0"/>
                  <w:vAlign w:val="center"/>
                </w:tcPr>
                <w:p w14:paraId="32220463">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sz w:val="21"/>
                      <w:szCs w:val="21"/>
                      <w:u w:val="none"/>
                      <w:lang w:val="en-US" w:eastAsia="zh-CN"/>
                    </w:rPr>
                  </w:pPr>
                  <w:r>
                    <w:rPr>
                      <w:rFonts w:hint="eastAsia"/>
                      <w:sz w:val="21"/>
                      <w:szCs w:val="21"/>
                      <w:u w:val="none"/>
                      <w:lang w:val="en-US" w:eastAsia="zh-CN"/>
                    </w:rPr>
                    <w:t>1280</w:t>
                  </w:r>
                </w:p>
              </w:tc>
              <w:tc>
                <w:tcPr>
                  <w:tcW w:w="666" w:type="pct"/>
                  <w:noWrap w:val="0"/>
                  <w:vAlign w:val="center"/>
                </w:tcPr>
                <w:p w14:paraId="0464C847">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kern w:val="0"/>
                      <w:sz w:val="21"/>
                      <w:szCs w:val="21"/>
                      <w:u w:val="none"/>
                      <w:lang w:val="en-US" w:eastAsia="zh-CN"/>
                    </w:rPr>
                  </w:pPr>
                  <w:r>
                    <w:rPr>
                      <w:rFonts w:hint="eastAsia"/>
                      <w:sz w:val="21"/>
                      <w:szCs w:val="21"/>
                      <w:u w:val="none"/>
                      <w:lang w:val="en-US" w:eastAsia="zh-CN"/>
                    </w:rPr>
                    <w:t>960</w:t>
                  </w:r>
                </w:p>
              </w:tc>
              <w:tc>
                <w:tcPr>
                  <w:tcW w:w="573" w:type="pct"/>
                  <w:noWrap w:val="0"/>
                  <w:vAlign w:val="center"/>
                </w:tcPr>
                <w:p w14:paraId="3A70EC93">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kern w:val="0"/>
                      <w:sz w:val="21"/>
                      <w:szCs w:val="21"/>
                      <w:u w:val="none"/>
                      <w:lang w:val="en-US" w:eastAsia="zh-CN"/>
                    </w:rPr>
                  </w:pPr>
                  <w:r>
                    <w:rPr>
                      <w:rFonts w:hint="eastAsia" w:cs="Times New Roman"/>
                      <w:color w:val="000000"/>
                      <w:kern w:val="0"/>
                      <w:sz w:val="21"/>
                      <w:szCs w:val="21"/>
                      <w:u w:val="none"/>
                      <w:lang w:val="en-US" w:eastAsia="zh-CN"/>
                    </w:rPr>
                    <w:t>320</w:t>
                  </w:r>
                </w:p>
              </w:tc>
              <w:tc>
                <w:tcPr>
                  <w:tcW w:w="536" w:type="pct"/>
                  <w:noWrap w:val="0"/>
                  <w:vAlign w:val="center"/>
                </w:tcPr>
                <w:p w14:paraId="4E59096C">
                  <w:pPr>
                    <w:keepNext w:val="0"/>
                    <w:keepLines w:val="0"/>
                    <w:pageBreakBefore w:val="0"/>
                    <w:widowControl/>
                    <w:suppressLineNumbers w:val="0"/>
                    <w:kinsoku/>
                    <w:wordWrap w:val="0"/>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256</w:t>
                  </w:r>
                </w:p>
              </w:tc>
              <w:tc>
                <w:tcPr>
                  <w:tcW w:w="663" w:type="pct"/>
                  <w:noWrap w:val="0"/>
                  <w:vAlign w:val="center"/>
                </w:tcPr>
                <w:p w14:paraId="3B12AF4E">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kern w:val="0"/>
                      <w:sz w:val="21"/>
                      <w:szCs w:val="21"/>
                      <w:u w:val="none"/>
                      <w:lang w:val="en-US" w:eastAsia="zh-CN"/>
                    </w:rPr>
                  </w:pPr>
                  <w:r>
                    <w:rPr>
                      <w:rFonts w:hint="eastAsia" w:cs="Times New Roman"/>
                      <w:color w:val="000000"/>
                      <w:kern w:val="0"/>
                      <w:sz w:val="21"/>
                      <w:szCs w:val="21"/>
                      <w:u w:val="none"/>
                      <w:lang w:val="en-US" w:eastAsia="zh-CN"/>
                    </w:rPr>
                    <w:t>1024</w:t>
                  </w:r>
                </w:p>
              </w:tc>
              <w:tc>
                <w:tcPr>
                  <w:tcW w:w="878" w:type="pct"/>
                  <w:vMerge w:val="restart"/>
                  <w:noWrap w:val="0"/>
                  <w:vAlign w:val="center"/>
                </w:tcPr>
                <w:p w14:paraId="7BB5C0BC">
                  <w:pPr>
                    <w:keepNext w:val="0"/>
                    <w:keepLines w:val="0"/>
                    <w:pageBreakBefore w:val="0"/>
                    <w:kinsoku/>
                    <w:wordWrap w:val="0"/>
                    <w:overflowPunct/>
                    <w:topLinePunct w:val="0"/>
                    <w:autoSpaceDE/>
                    <w:autoSpaceDN/>
                    <w:bidi w:val="0"/>
                    <w:adjustRightInd/>
                    <w:spacing w:line="240" w:lineRule="auto"/>
                    <w:ind w:firstLine="0" w:firstLineChars="0"/>
                    <w:jc w:val="center"/>
                    <w:rPr>
                      <w:rFonts w:hint="eastAsia" w:ascii="Times New Roman" w:hAnsi="Times New Roman" w:eastAsia="宋体" w:cs="Times New Roman"/>
                      <w:color w:val="000000"/>
                      <w:kern w:val="0"/>
                      <w:sz w:val="21"/>
                      <w:szCs w:val="21"/>
                      <w:u w:val="none"/>
                      <w:lang w:val="en-US" w:eastAsia="zh-CN"/>
                    </w:rPr>
                  </w:pPr>
                  <w:r>
                    <w:rPr>
                      <w:rFonts w:hint="default" w:ascii="Times New Roman" w:hAnsi="Times New Roman" w:eastAsia="宋体" w:cs="Times New Roman"/>
                      <w:color w:val="000000"/>
                      <w:kern w:val="0"/>
                      <w:sz w:val="21"/>
                      <w:szCs w:val="21"/>
                      <w:u w:val="none"/>
                    </w:rPr>
                    <w:t>经污水处理站处理后排入市政污水管网</w:t>
                  </w:r>
                </w:p>
              </w:tc>
            </w:tr>
            <w:tr w14:paraId="62503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0" w:type="pct"/>
                  <w:vMerge w:val="continue"/>
                  <w:noWrap w:val="0"/>
                  <w:vAlign w:val="center"/>
                </w:tcPr>
                <w:p w14:paraId="368D5B4D">
                  <w:pPr>
                    <w:keepNext w:val="0"/>
                    <w:keepLines w:val="0"/>
                    <w:pageBreakBefore w:val="0"/>
                    <w:kinsoku/>
                    <w:wordWrap w:val="0"/>
                    <w:overflowPunct/>
                    <w:topLinePunct w:val="0"/>
                    <w:autoSpaceDE/>
                    <w:autoSpaceDN/>
                    <w:bidi w:val="0"/>
                    <w:adjustRightInd/>
                    <w:spacing w:line="240" w:lineRule="auto"/>
                    <w:ind w:firstLine="0" w:firstLineChars="0"/>
                    <w:jc w:val="center"/>
                    <w:rPr>
                      <w:rFonts w:hint="eastAsia" w:ascii="Times New Roman" w:hAnsi="Times New Roman" w:eastAsia="宋体" w:cs="Times New Roman"/>
                      <w:color w:val="000000"/>
                      <w:kern w:val="0"/>
                      <w:sz w:val="21"/>
                      <w:szCs w:val="21"/>
                      <w:u w:val="none"/>
                      <w:lang w:val="en-US" w:eastAsia="zh-CN" w:bidi="ar-SA"/>
                    </w:rPr>
                  </w:pPr>
                </w:p>
              </w:tc>
              <w:tc>
                <w:tcPr>
                  <w:tcW w:w="654" w:type="pct"/>
                  <w:noWrap w:val="0"/>
                  <w:vAlign w:val="center"/>
                </w:tcPr>
                <w:p w14:paraId="3608FEF4">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val="0"/>
                      <w:bCs w:val="0"/>
                      <w:color w:val="000000"/>
                      <w:kern w:val="0"/>
                      <w:sz w:val="21"/>
                      <w:szCs w:val="21"/>
                      <w:u w:val="none"/>
                    </w:rPr>
                  </w:pPr>
                  <w:r>
                    <w:rPr>
                      <w:rFonts w:hint="eastAsia"/>
                      <w:b w:val="0"/>
                      <w:bCs w:val="0"/>
                      <w:sz w:val="21"/>
                      <w:szCs w:val="21"/>
                      <w:lang w:val="en-US" w:eastAsia="zh-CN"/>
                    </w:rPr>
                    <w:t>地面清洗</w:t>
                  </w:r>
                </w:p>
              </w:tc>
              <w:tc>
                <w:tcPr>
                  <w:tcW w:w="666" w:type="pct"/>
                  <w:noWrap w:val="0"/>
                  <w:vAlign w:val="center"/>
                </w:tcPr>
                <w:p w14:paraId="1AF21A2E">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cs="Times New Roman"/>
                      <w:color w:val="000000"/>
                      <w:kern w:val="0"/>
                      <w:sz w:val="21"/>
                      <w:szCs w:val="21"/>
                      <w:u w:val="none"/>
                      <w:lang w:val="en-US" w:eastAsia="zh-CN"/>
                    </w:rPr>
                  </w:pPr>
                  <w:r>
                    <w:rPr>
                      <w:rFonts w:hint="eastAsia" w:cs="Times New Roman"/>
                      <w:color w:val="000000"/>
                      <w:kern w:val="0"/>
                      <w:sz w:val="21"/>
                      <w:szCs w:val="21"/>
                      <w:u w:val="none"/>
                      <w:lang w:val="en-US" w:eastAsia="zh-CN"/>
                    </w:rPr>
                    <w:t>1600</w:t>
                  </w:r>
                </w:p>
              </w:tc>
              <w:tc>
                <w:tcPr>
                  <w:tcW w:w="666" w:type="pct"/>
                  <w:noWrap w:val="0"/>
                  <w:vAlign w:val="center"/>
                </w:tcPr>
                <w:p w14:paraId="42AD32C2">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kern w:val="0"/>
                      <w:sz w:val="21"/>
                      <w:szCs w:val="21"/>
                      <w:u w:val="none"/>
                      <w:lang w:val="en-US" w:eastAsia="zh-CN"/>
                    </w:rPr>
                  </w:pPr>
                  <w:r>
                    <w:rPr>
                      <w:rFonts w:hint="eastAsia" w:cs="Times New Roman"/>
                      <w:color w:val="000000"/>
                      <w:kern w:val="0"/>
                      <w:sz w:val="21"/>
                      <w:szCs w:val="21"/>
                      <w:u w:val="none"/>
                      <w:lang w:val="en-US" w:eastAsia="zh-CN"/>
                    </w:rPr>
                    <w:t>1216</w:t>
                  </w:r>
                </w:p>
              </w:tc>
              <w:tc>
                <w:tcPr>
                  <w:tcW w:w="573" w:type="pct"/>
                  <w:noWrap w:val="0"/>
                  <w:vAlign w:val="center"/>
                </w:tcPr>
                <w:p w14:paraId="1678255E">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kern w:val="0"/>
                      <w:sz w:val="21"/>
                      <w:szCs w:val="21"/>
                      <w:u w:val="none"/>
                    </w:rPr>
                  </w:pPr>
                  <w:r>
                    <w:rPr>
                      <w:rFonts w:hint="eastAsia"/>
                      <w:sz w:val="21"/>
                      <w:szCs w:val="21"/>
                      <w:u w:val="none"/>
                      <w:lang w:val="en-US" w:eastAsia="zh-CN"/>
                    </w:rPr>
                    <w:t>384</w:t>
                  </w:r>
                </w:p>
              </w:tc>
              <w:tc>
                <w:tcPr>
                  <w:tcW w:w="536" w:type="pct"/>
                  <w:noWrap w:val="0"/>
                  <w:vAlign w:val="center"/>
                </w:tcPr>
                <w:p w14:paraId="7FA65844">
                  <w:pPr>
                    <w:keepNext w:val="0"/>
                    <w:keepLines w:val="0"/>
                    <w:pageBreakBefore w:val="0"/>
                    <w:widowControl/>
                    <w:suppressLineNumbers w:val="0"/>
                    <w:kinsoku/>
                    <w:wordWrap w:val="0"/>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color w:val="000000"/>
                      <w:kern w:val="0"/>
                      <w:sz w:val="21"/>
                      <w:szCs w:val="21"/>
                      <w:highlight w:val="none"/>
                      <w:u w:val="none"/>
                      <w:lang w:val="en-US" w:eastAsia="zh-CN"/>
                    </w:rPr>
                  </w:pPr>
                  <w:r>
                    <w:rPr>
                      <w:rFonts w:hint="eastAsia" w:cs="Times New Roman"/>
                      <w:color w:val="000000"/>
                      <w:kern w:val="0"/>
                      <w:sz w:val="21"/>
                      <w:szCs w:val="21"/>
                      <w:highlight w:val="none"/>
                      <w:u w:val="none"/>
                      <w:lang w:val="en-US" w:eastAsia="zh-CN"/>
                    </w:rPr>
                    <w:t>320</w:t>
                  </w:r>
                </w:p>
              </w:tc>
              <w:tc>
                <w:tcPr>
                  <w:tcW w:w="663" w:type="pct"/>
                  <w:noWrap w:val="0"/>
                  <w:vAlign w:val="center"/>
                </w:tcPr>
                <w:p w14:paraId="43383429">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kern w:val="0"/>
                      <w:sz w:val="21"/>
                      <w:szCs w:val="21"/>
                      <w:u w:val="none"/>
                      <w:lang w:val="en-US" w:eastAsia="zh-CN"/>
                    </w:rPr>
                  </w:pPr>
                  <w:r>
                    <w:rPr>
                      <w:rFonts w:hint="eastAsia" w:cs="Times New Roman"/>
                      <w:color w:val="000000"/>
                      <w:kern w:val="0"/>
                      <w:sz w:val="21"/>
                      <w:szCs w:val="21"/>
                      <w:u w:val="none"/>
                      <w:lang w:val="en-US" w:eastAsia="zh-CN"/>
                    </w:rPr>
                    <w:t>1280</w:t>
                  </w:r>
                </w:p>
              </w:tc>
              <w:tc>
                <w:tcPr>
                  <w:tcW w:w="878" w:type="pct"/>
                  <w:vMerge w:val="continue"/>
                  <w:noWrap w:val="0"/>
                  <w:vAlign w:val="center"/>
                </w:tcPr>
                <w:p w14:paraId="5F6EB6F3">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kern w:val="0"/>
                      <w:sz w:val="21"/>
                      <w:szCs w:val="21"/>
                      <w:u w:val="none"/>
                      <w:lang w:val="en-US" w:eastAsia="zh-CN" w:bidi="ar-SA"/>
                    </w:rPr>
                  </w:pPr>
                </w:p>
              </w:tc>
            </w:tr>
            <w:tr w14:paraId="19AD8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0" w:type="pct"/>
                  <w:vMerge w:val="continue"/>
                  <w:noWrap w:val="0"/>
                  <w:vAlign w:val="center"/>
                </w:tcPr>
                <w:p w14:paraId="25BA1F68">
                  <w:pPr>
                    <w:keepNext w:val="0"/>
                    <w:keepLines w:val="0"/>
                    <w:pageBreakBefore w:val="0"/>
                    <w:kinsoku/>
                    <w:wordWrap w:val="0"/>
                    <w:overflowPunct/>
                    <w:topLinePunct w:val="0"/>
                    <w:autoSpaceDE/>
                    <w:autoSpaceDN/>
                    <w:bidi w:val="0"/>
                    <w:adjustRightInd/>
                    <w:spacing w:line="240" w:lineRule="auto"/>
                    <w:ind w:firstLine="0" w:firstLineChars="0"/>
                    <w:jc w:val="center"/>
                    <w:rPr>
                      <w:rFonts w:hint="eastAsia" w:ascii="Times New Roman" w:hAnsi="Times New Roman" w:eastAsia="宋体" w:cs="Times New Roman"/>
                      <w:color w:val="000000"/>
                      <w:kern w:val="0"/>
                      <w:sz w:val="21"/>
                      <w:szCs w:val="21"/>
                      <w:u w:val="none"/>
                      <w:lang w:val="en-US" w:eastAsia="zh-CN" w:bidi="ar-SA"/>
                    </w:rPr>
                  </w:pPr>
                </w:p>
              </w:tc>
              <w:tc>
                <w:tcPr>
                  <w:tcW w:w="654" w:type="pct"/>
                  <w:noWrap w:val="0"/>
                  <w:vAlign w:val="center"/>
                </w:tcPr>
                <w:p w14:paraId="594878B6">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val="0"/>
                      <w:bCs w:val="0"/>
                      <w:color w:val="000000"/>
                      <w:kern w:val="0"/>
                      <w:sz w:val="21"/>
                      <w:szCs w:val="21"/>
                      <w:u w:val="none"/>
                    </w:rPr>
                  </w:pPr>
                  <w:r>
                    <w:rPr>
                      <w:rFonts w:hint="eastAsia"/>
                      <w:b w:val="0"/>
                      <w:bCs w:val="0"/>
                      <w:sz w:val="21"/>
                      <w:szCs w:val="21"/>
                      <w:u w:val="none"/>
                      <w:lang w:val="en-US" w:eastAsia="zh-CN"/>
                    </w:rPr>
                    <w:t>纯水</w:t>
                  </w:r>
                  <w:r>
                    <w:rPr>
                      <w:b w:val="0"/>
                      <w:bCs w:val="0"/>
                      <w:sz w:val="21"/>
                      <w:szCs w:val="21"/>
                      <w:u w:val="none"/>
                    </w:rPr>
                    <w:t>制水系统</w:t>
                  </w:r>
                </w:p>
              </w:tc>
              <w:tc>
                <w:tcPr>
                  <w:tcW w:w="666" w:type="pct"/>
                  <w:noWrap w:val="0"/>
                  <w:vAlign w:val="center"/>
                </w:tcPr>
                <w:p w14:paraId="2A2571F7">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sz w:val="21"/>
                      <w:szCs w:val="21"/>
                      <w:u w:val="none"/>
                      <w:lang w:val="en-US" w:eastAsia="zh-CN"/>
                    </w:rPr>
                  </w:pPr>
                  <w:r>
                    <w:rPr>
                      <w:rFonts w:hint="eastAsia"/>
                      <w:sz w:val="21"/>
                      <w:szCs w:val="21"/>
                      <w:u w:val="none"/>
                      <w:lang w:val="en-US" w:eastAsia="zh-CN"/>
                    </w:rPr>
                    <w:t>1006</w:t>
                  </w:r>
                </w:p>
              </w:tc>
              <w:tc>
                <w:tcPr>
                  <w:tcW w:w="666" w:type="pct"/>
                  <w:noWrap w:val="0"/>
                  <w:vAlign w:val="center"/>
                </w:tcPr>
                <w:p w14:paraId="0EE7B8BB">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kern w:val="0"/>
                      <w:sz w:val="21"/>
                      <w:szCs w:val="21"/>
                      <w:u w:val="none"/>
                      <w:lang w:val="en-US" w:eastAsia="zh-CN"/>
                    </w:rPr>
                  </w:pPr>
                  <w:r>
                    <w:rPr>
                      <w:rFonts w:hint="eastAsia"/>
                      <w:sz w:val="21"/>
                      <w:szCs w:val="21"/>
                      <w:u w:val="none"/>
                      <w:lang w:val="en-US" w:eastAsia="zh-CN"/>
                    </w:rPr>
                    <w:t>1006</w:t>
                  </w:r>
                </w:p>
              </w:tc>
              <w:tc>
                <w:tcPr>
                  <w:tcW w:w="573" w:type="pct"/>
                  <w:noWrap w:val="0"/>
                  <w:vAlign w:val="center"/>
                </w:tcPr>
                <w:p w14:paraId="6F3997F8">
                  <w:pPr>
                    <w:keepNext w:val="0"/>
                    <w:keepLines w:val="0"/>
                    <w:pageBreakBefore w:val="0"/>
                    <w:kinsoku/>
                    <w:wordWrap w:val="0"/>
                    <w:overflowPunct/>
                    <w:topLinePunct w:val="0"/>
                    <w:autoSpaceDE/>
                    <w:autoSpaceDN/>
                    <w:bidi w:val="0"/>
                    <w:adjustRightInd/>
                    <w:spacing w:line="240" w:lineRule="auto"/>
                    <w:ind w:firstLine="0" w:firstLineChars="0"/>
                    <w:jc w:val="center"/>
                    <w:rPr>
                      <w:rFonts w:hint="eastAsia" w:ascii="Times New Roman" w:hAnsi="Times New Roman" w:eastAsia="宋体" w:cs="Times New Roman"/>
                      <w:color w:val="000000"/>
                      <w:kern w:val="0"/>
                      <w:sz w:val="21"/>
                      <w:szCs w:val="21"/>
                      <w:u w:val="none"/>
                      <w:lang w:eastAsia="zh-CN"/>
                    </w:rPr>
                  </w:pPr>
                  <w:r>
                    <w:rPr>
                      <w:rFonts w:hint="eastAsia" w:ascii="Times New Roman" w:hAnsi="Times New Roman" w:eastAsia="宋体" w:cs="Times New Roman"/>
                      <w:color w:val="000000"/>
                      <w:kern w:val="0"/>
                      <w:sz w:val="21"/>
                      <w:szCs w:val="21"/>
                      <w:u w:val="none"/>
                      <w:lang w:val="en-US" w:eastAsia="zh-CN"/>
                    </w:rPr>
                    <w:t>0</w:t>
                  </w:r>
                </w:p>
              </w:tc>
              <w:tc>
                <w:tcPr>
                  <w:tcW w:w="536" w:type="pct"/>
                  <w:noWrap w:val="0"/>
                  <w:vAlign w:val="center"/>
                </w:tcPr>
                <w:p w14:paraId="39D1EFA8">
                  <w:pPr>
                    <w:keepNext w:val="0"/>
                    <w:keepLines w:val="0"/>
                    <w:pageBreakBefore w:val="0"/>
                    <w:widowControl/>
                    <w:suppressLineNumbers w:val="0"/>
                    <w:kinsoku/>
                    <w:wordWrap w:val="0"/>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color w:val="000000"/>
                      <w:kern w:val="0"/>
                      <w:sz w:val="21"/>
                      <w:szCs w:val="21"/>
                      <w:highlight w:val="none"/>
                      <w:u w:val="none"/>
                      <w:lang w:val="en-US" w:eastAsia="zh-CN"/>
                    </w:rPr>
                  </w:pPr>
                  <w:r>
                    <w:rPr>
                      <w:rFonts w:hint="eastAsia" w:cs="Times New Roman"/>
                      <w:color w:val="000000"/>
                      <w:kern w:val="0"/>
                      <w:sz w:val="21"/>
                      <w:szCs w:val="21"/>
                      <w:highlight w:val="none"/>
                      <w:u w:val="none"/>
                      <w:lang w:val="en-US" w:eastAsia="zh-CN"/>
                    </w:rPr>
                    <w:t>704</w:t>
                  </w:r>
                </w:p>
              </w:tc>
              <w:tc>
                <w:tcPr>
                  <w:tcW w:w="663" w:type="pct"/>
                  <w:noWrap w:val="0"/>
                  <w:vAlign w:val="center"/>
                </w:tcPr>
                <w:p w14:paraId="2427028D">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kern w:val="0"/>
                      <w:sz w:val="21"/>
                      <w:szCs w:val="21"/>
                      <w:u w:val="none"/>
                      <w:lang w:val="en-US" w:eastAsia="zh-CN"/>
                    </w:rPr>
                  </w:pPr>
                  <w:r>
                    <w:rPr>
                      <w:rFonts w:hint="eastAsia" w:cs="Times New Roman"/>
                      <w:color w:val="000000"/>
                      <w:kern w:val="0"/>
                      <w:sz w:val="21"/>
                      <w:szCs w:val="21"/>
                      <w:u w:val="none"/>
                      <w:lang w:val="en-US" w:eastAsia="zh-CN"/>
                    </w:rPr>
                    <w:t>302</w:t>
                  </w:r>
                </w:p>
              </w:tc>
              <w:tc>
                <w:tcPr>
                  <w:tcW w:w="878" w:type="pct"/>
                  <w:vMerge w:val="continue"/>
                  <w:noWrap w:val="0"/>
                  <w:vAlign w:val="center"/>
                </w:tcPr>
                <w:p w14:paraId="2F315C41">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kern w:val="0"/>
                      <w:sz w:val="21"/>
                      <w:szCs w:val="21"/>
                      <w:u w:val="none"/>
                      <w:lang w:val="en-US" w:eastAsia="zh-CN" w:bidi="ar-SA"/>
                    </w:rPr>
                  </w:pPr>
                </w:p>
              </w:tc>
            </w:tr>
            <w:tr w14:paraId="1560F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0" w:type="pct"/>
                  <w:vMerge w:val="continue"/>
                  <w:noWrap w:val="0"/>
                  <w:vAlign w:val="center"/>
                </w:tcPr>
                <w:p w14:paraId="1912BF32">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kern w:val="0"/>
                      <w:sz w:val="21"/>
                      <w:szCs w:val="21"/>
                      <w:u w:val="none"/>
                      <w:lang w:val="en-US" w:eastAsia="zh-CN" w:bidi="ar-SA"/>
                    </w:rPr>
                  </w:pPr>
                </w:p>
              </w:tc>
              <w:tc>
                <w:tcPr>
                  <w:tcW w:w="654" w:type="pct"/>
                  <w:noWrap w:val="0"/>
                  <w:vAlign w:val="center"/>
                </w:tcPr>
                <w:p w14:paraId="3F11ACF5">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bCs/>
                      <w:color w:val="000000"/>
                      <w:kern w:val="0"/>
                      <w:sz w:val="21"/>
                      <w:szCs w:val="21"/>
                      <w:u w:val="single"/>
                      <w:lang w:val="en-US" w:eastAsia="zh-CN"/>
                    </w:rPr>
                  </w:pPr>
                  <w:r>
                    <w:rPr>
                      <w:rFonts w:hint="eastAsia"/>
                      <w:b/>
                      <w:bCs/>
                      <w:sz w:val="21"/>
                      <w:szCs w:val="21"/>
                      <w:u w:val="single"/>
                    </w:rPr>
                    <w:t>质检</w:t>
                  </w:r>
                </w:p>
              </w:tc>
              <w:tc>
                <w:tcPr>
                  <w:tcW w:w="666" w:type="pct"/>
                  <w:noWrap w:val="0"/>
                  <w:vAlign w:val="center"/>
                </w:tcPr>
                <w:p w14:paraId="346D0103">
                  <w:pPr>
                    <w:keepNext w:val="0"/>
                    <w:keepLines w:val="0"/>
                    <w:pageBreakBefore w:val="0"/>
                    <w:kinsoku/>
                    <w:wordWrap w:val="0"/>
                    <w:overflowPunct/>
                    <w:topLinePunct w:val="0"/>
                    <w:autoSpaceDE/>
                    <w:autoSpaceDN/>
                    <w:bidi w:val="0"/>
                    <w:adjustRightInd/>
                    <w:spacing w:line="240" w:lineRule="auto"/>
                    <w:ind w:firstLine="0" w:firstLineChars="0"/>
                    <w:jc w:val="center"/>
                    <w:rPr>
                      <w:rFonts w:hint="eastAsia"/>
                      <w:b/>
                      <w:bCs/>
                      <w:sz w:val="21"/>
                      <w:szCs w:val="21"/>
                      <w:u w:val="single"/>
                      <w:lang w:val="en-US" w:eastAsia="zh-CN"/>
                    </w:rPr>
                  </w:pPr>
                  <w:r>
                    <w:rPr>
                      <w:rFonts w:hint="eastAsia"/>
                      <w:b/>
                      <w:bCs/>
                      <w:sz w:val="21"/>
                      <w:szCs w:val="21"/>
                      <w:u w:val="single"/>
                      <w:lang w:val="en-US" w:eastAsia="zh-CN"/>
                    </w:rPr>
                    <w:t>6.4</w:t>
                  </w:r>
                </w:p>
              </w:tc>
              <w:tc>
                <w:tcPr>
                  <w:tcW w:w="666" w:type="pct"/>
                  <w:noWrap w:val="0"/>
                  <w:vAlign w:val="center"/>
                </w:tcPr>
                <w:p w14:paraId="360425AA">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bCs/>
                      <w:color w:val="000000"/>
                      <w:kern w:val="0"/>
                      <w:sz w:val="21"/>
                      <w:szCs w:val="21"/>
                      <w:u w:val="single"/>
                      <w:lang w:val="en-US" w:eastAsia="zh-CN"/>
                    </w:rPr>
                  </w:pPr>
                  <w:r>
                    <w:rPr>
                      <w:rFonts w:hint="eastAsia"/>
                      <w:b/>
                      <w:bCs/>
                      <w:sz w:val="21"/>
                      <w:szCs w:val="21"/>
                      <w:u w:val="single"/>
                      <w:lang w:val="en-US" w:eastAsia="zh-CN"/>
                    </w:rPr>
                    <w:t>6.4</w:t>
                  </w:r>
                </w:p>
              </w:tc>
              <w:tc>
                <w:tcPr>
                  <w:tcW w:w="573" w:type="pct"/>
                  <w:noWrap w:val="0"/>
                  <w:vAlign w:val="center"/>
                </w:tcPr>
                <w:p w14:paraId="76583FB3">
                  <w:pPr>
                    <w:keepNext w:val="0"/>
                    <w:keepLines w:val="0"/>
                    <w:pageBreakBefore w:val="0"/>
                    <w:kinsoku/>
                    <w:wordWrap w:val="0"/>
                    <w:overflowPunct/>
                    <w:topLinePunct w:val="0"/>
                    <w:autoSpaceDE/>
                    <w:autoSpaceDN/>
                    <w:bidi w:val="0"/>
                    <w:adjustRightInd/>
                    <w:spacing w:line="240" w:lineRule="auto"/>
                    <w:ind w:firstLine="0" w:firstLineChars="0"/>
                    <w:jc w:val="center"/>
                    <w:rPr>
                      <w:rFonts w:hint="eastAsia" w:ascii="Times New Roman" w:hAnsi="Times New Roman" w:eastAsia="宋体" w:cs="Times New Roman"/>
                      <w:b/>
                      <w:bCs/>
                      <w:color w:val="000000"/>
                      <w:kern w:val="0"/>
                      <w:sz w:val="21"/>
                      <w:szCs w:val="21"/>
                      <w:u w:val="single"/>
                      <w:lang w:val="en-US" w:eastAsia="zh-CN"/>
                    </w:rPr>
                  </w:pPr>
                  <w:r>
                    <w:rPr>
                      <w:rFonts w:hint="eastAsia" w:cs="Times New Roman"/>
                      <w:b/>
                      <w:bCs/>
                      <w:color w:val="000000"/>
                      <w:kern w:val="0"/>
                      <w:sz w:val="21"/>
                      <w:szCs w:val="21"/>
                      <w:u w:val="single"/>
                      <w:lang w:val="en-US" w:eastAsia="zh-CN"/>
                    </w:rPr>
                    <w:t>0</w:t>
                  </w:r>
                </w:p>
              </w:tc>
              <w:tc>
                <w:tcPr>
                  <w:tcW w:w="536" w:type="pct"/>
                  <w:noWrap w:val="0"/>
                  <w:vAlign w:val="center"/>
                </w:tcPr>
                <w:p w14:paraId="238A2651">
                  <w:pPr>
                    <w:keepNext w:val="0"/>
                    <w:keepLines w:val="0"/>
                    <w:pageBreakBefore w:val="0"/>
                    <w:widowControl/>
                    <w:suppressLineNumbers w:val="0"/>
                    <w:kinsoku/>
                    <w:wordWrap w:val="0"/>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cs="Times New Roman"/>
                      <w:b/>
                      <w:bCs/>
                      <w:i w:val="0"/>
                      <w:iCs w:val="0"/>
                      <w:color w:val="000000"/>
                      <w:kern w:val="0"/>
                      <w:sz w:val="21"/>
                      <w:szCs w:val="21"/>
                      <w:u w:val="single"/>
                      <w:lang w:val="en-US" w:eastAsia="zh-CN" w:bidi="ar"/>
                    </w:rPr>
                    <w:t>0.64</w:t>
                  </w:r>
                </w:p>
              </w:tc>
              <w:tc>
                <w:tcPr>
                  <w:tcW w:w="663" w:type="pct"/>
                  <w:noWrap w:val="0"/>
                  <w:vAlign w:val="center"/>
                </w:tcPr>
                <w:p w14:paraId="0A30B972">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bCs/>
                      <w:color w:val="000000"/>
                      <w:kern w:val="0"/>
                      <w:sz w:val="21"/>
                      <w:szCs w:val="21"/>
                      <w:u w:val="single"/>
                      <w:lang w:val="en-US" w:eastAsia="zh-CN"/>
                    </w:rPr>
                  </w:pPr>
                  <w:r>
                    <w:rPr>
                      <w:rFonts w:hint="eastAsia" w:cs="Times New Roman"/>
                      <w:b/>
                      <w:bCs/>
                      <w:color w:val="000000"/>
                      <w:kern w:val="0"/>
                      <w:sz w:val="21"/>
                      <w:szCs w:val="21"/>
                      <w:u w:val="single"/>
                      <w:lang w:val="en-US" w:eastAsia="zh-CN"/>
                    </w:rPr>
                    <w:t>5.76</w:t>
                  </w:r>
                </w:p>
              </w:tc>
              <w:tc>
                <w:tcPr>
                  <w:tcW w:w="878" w:type="pct"/>
                  <w:noWrap w:val="0"/>
                  <w:vAlign w:val="center"/>
                </w:tcPr>
                <w:p w14:paraId="7C30086E">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bCs/>
                      <w:color w:val="000000"/>
                      <w:kern w:val="0"/>
                      <w:sz w:val="21"/>
                      <w:szCs w:val="21"/>
                      <w:u w:val="single"/>
                      <w:lang w:val="en-US" w:eastAsia="zh-CN" w:bidi="ar-SA"/>
                    </w:rPr>
                  </w:pPr>
                  <w:r>
                    <w:rPr>
                      <w:rFonts w:hint="default" w:ascii="Times New Roman" w:hAnsi="Times New Roman" w:eastAsia="宋体" w:cs="Times New Roman"/>
                      <w:b/>
                      <w:bCs/>
                      <w:color w:val="000000"/>
                      <w:kern w:val="0"/>
                      <w:sz w:val="21"/>
                      <w:szCs w:val="21"/>
                      <w:u w:val="single"/>
                    </w:rPr>
                    <w:t>收集作危废处置</w:t>
                  </w:r>
                </w:p>
              </w:tc>
            </w:tr>
            <w:tr w14:paraId="1C8C7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0" w:type="pct"/>
                  <w:noWrap w:val="0"/>
                  <w:vAlign w:val="center"/>
                </w:tcPr>
                <w:p w14:paraId="6D7D027A">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kern w:val="0"/>
                      <w:sz w:val="21"/>
                      <w:szCs w:val="21"/>
                      <w:u w:val="none"/>
                      <w:lang w:val="en-US" w:eastAsia="zh-CN" w:bidi="ar-SA"/>
                    </w:rPr>
                  </w:pPr>
                  <w:r>
                    <w:rPr>
                      <w:rFonts w:hint="default" w:ascii="Times New Roman" w:hAnsi="Times New Roman" w:eastAsia="宋体" w:cs="Times New Roman"/>
                      <w:color w:val="000000"/>
                      <w:kern w:val="0"/>
                      <w:sz w:val="21"/>
                      <w:szCs w:val="21"/>
                      <w:u w:val="none"/>
                    </w:rPr>
                    <w:t>生活用水</w:t>
                  </w:r>
                </w:p>
              </w:tc>
              <w:tc>
                <w:tcPr>
                  <w:tcW w:w="654" w:type="pct"/>
                  <w:noWrap w:val="0"/>
                  <w:vAlign w:val="center"/>
                </w:tcPr>
                <w:p w14:paraId="1F6C411F">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kern w:val="0"/>
                      <w:sz w:val="21"/>
                      <w:szCs w:val="21"/>
                      <w:u w:val="none"/>
                    </w:rPr>
                  </w:pPr>
                  <w:r>
                    <w:rPr>
                      <w:rFonts w:hint="default" w:ascii="Times New Roman" w:hAnsi="Times New Roman" w:eastAsia="宋体" w:cs="Times New Roman"/>
                      <w:color w:val="000000"/>
                      <w:kern w:val="0"/>
                      <w:sz w:val="21"/>
                      <w:szCs w:val="21"/>
                      <w:u w:val="none"/>
                    </w:rPr>
                    <w:t>生活用水</w:t>
                  </w:r>
                </w:p>
              </w:tc>
              <w:tc>
                <w:tcPr>
                  <w:tcW w:w="666" w:type="pct"/>
                  <w:noWrap w:val="0"/>
                  <w:vAlign w:val="center"/>
                </w:tcPr>
                <w:p w14:paraId="4320D2D5">
                  <w:pPr>
                    <w:keepNext w:val="0"/>
                    <w:keepLines w:val="0"/>
                    <w:pageBreakBefore w:val="0"/>
                    <w:kinsoku/>
                    <w:wordWrap w:val="0"/>
                    <w:overflowPunct/>
                    <w:topLinePunct w:val="0"/>
                    <w:autoSpaceDE/>
                    <w:autoSpaceDN/>
                    <w:bidi w:val="0"/>
                    <w:adjustRightInd/>
                    <w:spacing w:line="240" w:lineRule="auto"/>
                    <w:ind w:firstLine="0" w:firstLineChars="0"/>
                    <w:jc w:val="center"/>
                    <w:rPr>
                      <w:rFonts w:hint="eastAsia" w:cs="Times New Roman"/>
                      <w:color w:val="000000"/>
                      <w:kern w:val="0"/>
                      <w:sz w:val="21"/>
                      <w:szCs w:val="21"/>
                      <w:u w:val="none"/>
                      <w:lang w:val="en-US" w:eastAsia="zh-CN"/>
                    </w:rPr>
                  </w:pPr>
                  <w:r>
                    <w:rPr>
                      <w:rFonts w:hint="eastAsia" w:cs="Times New Roman"/>
                      <w:color w:val="000000"/>
                      <w:kern w:val="0"/>
                      <w:sz w:val="21"/>
                      <w:szCs w:val="21"/>
                      <w:u w:val="none"/>
                      <w:lang w:val="en-US" w:eastAsia="zh-CN"/>
                    </w:rPr>
                    <w:t>1920</w:t>
                  </w:r>
                </w:p>
              </w:tc>
              <w:tc>
                <w:tcPr>
                  <w:tcW w:w="666" w:type="pct"/>
                  <w:noWrap w:val="0"/>
                  <w:vAlign w:val="center"/>
                </w:tcPr>
                <w:p w14:paraId="7824D18D">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kern w:val="0"/>
                      <w:sz w:val="21"/>
                      <w:szCs w:val="21"/>
                      <w:u w:val="none"/>
                      <w:lang w:val="en-US" w:eastAsia="zh-CN"/>
                    </w:rPr>
                  </w:pPr>
                  <w:r>
                    <w:rPr>
                      <w:rFonts w:hint="eastAsia" w:cs="Times New Roman"/>
                      <w:color w:val="000000"/>
                      <w:kern w:val="0"/>
                      <w:sz w:val="21"/>
                      <w:szCs w:val="21"/>
                      <w:u w:val="none"/>
                      <w:lang w:val="en-US" w:eastAsia="zh-CN"/>
                    </w:rPr>
                    <w:t>1920</w:t>
                  </w:r>
                </w:p>
              </w:tc>
              <w:tc>
                <w:tcPr>
                  <w:tcW w:w="573" w:type="pct"/>
                  <w:noWrap w:val="0"/>
                  <w:vAlign w:val="center"/>
                </w:tcPr>
                <w:p w14:paraId="3C649A45">
                  <w:pPr>
                    <w:keepNext w:val="0"/>
                    <w:keepLines w:val="0"/>
                    <w:pageBreakBefore w:val="0"/>
                    <w:kinsoku/>
                    <w:wordWrap w:val="0"/>
                    <w:overflowPunct/>
                    <w:topLinePunct w:val="0"/>
                    <w:autoSpaceDE/>
                    <w:autoSpaceDN/>
                    <w:bidi w:val="0"/>
                    <w:adjustRightInd/>
                    <w:spacing w:line="240" w:lineRule="auto"/>
                    <w:ind w:firstLine="0" w:firstLineChars="0"/>
                    <w:jc w:val="center"/>
                    <w:rPr>
                      <w:rFonts w:hint="eastAsia" w:ascii="Times New Roman" w:hAnsi="Times New Roman" w:eastAsia="宋体" w:cs="Times New Roman"/>
                      <w:color w:val="000000"/>
                      <w:kern w:val="0"/>
                      <w:sz w:val="21"/>
                      <w:szCs w:val="21"/>
                      <w:u w:val="none"/>
                      <w:lang w:eastAsia="zh-CN"/>
                    </w:rPr>
                  </w:pPr>
                  <w:r>
                    <w:rPr>
                      <w:rFonts w:hint="eastAsia" w:cs="Times New Roman"/>
                      <w:color w:val="000000"/>
                      <w:kern w:val="0"/>
                      <w:sz w:val="21"/>
                      <w:szCs w:val="21"/>
                      <w:u w:val="none"/>
                      <w:lang w:val="en-US" w:eastAsia="zh-CN"/>
                    </w:rPr>
                    <w:t>0</w:t>
                  </w:r>
                </w:p>
              </w:tc>
              <w:tc>
                <w:tcPr>
                  <w:tcW w:w="536" w:type="pct"/>
                  <w:noWrap w:val="0"/>
                  <w:vAlign w:val="center"/>
                </w:tcPr>
                <w:p w14:paraId="5C98C512">
                  <w:pPr>
                    <w:keepNext w:val="0"/>
                    <w:keepLines w:val="0"/>
                    <w:pageBreakBefore w:val="0"/>
                    <w:widowControl/>
                    <w:suppressLineNumbers w:val="0"/>
                    <w:kinsoku/>
                    <w:wordWrap w:val="0"/>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color w:val="000000"/>
                      <w:kern w:val="0"/>
                      <w:sz w:val="21"/>
                      <w:szCs w:val="21"/>
                      <w:highlight w:val="none"/>
                      <w:u w:val="none"/>
                      <w:lang w:val="en-US" w:eastAsia="zh-CN"/>
                    </w:rPr>
                  </w:pPr>
                  <w:r>
                    <w:rPr>
                      <w:rFonts w:hint="eastAsia" w:cs="Times New Roman"/>
                      <w:i w:val="0"/>
                      <w:iCs w:val="0"/>
                      <w:color w:val="000000"/>
                      <w:kern w:val="0"/>
                      <w:sz w:val="21"/>
                      <w:szCs w:val="21"/>
                      <w:u w:val="none"/>
                      <w:lang w:val="en-US" w:eastAsia="zh-CN" w:bidi="ar"/>
                    </w:rPr>
                    <w:t>384</w:t>
                  </w:r>
                </w:p>
              </w:tc>
              <w:tc>
                <w:tcPr>
                  <w:tcW w:w="663" w:type="pct"/>
                  <w:noWrap w:val="0"/>
                  <w:vAlign w:val="center"/>
                </w:tcPr>
                <w:p w14:paraId="4CC8B95C">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kern w:val="0"/>
                      <w:sz w:val="21"/>
                      <w:szCs w:val="21"/>
                      <w:u w:val="none"/>
                      <w:lang w:val="en-US" w:eastAsia="zh-CN"/>
                    </w:rPr>
                  </w:pPr>
                  <w:r>
                    <w:rPr>
                      <w:rFonts w:hint="eastAsia" w:ascii="Times New Roman" w:hAnsi="Times New Roman" w:eastAsia="宋体" w:cs="Times New Roman"/>
                      <w:color w:val="000000"/>
                      <w:kern w:val="0"/>
                      <w:sz w:val="21"/>
                      <w:szCs w:val="21"/>
                      <w:u w:val="none"/>
                      <w:lang w:val="en-US" w:eastAsia="zh-CN"/>
                    </w:rPr>
                    <w:t>1536</w:t>
                  </w:r>
                </w:p>
              </w:tc>
              <w:tc>
                <w:tcPr>
                  <w:tcW w:w="878" w:type="pct"/>
                  <w:noWrap w:val="0"/>
                  <w:vAlign w:val="center"/>
                </w:tcPr>
                <w:p w14:paraId="04BF1441">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kern w:val="0"/>
                      <w:sz w:val="21"/>
                      <w:szCs w:val="21"/>
                      <w:u w:val="none"/>
                      <w:lang w:val="en-US" w:eastAsia="zh-CN"/>
                    </w:rPr>
                  </w:pPr>
                  <w:r>
                    <w:rPr>
                      <w:rFonts w:hint="default" w:ascii="Times New Roman" w:hAnsi="Times New Roman" w:eastAsia="宋体" w:cs="Times New Roman"/>
                      <w:color w:val="000000"/>
                      <w:kern w:val="0"/>
                      <w:sz w:val="21"/>
                      <w:szCs w:val="21"/>
                      <w:u w:val="none"/>
                    </w:rPr>
                    <w:t>经化粪池处理后排入</w:t>
                  </w:r>
                  <w:r>
                    <w:rPr>
                      <w:rFonts w:hint="eastAsia" w:cs="Times New Roman"/>
                      <w:color w:val="000000"/>
                      <w:kern w:val="0"/>
                      <w:sz w:val="21"/>
                      <w:szCs w:val="21"/>
                      <w:u w:val="none"/>
                      <w:lang w:val="en-US" w:eastAsia="zh-CN"/>
                    </w:rPr>
                    <w:t>厂区污水处理站</w:t>
                  </w:r>
                </w:p>
              </w:tc>
            </w:tr>
            <w:tr w14:paraId="467E6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15" w:type="pct"/>
                  <w:gridSpan w:val="2"/>
                  <w:noWrap w:val="0"/>
                  <w:vAlign w:val="center"/>
                </w:tcPr>
                <w:p w14:paraId="60A88DEF">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kern w:val="0"/>
                      <w:sz w:val="21"/>
                      <w:szCs w:val="21"/>
                      <w:highlight w:val="none"/>
                      <w:u w:val="none"/>
                    </w:rPr>
                  </w:pPr>
                  <w:r>
                    <w:rPr>
                      <w:rFonts w:hint="default" w:ascii="Times New Roman" w:hAnsi="Times New Roman" w:eastAsia="宋体" w:cs="Times New Roman"/>
                      <w:color w:val="000000"/>
                      <w:kern w:val="0"/>
                      <w:sz w:val="21"/>
                      <w:szCs w:val="21"/>
                      <w:highlight w:val="none"/>
                      <w:u w:val="none"/>
                    </w:rPr>
                    <w:t>合计</w:t>
                  </w:r>
                </w:p>
              </w:tc>
              <w:tc>
                <w:tcPr>
                  <w:tcW w:w="666" w:type="pct"/>
                  <w:noWrap w:val="0"/>
                  <w:vAlign w:val="center"/>
                </w:tcPr>
                <w:p w14:paraId="34CF02FB">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kern w:val="0"/>
                      <w:sz w:val="21"/>
                      <w:szCs w:val="21"/>
                      <w:highlight w:val="none"/>
                      <w:u w:val="none"/>
                      <w:lang w:val="en-US" w:eastAsia="zh-CN"/>
                    </w:rPr>
                  </w:pPr>
                  <w:r>
                    <w:rPr>
                      <w:rFonts w:hint="eastAsia" w:cs="Times New Roman"/>
                      <w:color w:val="000000"/>
                      <w:kern w:val="0"/>
                      <w:sz w:val="21"/>
                      <w:szCs w:val="21"/>
                      <w:highlight w:val="none"/>
                      <w:u w:val="none"/>
                      <w:lang w:val="en-US" w:eastAsia="zh-CN"/>
                    </w:rPr>
                    <w:t>106016.05</w:t>
                  </w:r>
                </w:p>
              </w:tc>
              <w:tc>
                <w:tcPr>
                  <w:tcW w:w="666" w:type="pct"/>
                  <w:noWrap w:val="0"/>
                  <w:vAlign w:val="center"/>
                </w:tcPr>
                <w:p w14:paraId="4194BFA0">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kern w:val="0"/>
                      <w:sz w:val="21"/>
                      <w:szCs w:val="21"/>
                      <w:highlight w:val="none"/>
                      <w:u w:val="none"/>
                      <w:lang w:val="en-US" w:eastAsia="zh-CN"/>
                    </w:rPr>
                  </w:pPr>
                  <w:r>
                    <w:rPr>
                      <w:rFonts w:hint="eastAsia" w:cs="Times New Roman"/>
                      <w:color w:val="000000"/>
                      <w:kern w:val="0"/>
                      <w:sz w:val="21"/>
                      <w:szCs w:val="21"/>
                      <w:highlight w:val="none"/>
                      <w:u w:val="none"/>
                      <w:lang w:val="en-US" w:eastAsia="zh-CN"/>
                    </w:rPr>
                    <w:t>105312.05</w:t>
                  </w:r>
                </w:p>
              </w:tc>
              <w:tc>
                <w:tcPr>
                  <w:tcW w:w="573" w:type="pct"/>
                  <w:noWrap w:val="0"/>
                  <w:vAlign w:val="center"/>
                </w:tcPr>
                <w:p w14:paraId="269DB684">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kern w:val="0"/>
                      <w:sz w:val="21"/>
                      <w:szCs w:val="21"/>
                      <w:highlight w:val="none"/>
                      <w:u w:val="none"/>
                      <w:lang w:val="en-US" w:eastAsia="zh-CN"/>
                    </w:rPr>
                  </w:pPr>
                  <w:r>
                    <w:rPr>
                      <w:rFonts w:hint="eastAsia" w:cs="Times New Roman"/>
                      <w:color w:val="000000"/>
                      <w:kern w:val="0"/>
                      <w:sz w:val="21"/>
                      <w:szCs w:val="21"/>
                      <w:highlight w:val="none"/>
                      <w:u w:val="none"/>
                      <w:lang w:val="en-US" w:eastAsia="zh-CN"/>
                    </w:rPr>
                    <w:t>704</w:t>
                  </w:r>
                </w:p>
              </w:tc>
              <w:tc>
                <w:tcPr>
                  <w:tcW w:w="536" w:type="pct"/>
                  <w:noWrap w:val="0"/>
                  <w:vAlign w:val="center"/>
                </w:tcPr>
                <w:p w14:paraId="3EA0DC4A">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kern w:val="0"/>
                      <w:sz w:val="21"/>
                      <w:szCs w:val="21"/>
                      <w:u w:val="none"/>
                      <w:lang w:val="en-US" w:eastAsia="zh-CN"/>
                    </w:rPr>
                  </w:pPr>
                  <w:r>
                    <w:rPr>
                      <w:rFonts w:hint="eastAsia" w:cs="Times New Roman"/>
                      <w:color w:val="000000"/>
                      <w:kern w:val="0"/>
                      <w:sz w:val="21"/>
                      <w:szCs w:val="21"/>
                      <w:u w:val="none"/>
                      <w:lang w:val="en-US" w:eastAsia="zh-CN"/>
                    </w:rPr>
                    <w:t>49825.37</w:t>
                  </w:r>
                </w:p>
              </w:tc>
              <w:tc>
                <w:tcPr>
                  <w:tcW w:w="663" w:type="pct"/>
                  <w:noWrap w:val="0"/>
                  <w:vAlign w:val="center"/>
                </w:tcPr>
                <w:p w14:paraId="03092C3F">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sz w:val="21"/>
                      <w:szCs w:val="21"/>
                      <w:u w:val="none"/>
                      <w:lang w:val="en-US" w:eastAsia="zh-CN"/>
                    </w:rPr>
                  </w:pPr>
                  <w:r>
                    <w:rPr>
                      <w:rFonts w:hint="eastAsia" w:cs="Times New Roman"/>
                      <w:sz w:val="21"/>
                      <w:szCs w:val="21"/>
                      <w:u w:val="none"/>
                      <w:lang w:val="en-US" w:eastAsia="zh-CN"/>
                    </w:rPr>
                    <w:t>56190.68（含质检工序实验废液5.76）</w:t>
                  </w:r>
                </w:p>
              </w:tc>
              <w:tc>
                <w:tcPr>
                  <w:tcW w:w="878" w:type="pct"/>
                  <w:noWrap w:val="0"/>
                  <w:vAlign w:val="center"/>
                </w:tcPr>
                <w:p w14:paraId="22149097">
                  <w:pPr>
                    <w:keepNext w:val="0"/>
                    <w:keepLines w:val="0"/>
                    <w:pageBreakBefore w:val="0"/>
                    <w:kinsoku/>
                    <w:wordWrap w:val="0"/>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kern w:val="0"/>
                      <w:sz w:val="21"/>
                      <w:szCs w:val="21"/>
                      <w:u w:val="none"/>
                    </w:rPr>
                  </w:pPr>
                  <w:r>
                    <w:rPr>
                      <w:rFonts w:hint="default" w:ascii="Times New Roman" w:hAnsi="Times New Roman" w:eastAsia="宋体" w:cs="Times New Roman"/>
                      <w:color w:val="000000"/>
                      <w:kern w:val="0"/>
                      <w:sz w:val="21"/>
                      <w:szCs w:val="21"/>
                      <w:u w:val="none"/>
                    </w:rPr>
                    <w:t>/</w:t>
                  </w:r>
                </w:p>
              </w:tc>
            </w:tr>
          </w:tbl>
          <w:p w14:paraId="17F06005">
            <w:pPr>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eastAsia="宋体"/>
                <w:lang w:eastAsia="zh-CN"/>
              </w:rPr>
            </w:pPr>
            <w:r>
              <w:rPr>
                <w:rFonts w:hint="eastAsia" w:eastAsia="宋体"/>
                <w:lang w:eastAsia="zh-CN"/>
              </w:rPr>
              <w:object>
                <v:shape id="_x0000_i1025" o:spt="75" type="#_x0000_t75" style="height:486.55pt;width:432.5pt;" o:ole="t" filled="f" o:preferrelative="t" stroked="f" coordsize="21600,21600">
                  <v:path/>
                  <v:fill on="f" focussize="0,0"/>
                  <v:stroke on="f"/>
                  <v:imagedata r:id="rId25" o:title=""/>
                  <o:lock v:ext="edit" aspectratio="f"/>
                  <w10:wrap type="none"/>
                  <w10:anchorlock/>
                </v:shape>
                <o:OLEObject Type="Embed" ProgID="Visio.Drawing.15" ShapeID="_x0000_i1025" DrawAspect="Content" ObjectID="_1468075725" r:id="rId24">
                  <o:LockedField>false</o:LockedField>
                </o:OLEObject>
              </w:object>
            </w:r>
          </w:p>
          <w:p w14:paraId="5679CFEA">
            <w:pPr>
              <w:keepNext w:val="0"/>
              <w:keepLines w:val="0"/>
              <w:pageBreakBefore w:val="0"/>
              <w:widowControl w:val="0"/>
              <w:numPr>
                <w:ilvl w:val="0"/>
                <w:numId w:val="6"/>
              </w:numPr>
              <w:kinsoku/>
              <w:wordWrap w:val="0"/>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b/>
                <w:bCs/>
                <w:sz w:val="21"/>
                <w:szCs w:val="21"/>
                <w:highlight w:val="none"/>
                <w:u w:val="single"/>
                <w:lang w:val="en-US" w:eastAsia="zh-CN"/>
              </w:rPr>
            </w:pPr>
            <w:r>
              <w:rPr>
                <w:rFonts w:hint="default" w:ascii="Times New Roman" w:hAnsi="Times New Roman" w:cs="Times New Roman"/>
                <w:b/>
                <w:bCs/>
                <w:sz w:val="21"/>
                <w:szCs w:val="21"/>
                <w:highlight w:val="none"/>
                <w:u w:val="single"/>
                <w:lang w:val="en-US" w:eastAsia="zh-CN"/>
              </w:rPr>
              <w:t>水平衡图</w:t>
            </w:r>
            <w:r>
              <w:rPr>
                <w:rFonts w:hint="eastAsia" w:ascii="Times New Roman" w:hAnsi="Times New Roman" w:cs="Times New Roman"/>
                <w:b/>
                <w:bCs/>
                <w:sz w:val="21"/>
                <w:szCs w:val="21"/>
                <w:highlight w:val="none"/>
                <w:u w:val="single"/>
                <w:lang w:val="en-US" w:eastAsia="zh-CN"/>
              </w:rPr>
              <w:t>（单位：</w:t>
            </w:r>
            <w:r>
              <w:rPr>
                <w:rFonts w:hint="eastAsia" w:cs="Times New Roman"/>
                <w:b/>
                <w:bCs/>
                <w:sz w:val="21"/>
                <w:szCs w:val="21"/>
                <w:highlight w:val="none"/>
                <w:u w:val="single"/>
                <w:lang w:val="en-US" w:eastAsia="zh-CN"/>
              </w:rPr>
              <w:t>m</w:t>
            </w:r>
            <w:r>
              <w:rPr>
                <w:rFonts w:hint="eastAsia" w:cs="Times New Roman"/>
                <w:b/>
                <w:bCs/>
                <w:sz w:val="21"/>
                <w:szCs w:val="21"/>
                <w:highlight w:val="none"/>
                <w:u w:val="single"/>
                <w:vertAlign w:val="superscript"/>
                <w:lang w:val="en-US" w:eastAsia="zh-CN"/>
              </w:rPr>
              <w:t>3</w:t>
            </w:r>
            <w:r>
              <w:rPr>
                <w:rFonts w:hint="eastAsia" w:ascii="Times New Roman" w:hAnsi="Times New Roman" w:cs="Times New Roman"/>
                <w:b/>
                <w:bCs/>
                <w:sz w:val="21"/>
                <w:szCs w:val="21"/>
                <w:highlight w:val="none"/>
                <w:u w:val="single"/>
                <w:lang w:val="en-US" w:eastAsia="zh-CN"/>
              </w:rPr>
              <w:t>/</w:t>
            </w:r>
            <w:r>
              <w:rPr>
                <w:rFonts w:hint="eastAsia" w:cs="Times New Roman"/>
                <w:b/>
                <w:bCs/>
                <w:sz w:val="21"/>
                <w:szCs w:val="21"/>
                <w:highlight w:val="none"/>
                <w:u w:val="single"/>
                <w:lang w:val="en-US" w:eastAsia="zh-CN"/>
              </w:rPr>
              <w:t>d</w:t>
            </w:r>
            <w:r>
              <w:rPr>
                <w:rFonts w:hint="eastAsia" w:ascii="Times New Roman" w:hAnsi="Times New Roman" w:cs="Times New Roman"/>
                <w:b/>
                <w:bCs/>
                <w:sz w:val="21"/>
                <w:szCs w:val="21"/>
                <w:highlight w:val="none"/>
                <w:u w:val="single"/>
                <w:lang w:val="en-US" w:eastAsia="zh-CN"/>
              </w:rPr>
              <w:t>）</w:t>
            </w:r>
          </w:p>
          <w:p w14:paraId="06904775">
            <w:pPr>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lang w:val="en-US" w:eastAsia="zh-CN"/>
              </w:rPr>
              <w:t>四、</w:t>
            </w:r>
            <w:r>
              <w:rPr>
                <w:rFonts w:hint="eastAsia" w:ascii="Times New Roman" w:hAnsi="Times New Roman" w:eastAsia="宋体" w:cs="Times New Roman"/>
                <w:b/>
                <w:color w:val="auto"/>
                <w:sz w:val="24"/>
                <w:szCs w:val="24"/>
              </w:rPr>
              <w:t>劳动定员及生产班制</w:t>
            </w:r>
          </w:p>
          <w:p w14:paraId="135B9782">
            <w:pPr>
              <w:ind w:firstLine="480"/>
              <w:rPr>
                <w:rFonts w:hint="eastAsia"/>
                <w:color w:val="auto"/>
                <w:sz w:val="24"/>
                <w:szCs w:val="24"/>
              </w:rPr>
            </w:pPr>
            <w:r>
              <w:rPr>
                <w:sz w:val="24"/>
                <w:szCs w:val="24"/>
                <w:u w:val="none"/>
              </w:rPr>
              <w:t>本项目劳动定员</w:t>
            </w:r>
            <w:r>
              <w:rPr>
                <w:rFonts w:hint="eastAsia"/>
                <w:sz w:val="24"/>
                <w:szCs w:val="24"/>
                <w:u w:val="none"/>
                <w:lang w:val="en-US" w:eastAsia="zh-CN"/>
              </w:rPr>
              <w:t>100</w:t>
            </w:r>
            <w:r>
              <w:rPr>
                <w:sz w:val="24"/>
                <w:szCs w:val="24"/>
                <w:u w:val="none"/>
              </w:rPr>
              <w:t>人，年工作3</w:t>
            </w:r>
            <w:r>
              <w:rPr>
                <w:rFonts w:hint="eastAsia"/>
                <w:sz w:val="24"/>
                <w:szCs w:val="24"/>
                <w:u w:val="none"/>
                <w:lang w:val="en-US" w:eastAsia="zh-CN"/>
              </w:rPr>
              <w:t>2</w:t>
            </w:r>
            <w:r>
              <w:rPr>
                <w:sz w:val="24"/>
                <w:szCs w:val="24"/>
                <w:u w:val="none"/>
              </w:rPr>
              <w:t>0天，</w:t>
            </w:r>
            <w:r>
              <w:rPr>
                <w:rFonts w:hint="eastAsia"/>
                <w:sz w:val="24"/>
                <w:szCs w:val="24"/>
                <w:u w:val="none"/>
                <w:lang w:val="en-US" w:eastAsia="zh-CN"/>
              </w:rPr>
              <w:t>每</w:t>
            </w:r>
            <w:r>
              <w:rPr>
                <w:sz w:val="24"/>
                <w:szCs w:val="24"/>
                <w:u w:val="none"/>
              </w:rPr>
              <w:t>天工作8小时。</w:t>
            </w:r>
          </w:p>
          <w:p w14:paraId="5BBDA594">
            <w:pPr>
              <w:keepNext w:val="0"/>
              <w:keepLines w:val="0"/>
              <w:pageBreakBefore w:val="0"/>
              <w:widowControl w:val="0"/>
              <w:kinsoku/>
              <w:wordWrap w:val="0"/>
              <w:overflowPunct/>
              <w:topLinePunct w:val="0"/>
              <w:autoSpaceDE/>
              <w:autoSpaceDN/>
              <w:bidi w:val="0"/>
              <w:adjustRightInd/>
              <w:snapToGrid/>
              <w:ind w:firstLine="0" w:firstLineChars="0"/>
              <w:textAlignment w:val="auto"/>
              <w:rPr>
                <w:b/>
                <w:color w:val="auto"/>
                <w:sz w:val="24"/>
                <w:szCs w:val="24"/>
              </w:rPr>
            </w:pPr>
            <w:r>
              <w:rPr>
                <w:rFonts w:hint="eastAsia"/>
                <w:b/>
                <w:color w:val="auto"/>
                <w:sz w:val="24"/>
                <w:szCs w:val="24"/>
                <w:lang w:val="en-US" w:eastAsia="zh-CN"/>
              </w:rPr>
              <w:t>五</w:t>
            </w:r>
            <w:r>
              <w:rPr>
                <w:rFonts w:hint="eastAsia"/>
                <w:b/>
                <w:color w:val="auto"/>
                <w:sz w:val="24"/>
                <w:szCs w:val="24"/>
              </w:rPr>
              <w:t>、选址及平面布置</w:t>
            </w:r>
          </w:p>
          <w:p w14:paraId="0CE018FD">
            <w:pPr>
              <w:keepNext w:val="0"/>
              <w:keepLines w:val="0"/>
              <w:pageBreakBefore w:val="0"/>
              <w:widowControl w:val="0"/>
              <w:kinsoku/>
              <w:wordWrap w:val="0"/>
              <w:overflowPunct/>
              <w:topLinePunct w:val="0"/>
              <w:autoSpaceDE/>
              <w:autoSpaceDN/>
              <w:bidi w:val="0"/>
              <w:adjustRightInd/>
              <w:snapToGrid/>
              <w:ind w:firstLine="0" w:firstLineChars="0"/>
              <w:textAlignment w:val="auto"/>
              <w:rPr>
                <w:b/>
                <w:bCs/>
                <w:color w:val="auto"/>
                <w:sz w:val="24"/>
                <w:szCs w:val="24"/>
              </w:rPr>
            </w:pPr>
            <w:r>
              <w:rPr>
                <w:rFonts w:hint="eastAsia"/>
                <w:b/>
                <w:bCs/>
                <w:color w:val="auto"/>
                <w:sz w:val="24"/>
                <w:szCs w:val="24"/>
              </w:rPr>
              <w:t>1.选址情况</w:t>
            </w:r>
          </w:p>
          <w:p w14:paraId="06A2BFD5">
            <w:pPr>
              <w:ind w:firstLine="480"/>
              <w:rPr>
                <w:color w:val="auto"/>
              </w:rPr>
            </w:pPr>
            <w:r>
              <w:rPr>
                <w:rFonts w:hAnsi="宋体"/>
                <w:bCs/>
                <w:color w:val="auto"/>
              </w:rPr>
              <w:t>本项目位于</w:t>
            </w:r>
            <w:r>
              <w:rPr>
                <w:rFonts w:hint="eastAsia" w:hAnsi="宋体"/>
                <w:bCs/>
                <w:color w:val="auto"/>
                <w:lang w:val="zh-CN"/>
              </w:rPr>
              <w:t>濮阳市南乐县</w:t>
            </w:r>
            <w:r>
              <w:rPr>
                <w:rFonts w:hint="eastAsia" w:hAnsi="宋体"/>
                <w:bCs/>
                <w:color w:val="auto"/>
                <w:lang w:val="en-US" w:eastAsia="zh-CN"/>
              </w:rPr>
              <w:t>鸿宇路5号</w:t>
            </w:r>
            <w:r>
              <w:rPr>
                <w:rFonts w:hAnsi="宋体"/>
                <w:bCs/>
                <w:color w:val="auto"/>
                <w:lang w:val="zh-CN"/>
              </w:rPr>
              <w:t>，</w:t>
            </w:r>
            <w:r>
              <w:rPr>
                <w:rFonts w:hint="eastAsia"/>
                <w:color w:val="auto"/>
              </w:rPr>
              <w:t>经现场踏勘，项目周边交通运输便利，具有良好的投资和发展环境。距离项目最近的敏感环境目标为项目</w:t>
            </w:r>
            <w:r>
              <w:rPr>
                <w:rFonts w:hint="eastAsia"/>
                <w:color w:val="auto"/>
                <w:lang w:val="en-US" w:eastAsia="zh-CN"/>
              </w:rPr>
              <w:t>东南</w:t>
            </w:r>
            <w:r>
              <w:rPr>
                <w:rFonts w:hint="eastAsia"/>
                <w:color w:val="auto"/>
              </w:rPr>
              <w:t>侧约</w:t>
            </w:r>
            <w:r>
              <w:rPr>
                <w:rFonts w:hint="eastAsia"/>
                <w:color w:val="auto"/>
                <w:lang w:val="en-US" w:eastAsia="zh-CN"/>
              </w:rPr>
              <w:t>400</w:t>
            </w:r>
            <w:r>
              <w:rPr>
                <w:rFonts w:hint="eastAsia"/>
                <w:color w:val="auto"/>
              </w:rPr>
              <w:t>m处的</w:t>
            </w:r>
            <w:r>
              <w:rPr>
                <w:rFonts w:hint="eastAsia"/>
                <w:color w:val="auto"/>
                <w:lang w:val="en-US" w:eastAsia="zh-CN"/>
              </w:rPr>
              <w:t>徐屯村</w:t>
            </w:r>
            <w:r>
              <w:rPr>
                <w:rFonts w:hint="eastAsia"/>
                <w:color w:val="auto"/>
              </w:rPr>
              <w:t>。项目厂址周围评价范围内无特殊保护文物古迹、自然保护区和特殊环境制约因素，本项目选址符合南乐县“三线一单”要求。</w:t>
            </w:r>
          </w:p>
          <w:p w14:paraId="6FED4A3D">
            <w:pPr>
              <w:keepNext w:val="0"/>
              <w:keepLines w:val="0"/>
              <w:pageBreakBefore w:val="0"/>
              <w:widowControl w:val="0"/>
              <w:kinsoku/>
              <w:wordWrap w:val="0"/>
              <w:overflowPunct/>
              <w:topLinePunct w:val="0"/>
              <w:autoSpaceDE/>
              <w:autoSpaceDN/>
              <w:bidi w:val="0"/>
              <w:adjustRightInd/>
              <w:snapToGrid/>
              <w:ind w:firstLine="0" w:firstLineChars="0"/>
              <w:textAlignment w:val="auto"/>
              <w:rPr>
                <w:b/>
                <w:bCs/>
                <w:color w:val="auto"/>
              </w:rPr>
            </w:pPr>
            <w:r>
              <w:rPr>
                <w:rFonts w:hint="eastAsia"/>
                <w:b/>
                <w:bCs/>
                <w:color w:val="auto"/>
              </w:rPr>
              <w:t>2.平面布置情况</w:t>
            </w:r>
          </w:p>
          <w:p w14:paraId="123918A7">
            <w:pPr>
              <w:keepNext w:val="0"/>
              <w:keepLines w:val="0"/>
              <w:pageBreakBefore w:val="0"/>
              <w:widowControl w:val="0"/>
              <w:kinsoku/>
              <w:wordWrap w:val="0"/>
              <w:overflowPunct/>
              <w:topLinePunct w:val="0"/>
              <w:autoSpaceDE/>
              <w:autoSpaceDN/>
              <w:bidi w:val="0"/>
              <w:adjustRightInd/>
              <w:snapToGrid/>
              <w:ind w:left="0" w:leftChars="0" w:firstLine="480" w:firstLineChars="200"/>
              <w:textAlignment w:val="auto"/>
              <w:rPr>
                <w:color w:val="auto"/>
              </w:rPr>
            </w:pPr>
            <w:r>
              <w:rPr>
                <w:rFonts w:hint="eastAsia"/>
                <w:color w:val="auto"/>
                <w:sz w:val="24"/>
                <w:szCs w:val="24"/>
              </w:rPr>
              <w:t>本项目</w:t>
            </w:r>
            <w:r>
              <w:rPr>
                <w:rFonts w:hint="eastAsia"/>
                <w:color w:val="auto"/>
                <w:sz w:val="24"/>
                <w:szCs w:val="24"/>
                <w:lang w:val="en-US" w:eastAsia="zh-CN"/>
              </w:rPr>
              <w:t>租用南乐县中成园区运营管理有限公司土地进行建设，对地块上已有的1栋办公楼、1座食堂、两栋空厂房进行建设并布置。其中1#建筑物共1F，布置有普通中药饮片车间（含发酵车间），总建筑面积1680m</w:t>
            </w:r>
            <w:r>
              <w:rPr>
                <w:rFonts w:hint="eastAsia"/>
                <w:color w:val="auto"/>
                <w:sz w:val="24"/>
                <w:szCs w:val="24"/>
                <w:vertAlign w:val="superscript"/>
                <w:lang w:val="en-US" w:eastAsia="zh-CN"/>
              </w:rPr>
              <w:t>2</w:t>
            </w:r>
            <w:r>
              <w:rPr>
                <w:rFonts w:hint="eastAsia"/>
                <w:color w:val="auto"/>
                <w:sz w:val="24"/>
                <w:szCs w:val="24"/>
                <w:lang w:val="en-US" w:eastAsia="zh-CN"/>
              </w:rPr>
              <w:t>；口服饮片车间，总建筑面积800m</w:t>
            </w:r>
            <w:r>
              <w:rPr>
                <w:rFonts w:hint="eastAsia"/>
                <w:color w:val="auto"/>
                <w:sz w:val="24"/>
                <w:szCs w:val="24"/>
                <w:vertAlign w:val="superscript"/>
                <w:lang w:val="en-US" w:eastAsia="zh-CN"/>
              </w:rPr>
              <w:t>2</w:t>
            </w:r>
            <w:r>
              <w:rPr>
                <w:rFonts w:hint="eastAsia"/>
                <w:color w:val="auto"/>
                <w:sz w:val="24"/>
                <w:szCs w:val="24"/>
                <w:lang w:val="en-US" w:eastAsia="zh-CN"/>
              </w:rPr>
              <w:t>；毒性饮片车间（含发酵车间），总建筑面积319m</w:t>
            </w:r>
            <w:r>
              <w:rPr>
                <w:rFonts w:hint="eastAsia"/>
                <w:color w:val="auto"/>
                <w:sz w:val="24"/>
                <w:szCs w:val="24"/>
                <w:vertAlign w:val="superscript"/>
                <w:lang w:val="en-US" w:eastAsia="zh-CN"/>
              </w:rPr>
              <w:t>2</w:t>
            </w:r>
            <w:r>
              <w:rPr>
                <w:rFonts w:hint="eastAsia"/>
                <w:color w:val="auto"/>
                <w:sz w:val="24"/>
                <w:szCs w:val="24"/>
                <w:lang w:val="en-US" w:eastAsia="zh-CN"/>
              </w:rPr>
              <w:t>；丸剂车间，总建筑面积308m</w:t>
            </w:r>
            <w:r>
              <w:rPr>
                <w:rFonts w:hint="eastAsia"/>
                <w:color w:val="auto"/>
                <w:sz w:val="24"/>
                <w:szCs w:val="24"/>
                <w:vertAlign w:val="superscript"/>
                <w:lang w:val="en-US" w:eastAsia="zh-CN"/>
              </w:rPr>
              <w:t>2</w:t>
            </w:r>
            <w:r>
              <w:rPr>
                <w:rFonts w:hint="eastAsia"/>
                <w:color w:val="auto"/>
                <w:sz w:val="24"/>
                <w:szCs w:val="24"/>
                <w:vertAlign w:val="baseline"/>
                <w:lang w:val="en-US" w:eastAsia="zh-CN"/>
              </w:rPr>
              <w:t>；</w:t>
            </w:r>
            <w:r>
              <w:rPr>
                <w:rFonts w:hint="eastAsia"/>
                <w:color w:val="auto"/>
                <w:sz w:val="24"/>
                <w:szCs w:val="24"/>
                <w:lang w:val="en-US" w:eastAsia="zh-CN"/>
              </w:rPr>
              <w:t>2#建筑物布置有1座1F质检中心，总建筑面积720m</w:t>
            </w:r>
            <w:r>
              <w:rPr>
                <w:rFonts w:hint="eastAsia"/>
                <w:color w:val="auto"/>
                <w:sz w:val="24"/>
                <w:szCs w:val="24"/>
                <w:vertAlign w:val="superscript"/>
                <w:lang w:val="en-US" w:eastAsia="zh-CN"/>
              </w:rPr>
              <w:t>2</w:t>
            </w:r>
            <w:r>
              <w:rPr>
                <w:rFonts w:hint="eastAsia"/>
                <w:color w:val="auto"/>
                <w:sz w:val="24"/>
                <w:szCs w:val="24"/>
                <w:lang w:val="en-US" w:eastAsia="zh-CN"/>
              </w:rPr>
              <w:t>，其中一层为洁净区，主要布置有理化室、微生物检测、细菌培养室、留样室、预留室及办公室等；1座保健食品类生产车间，总建筑面积960m</w:t>
            </w:r>
            <w:r>
              <w:rPr>
                <w:rFonts w:hint="eastAsia"/>
                <w:color w:val="auto"/>
                <w:sz w:val="24"/>
                <w:szCs w:val="24"/>
                <w:vertAlign w:val="superscript"/>
                <w:lang w:val="en-US" w:eastAsia="zh-CN"/>
              </w:rPr>
              <w:t>2</w:t>
            </w:r>
            <w:r>
              <w:rPr>
                <w:rFonts w:hint="eastAsia"/>
                <w:color w:val="auto"/>
                <w:sz w:val="24"/>
                <w:szCs w:val="24"/>
                <w:vertAlign w:val="baseline"/>
                <w:lang w:val="en-US" w:eastAsia="zh-CN"/>
              </w:rPr>
              <w:t>；</w:t>
            </w:r>
            <w:r>
              <w:rPr>
                <w:rFonts w:hint="eastAsia"/>
                <w:color w:val="auto"/>
                <w:sz w:val="24"/>
                <w:szCs w:val="24"/>
                <w:lang w:val="en-US" w:eastAsia="zh-CN"/>
              </w:rPr>
              <w:t>1座2F仓储中心，总建筑面积1209m</w:t>
            </w:r>
            <w:r>
              <w:rPr>
                <w:rFonts w:hint="eastAsia"/>
                <w:color w:val="auto"/>
                <w:sz w:val="24"/>
                <w:szCs w:val="24"/>
                <w:vertAlign w:val="superscript"/>
                <w:lang w:val="en-US" w:eastAsia="zh-CN"/>
              </w:rPr>
              <w:t>2</w:t>
            </w:r>
            <w:r>
              <w:rPr>
                <w:rFonts w:hint="eastAsia"/>
                <w:color w:val="auto"/>
                <w:sz w:val="24"/>
                <w:szCs w:val="24"/>
                <w:lang w:val="en-US" w:eastAsia="zh-CN"/>
              </w:rPr>
              <w:t>；其中一层为普通饮片原料库、普通饮片成品库、食品原料库、食品类成品库；二层为饮片包装库、不合格品库、食品包材库、辅料库、毒性药材库、毒性饮片成品库以及3个备用库</w:t>
            </w:r>
            <w:r>
              <w:rPr>
                <w:rFonts w:hint="eastAsia" w:ascii="Times New Roman" w:hAnsi="宋体" w:eastAsia="宋体" w:cs="Times New Roman"/>
                <w:bCs/>
                <w:color w:val="auto"/>
              </w:rPr>
              <w:t>：污水处理</w:t>
            </w:r>
            <w:r>
              <w:rPr>
                <w:rFonts w:hint="eastAsia" w:hAnsi="宋体" w:cs="Times New Roman"/>
                <w:bCs/>
                <w:color w:val="auto"/>
                <w:lang w:val="en-US" w:eastAsia="zh-CN"/>
              </w:rPr>
              <w:t>站</w:t>
            </w:r>
            <w:r>
              <w:rPr>
                <w:rFonts w:hint="eastAsia" w:ascii="Times New Roman" w:hAnsi="宋体" w:eastAsia="宋体" w:cs="Times New Roman"/>
                <w:bCs/>
                <w:color w:val="auto"/>
              </w:rPr>
              <w:t>位于</w:t>
            </w:r>
            <w:r>
              <w:rPr>
                <w:rFonts w:hint="eastAsia" w:hAnsi="宋体" w:cs="Times New Roman"/>
                <w:bCs/>
                <w:color w:val="auto"/>
                <w:lang w:val="en-US" w:eastAsia="zh-CN"/>
              </w:rPr>
              <w:t>厂区东南侧</w:t>
            </w:r>
            <w:r>
              <w:rPr>
                <w:rFonts w:hint="eastAsia" w:ascii="Times New Roman" w:hAnsi="宋体" w:eastAsia="宋体" w:cs="Times New Roman"/>
                <w:bCs/>
                <w:color w:val="auto"/>
              </w:rPr>
              <w:t>。各区域布置紧凑、功能完善，布设合理。</w:t>
            </w:r>
            <w:r>
              <w:rPr>
                <w:rFonts w:ascii="Times New Roman" w:hAnsi="宋体" w:eastAsia="宋体" w:cs="Times New Roman"/>
                <w:bCs/>
                <w:color w:val="auto"/>
              </w:rPr>
              <w:t>厂区总平面布置见附图</w:t>
            </w:r>
            <w:r>
              <w:rPr>
                <w:rFonts w:hint="eastAsia" w:hAnsi="宋体" w:cs="Times New Roman"/>
                <w:bCs/>
                <w:color w:val="auto"/>
                <w:lang w:val="en-US" w:eastAsia="zh-CN"/>
              </w:rPr>
              <w:t>5</w:t>
            </w:r>
            <w:r>
              <w:rPr>
                <w:rFonts w:ascii="Times New Roman" w:hAnsi="宋体" w:eastAsia="宋体" w:cs="Times New Roman"/>
                <w:bCs/>
                <w:color w:val="auto"/>
              </w:rPr>
              <w:t>。</w:t>
            </w:r>
          </w:p>
        </w:tc>
      </w:tr>
      <w:tr w14:paraId="2180B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80" w:hRule="atLeast"/>
          <w:jc w:val="center"/>
        </w:trPr>
        <w:tc>
          <w:tcPr>
            <w:tcW w:w="165" w:type="pct"/>
            <w:vAlign w:val="center"/>
          </w:tcPr>
          <w:p w14:paraId="7BA9F7DB">
            <w:pPr>
              <w:adjustRightInd w:val="0"/>
              <w:snapToGrid w:val="0"/>
              <w:spacing w:line="240" w:lineRule="auto"/>
              <w:ind w:firstLine="0" w:firstLineChars="0"/>
              <w:jc w:val="center"/>
              <w:rPr>
                <w:rFonts w:cs="宋体"/>
                <w:color w:val="auto"/>
              </w:rPr>
            </w:pPr>
            <w:r>
              <w:rPr>
                <w:rFonts w:hint="eastAsia" w:cs="宋体"/>
                <w:color w:val="auto"/>
              </w:rPr>
              <w:t>工艺流程和产排污环节</w:t>
            </w:r>
          </w:p>
        </w:tc>
        <w:tc>
          <w:tcPr>
            <w:tcW w:w="4834" w:type="pct"/>
          </w:tcPr>
          <w:p w14:paraId="5D274EB9">
            <w:pPr>
              <w:keepNext w:val="0"/>
              <w:keepLines w:val="0"/>
              <w:pageBreakBefore w:val="0"/>
              <w:widowControl w:val="0"/>
              <w:kinsoku/>
              <w:wordWrap w:val="0"/>
              <w:overflowPunct/>
              <w:topLinePunct w:val="0"/>
              <w:autoSpaceDE/>
              <w:autoSpaceDN/>
              <w:bidi w:val="0"/>
              <w:adjustRightInd w:val="0"/>
              <w:snapToGrid/>
              <w:spacing w:line="360" w:lineRule="auto"/>
              <w:ind w:firstLine="0" w:firstLineChars="0"/>
              <w:textAlignment w:val="auto"/>
              <w:rPr>
                <w:b/>
                <w:bCs/>
                <w:color w:val="auto"/>
              </w:rPr>
            </w:pPr>
            <w:r>
              <w:rPr>
                <w:rFonts w:hint="eastAsia"/>
                <w:b/>
                <w:bCs/>
                <w:color w:val="auto"/>
              </w:rPr>
              <w:t>一、施工期工艺流程</w:t>
            </w:r>
          </w:p>
          <w:p w14:paraId="52916BCC">
            <w:pPr>
              <w:keepNext w:val="0"/>
              <w:keepLines w:val="0"/>
              <w:pageBreakBefore w:val="0"/>
              <w:widowControl w:val="0"/>
              <w:kinsoku/>
              <w:wordWrap w:val="0"/>
              <w:overflowPunct/>
              <w:topLinePunct w:val="0"/>
              <w:bidi w:val="0"/>
              <w:snapToGrid/>
              <w:spacing w:line="360" w:lineRule="auto"/>
              <w:ind w:firstLine="480" w:firstLineChars="200"/>
              <w:textAlignment w:val="auto"/>
              <w:rPr>
                <w:rFonts w:hint="eastAsia" w:ascii="Times New Roman" w:hAnsi="Times New Roman" w:eastAsia="宋体" w:cs="Times New Roman"/>
                <w:color w:val="000000"/>
                <w:lang w:val="en-US" w:eastAsia="zh-CN"/>
              </w:rPr>
            </w:pPr>
            <w:r>
              <w:rPr>
                <w:rFonts w:hint="eastAsia"/>
                <w:color w:val="auto"/>
              </w:rPr>
              <w:t>本项目</w:t>
            </w:r>
            <w:r>
              <w:rPr>
                <w:rFonts w:hint="eastAsia"/>
                <w:color w:val="auto"/>
                <w:lang w:val="en-US" w:eastAsia="zh-CN"/>
              </w:rPr>
              <w:t>对场地内现有的1栋办公楼、2栋厂房进行重新装修利用，对场地南侧部分进行平整重建，</w:t>
            </w:r>
            <w:r>
              <w:rPr>
                <w:rFonts w:hint="eastAsia" w:ascii="Times New Roman" w:hAnsi="Times New Roman" w:eastAsia="宋体" w:cs="Times New Roman"/>
                <w:color w:val="000000"/>
                <w:lang w:val="en-US" w:eastAsia="zh-CN"/>
              </w:rPr>
              <w:t>其工艺流程及产污节点见</w:t>
            </w:r>
            <w:r>
              <w:rPr>
                <w:rFonts w:hint="eastAsia" w:cs="Times New Roman"/>
                <w:color w:val="000000"/>
                <w:lang w:val="en-US" w:eastAsia="zh-CN"/>
              </w:rPr>
              <w:t>下图。</w:t>
            </w:r>
          </w:p>
          <w:p w14:paraId="24727ED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lang w:val="en-US" w:eastAsia="zh-CN"/>
              </w:rPr>
            </w:pPr>
            <w:r>
              <w:drawing>
                <wp:inline distT="0" distB="0" distL="114300" distR="114300">
                  <wp:extent cx="4748530" cy="1731645"/>
                  <wp:effectExtent l="0" t="0" r="1270" b="8255"/>
                  <wp:docPr id="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pic:cNvPicPr>
                            <a:picLocks noChangeAspect="1"/>
                          </pic:cNvPicPr>
                        </pic:nvPicPr>
                        <pic:blipFill>
                          <a:blip r:embed="rId26"/>
                          <a:stretch>
                            <a:fillRect/>
                          </a:stretch>
                        </pic:blipFill>
                        <pic:spPr>
                          <a:xfrm>
                            <a:off x="0" y="0"/>
                            <a:ext cx="4748530" cy="1731645"/>
                          </a:xfrm>
                          <a:prstGeom prst="rect">
                            <a:avLst/>
                          </a:prstGeom>
                          <a:noFill/>
                          <a:ln>
                            <a:noFill/>
                          </a:ln>
                        </pic:spPr>
                      </pic:pic>
                    </a:graphicData>
                  </a:graphic>
                </wp:inline>
              </w:drawing>
            </w:r>
          </w:p>
          <w:p w14:paraId="1CF33379">
            <w:pPr>
              <w:keepNext w:val="0"/>
              <w:keepLines w:val="0"/>
              <w:pageBreakBefore w:val="0"/>
              <w:widowControl w:val="0"/>
              <w:numPr>
                <w:ilvl w:val="0"/>
                <w:numId w:val="6"/>
              </w:numPr>
              <w:kinsoku/>
              <w:wordWrap w:val="0"/>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施工流程及产污节点图</w:t>
            </w:r>
          </w:p>
          <w:p w14:paraId="3C55D664">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项目建设期产生的环境影响因子有废气、 废水、 噪声、 固体废弃物等， 主要的污染工序如下：</w:t>
            </w:r>
          </w:p>
          <w:p w14:paraId="18EF1022">
            <w:pPr>
              <w:pStyle w:val="19"/>
              <w:rPr>
                <w:rFonts w:hint="eastAsia"/>
              </w:rPr>
            </w:pPr>
          </w:p>
          <w:p w14:paraId="26FEC751">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425" w:leftChars="0" w:hanging="425" w:firstLineChars="0"/>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施工期主要污染工序</w:t>
            </w:r>
          </w:p>
          <w:tbl>
            <w:tblPr>
              <w:tblStyle w:val="20"/>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1146"/>
              <w:gridCol w:w="1611"/>
              <w:gridCol w:w="2332"/>
              <w:gridCol w:w="3486"/>
            </w:tblGrid>
            <w:tr w14:paraId="191709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668" w:type="pct"/>
                  <w:vAlign w:val="center"/>
                </w:tcPr>
                <w:p w14:paraId="46A2140F">
                  <w:pPr>
                    <w:keepNext w:val="0"/>
                    <w:keepLines w:val="0"/>
                    <w:pageBreakBefore w:val="0"/>
                    <w:widowControl w:val="0"/>
                    <w:kinsoku/>
                    <w:wordWrap w:val="0"/>
                    <w:overflowPunct/>
                    <w:topLinePunct w:val="0"/>
                    <w:autoSpaceDE/>
                    <w:autoSpaceDN/>
                    <w:bidi w:val="0"/>
                    <w:adjustRightInd/>
                    <w:snapToGrid/>
                    <w:spacing w:before="0" w:after="0" w:line="0" w:lineRule="atLeast"/>
                    <w:ind w:left="0" w:right="0" w:firstLine="0" w:firstLineChars="0"/>
                    <w:jc w:val="center"/>
                    <w:textAlignment w:val="baseline"/>
                    <w:rPr>
                      <w:rFonts w:hint="default" w:ascii="Times New Roman" w:hAnsi="Times New Roman" w:cs="Times New Roman"/>
                      <w:sz w:val="21"/>
                      <w:szCs w:val="21"/>
                    </w:rPr>
                  </w:pPr>
                  <w:r>
                    <w:rPr>
                      <w:rFonts w:hint="default" w:ascii="Times New Roman" w:hAnsi="Times New Roman" w:eastAsia="宋体" w:cs="Times New Roman"/>
                      <w:b w:val="0"/>
                      <w:i w:val="0"/>
                      <w:color w:val="000000"/>
                      <w:sz w:val="21"/>
                      <w:szCs w:val="21"/>
                    </w:rPr>
                    <w:t>名称</w:t>
                  </w:r>
                </w:p>
              </w:tc>
              <w:tc>
                <w:tcPr>
                  <w:tcW w:w="939" w:type="pct"/>
                  <w:vAlign w:val="center"/>
                </w:tcPr>
                <w:p w14:paraId="413D030D">
                  <w:pPr>
                    <w:keepNext w:val="0"/>
                    <w:keepLines w:val="0"/>
                    <w:pageBreakBefore w:val="0"/>
                    <w:widowControl w:val="0"/>
                    <w:kinsoku/>
                    <w:wordWrap w:val="0"/>
                    <w:overflowPunct/>
                    <w:topLinePunct w:val="0"/>
                    <w:autoSpaceDE/>
                    <w:autoSpaceDN/>
                    <w:bidi w:val="0"/>
                    <w:adjustRightInd/>
                    <w:snapToGrid/>
                    <w:spacing w:before="0" w:after="0" w:line="0" w:lineRule="atLeast"/>
                    <w:ind w:left="0" w:right="0" w:firstLine="0" w:firstLineChars="0"/>
                    <w:jc w:val="center"/>
                    <w:textAlignment w:val="baseline"/>
                    <w:rPr>
                      <w:rFonts w:hint="default" w:ascii="Times New Roman" w:hAnsi="Times New Roman" w:cs="Times New Roman"/>
                      <w:sz w:val="21"/>
                      <w:szCs w:val="21"/>
                    </w:rPr>
                  </w:pPr>
                  <w:r>
                    <w:rPr>
                      <w:rFonts w:hint="default" w:ascii="Times New Roman" w:hAnsi="Times New Roman" w:eastAsia="宋体" w:cs="Times New Roman"/>
                      <w:b w:val="0"/>
                      <w:i w:val="0"/>
                      <w:color w:val="000000"/>
                      <w:sz w:val="21"/>
                      <w:szCs w:val="21"/>
                    </w:rPr>
                    <w:t>污染</w:t>
                  </w:r>
                </w:p>
              </w:tc>
              <w:tc>
                <w:tcPr>
                  <w:tcW w:w="1359" w:type="pct"/>
                  <w:vAlign w:val="center"/>
                </w:tcPr>
                <w:p w14:paraId="3B7B5A10">
                  <w:pPr>
                    <w:keepNext w:val="0"/>
                    <w:keepLines w:val="0"/>
                    <w:pageBreakBefore w:val="0"/>
                    <w:widowControl w:val="0"/>
                    <w:kinsoku/>
                    <w:wordWrap w:val="0"/>
                    <w:overflowPunct/>
                    <w:topLinePunct w:val="0"/>
                    <w:autoSpaceDE/>
                    <w:autoSpaceDN/>
                    <w:bidi w:val="0"/>
                    <w:adjustRightInd/>
                    <w:snapToGrid/>
                    <w:spacing w:before="0" w:after="0" w:line="0" w:lineRule="atLeast"/>
                    <w:ind w:left="0" w:right="0" w:firstLine="0" w:firstLineChars="0"/>
                    <w:jc w:val="center"/>
                    <w:textAlignment w:val="baseline"/>
                    <w:rPr>
                      <w:rFonts w:hint="default" w:ascii="Times New Roman" w:hAnsi="Times New Roman" w:cs="Times New Roman"/>
                      <w:sz w:val="21"/>
                      <w:szCs w:val="21"/>
                    </w:rPr>
                  </w:pPr>
                  <w:r>
                    <w:rPr>
                      <w:rFonts w:hint="default" w:ascii="Times New Roman" w:hAnsi="Times New Roman" w:eastAsia="宋体" w:cs="Times New Roman"/>
                      <w:b w:val="0"/>
                      <w:i w:val="0"/>
                      <w:color w:val="000000"/>
                      <w:sz w:val="21"/>
                      <w:szCs w:val="21"/>
                    </w:rPr>
                    <w:t>主要污染物</w:t>
                  </w:r>
                </w:p>
              </w:tc>
              <w:tc>
                <w:tcPr>
                  <w:tcW w:w="2032" w:type="pct"/>
                  <w:vAlign w:val="center"/>
                </w:tcPr>
                <w:p w14:paraId="70CE1C91">
                  <w:pPr>
                    <w:keepNext w:val="0"/>
                    <w:keepLines w:val="0"/>
                    <w:pageBreakBefore w:val="0"/>
                    <w:widowControl w:val="0"/>
                    <w:kinsoku/>
                    <w:wordWrap w:val="0"/>
                    <w:overflowPunct/>
                    <w:topLinePunct w:val="0"/>
                    <w:autoSpaceDE/>
                    <w:autoSpaceDN/>
                    <w:bidi w:val="0"/>
                    <w:adjustRightInd/>
                    <w:snapToGrid/>
                    <w:spacing w:before="0" w:after="0" w:line="0" w:lineRule="atLeast"/>
                    <w:ind w:left="0" w:right="0" w:firstLine="0" w:firstLineChars="0"/>
                    <w:jc w:val="center"/>
                    <w:textAlignment w:val="baseline"/>
                    <w:rPr>
                      <w:rFonts w:hint="default" w:ascii="Times New Roman" w:hAnsi="Times New Roman" w:cs="Times New Roman"/>
                      <w:sz w:val="21"/>
                      <w:szCs w:val="21"/>
                    </w:rPr>
                  </w:pPr>
                  <w:r>
                    <w:rPr>
                      <w:rFonts w:hint="default" w:ascii="Times New Roman" w:hAnsi="Times New Roman" w:eastAsia="宋体" w:cs="Times New Roman"/>
                      <w:b w:val="0"/>
                      <w:i w:val="0"/>
                      <w:color w:val="000000"/>
                      <w:sz w:val="21"/>
                      <w:szCs w:val="21"/>
                    </w:rPr>
                    <w:t>产物环节</w:t>
                  </w:r>
                </w:p>
              </w:tc>
            </w:tr>
            <w:tr w14:paraId="228E98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20" w:hRule="atLeast"/>
                <w:jc w:val="center"/>
              </w:trPr>
              <w:tc>
                <w:tcPr>
                  <w:tcW w:w="668" w:type="pct"/>
                  <w:vMerge w:val="restart"/>
                  <w:vAlign w:val="center"/>
                </w:tcPr>
                <w:p w14:paraId="0100F615">
                  <w:pPr>
                    <w:keepNext w:val="0"/>
                    <w:keepLines w:val="0"/>
                    <w:pageBreakBefore w:val="0"/>
                    <w:widowControl w:val="0"/>
                    <w:kinsoku/>
                    <w:wordWrap w:val="0"/>
                    <w:overflowPunct/>
                    <w:topLinePunct w:val="0"/>
                    <w:autoSpaceDE/>
                    <w:autoSpaceDN/>
                    <w:bidi w:val="0"/>
                    <w:adjustRightInd/>
                    <w:snapToGrid/>
                    <w:spacing w:before="0" w:after="0" w:line="0" w:lineRule="atLeast"/>
                    <w:ind w:left="0" w:right="0" w:firstLine="0" w:firstLineChars="0"/>
                    <w:jc w:val="center"/>
                    <w:textAlignment w:val="baseline"/>
                    <w:rPr>
                      <w:rFonts w:hint="default" w:ascii="Times New Roman" w:hAnsi="Times New Roman" w:cs="Times New Roman"/>
                      <w:sz w:val="21"/>
                      <w:szCs w:val="21"/>
                    </w:rPr>
                  </w:pPr>
                  <w:r>
                    <w:rPr>
                      <w:rFonts w:hint="default" w:ascii="Times New Roman" w:hAnsi="Times New Roman" w:eastAsia="宋体" w:cs="Times New Roman"/>
                      <w:b w:val="0"/>
                      <w:i w:val="0"/>
                      <w:color w:val="000000"/>
                      <w:sz w:val="21"/>
                      <w:szCs w:val="21"/>
                    </w:rPr>
                    <w:t>施工期</w:t>
                  </w:r>
                </w:p>
              </w:tc>
              <w:tc>
                <w:tcPr>
                  <w:tcW w:w="939" w:type="pct"/>
                  <w:vMerge w:val="restart"/>
                  <w:vAlign w:val="center"/>
                </w:tcPr>
                <w:p w14:paraId="06E4B883">
                  <w:pPr>
                    <w:keepNext w:val="0"/>
                    <w:keepLines w:val="0"/>
                    <w:pageBreakBefore w:val="0"/>
                    <w:widowControl w:val="0"/>
                    <w:kinsoku/>
                    <w:wordWrap w:val="0"/>
                    <w:overflowPunct/>
                    <w:topLinePunct w:val="0"/>
                    <w:autoSpaceDE/>
                    <w:autoSpaceDN/>
                    <w:bidi w:val="0"/>
                    <w:adjustRightInd/>
                    <w:snapToGrid/>
                    <w:spacing w:before="0" w:after="0" w:line="0" w:lineRule="atLeast"/>
                    <w:ind w:left="0" w:right="0" w:firstLine="0" w:firstLineChars="0"/>
                    <w:jc w:val="center"/>
                    <w:textAlignment w:val="baseline"/>
                    <w:rPr>
                      <w:rFonts w:hint="default" w:ascii="Times New Roman" w:hAnsi="Times New Roman" w:cs="Times New Roman"/>
                      <w:sz w:val="21"/>
                      <w:szCs w:val="21"/>
                    </w:rPr>
                  </w:pPr>
                  <w:r>
                    <w:rPr>
                      <w:rFonts w:hint="default" w:ascii="Times New Roman" w:hAnsi="Times New Roman" w:eastAsia="宋体" w:cs="Times New Roman"/>
                      <w:b w:val="0"/>
                      <w:i w:val="0"/>
                      <w:color w:val="000000"/>
                      <w:sz w:val="21"/>
                      <w:szCs w:val="21"/>
                    </w:rPr>
                    <w:t>废气</w:t>
                  </w:r>
                </w:p>
              </w:tc>
              <w:tc>
                <w:tcPr>
                  <w:tcW w:w="1359" w:type="pct"/>
                  <w:vAlign w:val="center"/>
                </w:tcPr>
                <w:p w14:paraId="3DBBFBA3">
                  <w:pPr>
                    <w:keepNext w:val="0"/>
                    <w:keepLines w:val="0"/>
                    <w:pageBreakBefore w:val="0"/>
                    <w:widowControl w:val="0"/>
                    <w:kinsoku/>
                    <w:wordWrap w:val="0"/>
                    <w:overflowPunct/>
                    <w:topLinePunct w:val="0"/>
                    <w:autoSpaceDE/>
                    <w:autoSpaceDN/>
                    <w:bidi w:val="0"/>
                    <w:adjustRightInd/>
                    <w:snapToGrid/>
                    <w:spacing w:before="0" w:after="0" w:line="0" w:lineRule="atLeast"/>
                    <w:ind w:left="0" w:right="0" w:firstLine="0" w:firstLineChars="0"/>
                    <w:jc w:val="center"/>
                    <w:textAlignment w:val="baseline"/>
                    <w:rPr>
                      <w:rFonts w:hint="default" w:ascii="Times New Roman" w:hAnsi="Times New Roman" w:cs="Times New Roman"/>
                      <w:sz w:val="21"/>
                      <w:szCs w:val="21"/>
                    </w:rPr>
                  </w:pPr>
                  <w:r>
                    <w:rPr>
                      <w:rFonts w:hint="default" w:ascii="Times New Roman" w:hAnsi="Times New Roman" w:eastAsia="宋体" w:cs="Times New Roman"/>
                      <w:b w:val="0"/>
                      <w:i w:val="0"/>
                      <w:color w:val="000000"/>
                      <w:sz w:val="21"/>
                      <w:szCs w:val="21"/>
                    </w:rPr>
                    <w:t>CO、NOx</w:t>
                  </w:r>
                </w:p>
              </w:tc>
              <w:tc>
                <w:tcPr>
                  <w:tcW w:w="2032" w:type="pct"/>
                  <w:vAlign w:val="center"/>
                </w:tcPr>
                <w:p w14:paraId="61295C16">
                  <w:pPr>
                    <w:keepNext w:val="0"/>
                    <w:keepLines w:val="0"/>
                    <w:pageBreakBefore w:val="0"/>
                    <w:widowControl w:val="0"/>
                    <w:kinsoku/>
                    <w:wordWrap w:val="0"/>
                    <w:overflowPunct/>
                    <w:topLinePunct w:val="0"/>
                    <w:autoSpaceDE/>
                    <w:autoSpaceDN/>
                    <w:bidi w:val="0"/>
                    <w:adjustRightInd/>
                    <w:snapToGrid/>
                    <w:spacing w:before="0" w:after="0" w:line="0" w:lineRule="atLeast"/>
                    <w:ind w:left="0" w:right="0" w:firstLine="0" w:firstLineChars="0"/>
                    <w:jc w:val="center"/>
                    <w:textAlignment w:val="baseline"/>
                    <w:rPr>
                      <w:rFonts w:hint="default" w:ascii="Times New Roman" w:hAnsi="Times New Roman" w:cs="Times New Roman"/>
                      <w:sz w:val="21"/>
                      <w:szCs w:val="21"/>
                    </w:rPr>
                  </w:pPr>
                  <w:r>
                    <w:rPr>
                      <w:rFonts w:hint="default" w:ascii="Times New Roman" w:hAnsi="Times New Roman" w:eastAsia="宋体" w:cs="Times New Roman"/>
                      <w:b w:val="0"/>
                      <w:i w:val="0"/>
                      <w:color w:val="000000"/>
                      <w:sz w:val="21"/>
                      <w:szCs w:val="21"/>
                    </w:rPr>
                    <w:t>运输车辆尾气</w:t>
                  </w:r>
                </w:p>
              </w:tc>
            </w:tr>
            <w:tr w14:paraId="383F3E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60" w:hRule="atLeast"/>
                <w:jc w:val="center"/>
              </w:trPr>
              <w:tc>
                <w:tcPr>
                  <w:tcW w:w="668" w:type="pct"/>
                  <w:vMerge w:val="continue"/>
                </w:tcPr>
                <w:p w14:paraId="7C925C21">
                  <w:pPr>
                    <w:keepNext w:val="0"/>
                    <w:keepLines w:val="0"/>
                    <w:pageBreakBefore w:val="0"/>
                    <w:widowControl w:val="0"/>
                    <w:kinsoku/>
                    <w:wordWrap w:val="0"/>
                    <w:overflowPunct/>
                    <w:topLinePunct w:val="0"/>
                    <w:autoSpaceDE/>
                    <w:autoSpaceDN/>
                    <w:bidi w:val="0"/>
                    <w:adjustRightInd/>
                    <w:snapToGrid/>
                    <w:spacing w:line="0" w:lineRule="atLeast"/>
                    <w:ind w:firstLine="0" w:firstLineChars="0"/>
                    <w:rPr>
                      <w:rFonts w:hint="default" w:ascii="Times New Roman" w:hAnsi="Times New Roman" w:cs="Times New Roman"/>
                      <w:sz w:val="21"/>
                      <w:szCs w:val="21"/>
                    </w:rPr>
                  </w:pPr>
                </w:p>
              </w:tc>
              <w:tc>
                <w:tcPr>
                  <w:tcW w:w="939" w:type="pct"/>
                  <w:vMerge w:val="continue"/>
                </w:tcPr>
                <w:p w14:paraId="755B14DC">
                  <w:pPr>
                    <w:keepNext w:val="0"/>
                    <w:keepLines w:val="0"/>
                    <w:pageBreakBefore w:val="0"/>
                    <w:widowControl w:val="0"/>
                    <w:kinsoku/>
                    <w:wordWrap w:val="0"/>
                    <w:overflowPunct/>
                    <w:topLinePunct w:val="0"/>
                    <w:autoSpaceDE/>
                    <w:autoSpaceDN/>
                    <w:bidi w:val="0"/>
                    <w:adjustRightInd/>
                    <w:snapToGrid/>
                    <w:spacing w:line="0" w:lineRule="atLeast"/>
                    <w:ind w:firstLine="0" w:firstLineChars="0"/>
                    <w:rPr>
                      <w:rFonts w:hint="default" w:ascii="Times New Roman" w:hAnsi="Times New Roman" w:cs="Times New Roman"/>
                      <w:sz w:val="21"/>
                      <w:szCs w:val="21"/>
                    </w:rPr>
                  </w:pPr>
                </w:p>
              </w:tc>
              <w:tc>
                <w:tcPr>
                  <w:tcW w:w="1359" w:type="pct"/>
                  <w:vAlign w:val="center"/>
                </w:tcPr>
                <w:p w14:paraId="70051140">
                  <w:pPr>
                    <w:keepNext w:val="0"/>
                    <w:keepLines w:val="0"/>
                    <w:pageBreakBefore w:val="0"/>
                    <w:widowControl w:val="0"/>
                    <w:kinsoku/>
                    <w:wordWrap w:val="0"/>
                    <w:overflowPunct/>
                    <w:topLinePunct w:val="0"/>
                    <w:autoSpaceDE/>
                    <w:autoSpaceDN/>
                    <w:bidi w:val="0"/>
                    <w:adjustRightInd/>
                    <w:snapToGrid/>
                    <w:spacing w:before="0" w:after="0" w:line="0" w:lineRule="atLeast"/>
                    <w:ind w:left="0" w:right="0" w:firstLine="0" w:firstLineChars="0"/>
                    <w:jc w:val="center"/>
                    <w:textAlignment w:val="baseline"/>
                    <w:rPr>
                      <w:rFonts w:hint="default" w:ascii="Times New Roman" w:hAnsi="Times New Roman" w:cs="Times New Roman"/>
                      <w:sz w:val="21"/>
                      <w:szCs w:val="21"/>
                    </w:rPr>
                  </w:pPr>
                  <w:r>
                    <w:rPr>
                      <w:rFonts w:hint="default" w:ascii="Times New Roman" w:hAnsi="Times New Roman" w:eastAsia="宋体" w:cs="Times New Roman"/>
                      <w:b w:val="0"/>
                      <w:i w:val="0"/>
                      <w:color w:val="000000"/>
                      <w:sz w:val="21"/>
                      <w:szCs w:val="21"/>
                    </w:rPr>
                    <w:t>TSP</w:t>
                  </w:r>
                </w:p>
              </w:tc>
              <w:tc>
                <w:tcPr>
                  <w:tcW w:w="2032" w:type="pct"/>
                  <w:vAlign w:val="center"/>
                </w:tcPr>
                <w:p w14:paraId="4F59CD59">
                  <w:pPr>
                    <w:keepNext w:val="0"/>
                    <w:keepLines w:val="0"/>
                    <w:pageBreakBefore w:val="0"/>
                    <w:widowControl w:val="0"/>
                    <w:kinsoku/>
                    <w:wordWrap w:val="0"/>
                    <w:overflowPunct/>
                    <w:topLinePunct w:val="0"/>
                    <w:autoSpaceDE/>
                    <w:autoSpaceDN/>
                    <w:bidi w:val="0"/>
                    <w:adjustRightInd/>
                    <w:snapToGrid/>
                    <w:spacing w:before="0" w:after="0" w:line="0" w:lineRule="atLeast"/>
                    <w:ind w:left="0" w:right="0"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施工扬尘</w:t>
                  </w:r>
                </w:p>
              </w:tc>
            </w:tr>
            <w:tr w14:paraId="0ACFD6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20" w:hRule="atLeast"/>
                <w:jc w:val="center"/>
              </w:trPr>
              <w:tc>
                <w:tcPr>
                  <w:tcW w:w="668" w:type="pct"/>
                  <w:vMerge w:val="continue"/>
                </w:tcPr>
                <w:p w14:paraId="539D6C09">
                  <w:pPr>
                    <w:keepNext w:val="0"/>
                    <w:keepLines w:val="0"/>
                    <w:pageBreakBefore w:val="0"/>
                    <w:widowControl w:val="0"/>
                    <w:kinsoku/>
                    <w:wordWrap w:val="0"/>
                    <w:overflowPunct/>
                    <w:topLinePunct w:val="0"/>
                    <w:autoSpaceDE/>
                    <w:autoSpaceDN/>
                    <w:bidi w:val="0"/>
                    <w:adjustRightInd/>
                    <w:snapToGrid/>
                    <w:spacing w:line="0" w:lineRule="atLeast"/>
                    <w:ind w:firstLine="0" w:firstLineChars="0"/>
                    <w:rPr>
                      <w:rFonts w:hint="default" w:ascii="Times New Roman" w:hAnsi="Times New Roman" w:cs="Times New Roman"/>
                      <w:sz w:val="21"/>
                      <w:szCs w:val="21"/>
                    </w:rPr>
                  </w:pPr>
                </w:p>
              </w:tc>
              <w:tc>
                <w:tcPr>
                  <w:tcW w:w="939" w:type="pct"/>
                  <w:vMerge w:val="restart"/>
                  <w:vAlign w:val="center"/>
                </w:tcPr>
                <w:p w14:paraId="05FEF722">
                  <w:pPr>
                    <w:keepNext w:val="0"/>
                    <w:keepLines w:val="0"/>
                    <w:pageBreakBefore w:val="0"/>
                    <w:widowControl w:val="0"/>
                    <w:kinsoku/>
                    <w:wordWrap w:val="0"/>
                    <w:overflowPunct/>
                    <w:topLinePunct w:val="0"/>
                    <w:autoSpaceDE/>
                    <w:autoSpaceDN/>
                    <w:bidi w:val="0"/>
                    <w:adjustRightInd/>
                    <w:snapToGrid/>
                    <w:spacing w:before="0" w:after="0" w:line="0" w:lineRule="atLeast"/>
                    <w:ind w:left="0" w:right="0" w:firstLine="0" w:firstLineChars="0"/>
                    <w:jc w:val="center"/>
                    <w:textAlignment w:val="baseline"/>
                    <w:rPr>
                      <w:rFonts w:hint="default" w:ascii="Times New Roman" w:hAnsi="Times New Roman" w:cs="Times New Roman"/>
                      <w:sz w:val="21"/>
                      <w:szCs w:val="21"/>
                    </w:rPr>
                  </w:pPr>
                  <w:r>
                    <w:rPr>
                      <w:rFonts w:hint="default" w:ascii="Times New Roman" w:hAnsi="Times New Roman" w:eastAsia="宋体" w:cs="Times New Roman"/>
                      <w:b w:val="0"/>
                      <w:i w:val="0"/>
                      <w:color w:val="000000"/>
                      <w:sz w:val="21"/>
                      <w:szCs w:val="21"/>
                    </w:rPr>
                    <w:t>废水</w:t>
                  </w:r>
                </w:p>
              </w:tc>
              <w:tc>
                <w:tcPr>
                  <w:tcW w:w="1359" w:type="pct"/>
                  <w:vAlign w:val="center"/>
                </w:tcPr>
                <w:p w14:paraId="15C1655A">
                  <w:pPr>
                    <w:keepNext w:val="0"/>
                    <w:keepLines w:val="0"/>
                    <w:pageBreakBefore w:val="0"/>
                    <w:widowControl w:val="0"/>
                    <w:kinsoku/>
                    <w:wordWrap w:val="0"/>
                    <w:overflowPunct/>
                    <w:topLinePunct w:val="0"/>
                    <w:autoSpaceDE/>
                    <w:autoSpaceDN/>
                    <w:bidi w:val="0"/>
                    <w:adjustRightInd/>
                    <w:snapToGrid/>
                    <w:spacing w:before="0" w:after="0" w:line="0" w:lineRule="atLeast"/>
                    <w:ind w:left="0" w:right="0" w:firstLine="0" w:firstLineChars="0"/>
                    <w:jc w:val="center"/>
                    <w:textAlignment w:val="baseline"/>
                    <w:rPr>
                      <w:rFonts w:hint="default" w:ascii="Times New Roman" w:hAnsi="Times New Roman" w:cs="Times New Roman"/>
                      <w:sz w:val="21"/>
                      <w:szCs w:val="21"/>
                    </w:rPr>
                  </w:pPr>
                  <w:r>
                    <w:rPr>
                      <w:rFonts w:hint="default" w:ascii="Times New Roman" w:hAnsi="Times New Roman" w:eastAsia="宋体" w:cs="Times New Roman"/>
                      <w:b w:val="0"/>
                      <w:i w:val="0"/>
                      <w:color w:val="000000"/>
                      <w:sz w:val="21"/>
                      <w:szCs w:val="21"/>
                    </w:rPr>
                    <w:t>BOD₅、CODcr、SS</w:t>
                  </w:r>
                </w:p>
              </w:tc>
              <w:tc>
                <w:tcPr>
                  <w:tcW w:w="2032" w:type="pct"/>
                  <w:vAlign w:val="center"/>
                </w:tcPr>
                <w:p w14:paraId="2E3DFE0E">
                  <w:pPr>
                    <w:keepNext w:val="0"/>
                    <w:keepLines w:val="0"/>
                    <w:pageBreakBefore w:val="0"/>
                    <w:widowControl w:val="0"/>
                    <w:kinsoku/>
                    <w:wordWrap w:val="0"/>
                    <w:overflowPunct/>
                    <w:topLinePunct w:val="0"/>
                    <w:autoSpaceDE/>
                    <w:autoSpaceDN/>
                    <w:bidi w:val="0"/>
                    <w:adjustRightInd/>
                    <w:snapToGrid/>
                    <w:spacing w:before="0" w:after="0" w:line="0" w:lineRule="atLeast"/>
                    <w:ind w:left="0" w:right="0" w:firstLine="0" w:firstLineChars="0"/>
                    <w:jc w:val="center"/>
                    <w:textAlignment w:val="baseline"/>
                    <w:rPr>
                      <w:rFonts w:hint="default" w:ascii="Times New Roman" w:hAnsi="Times New Roman" w:cs="Times New Roman"/>
                      <w:sz w:val="21"/>
                      <w:szCs w:val="21"/>
                    </w:rPr>
                  </w:pPr>
                  <w:r>
                    <w:rPr>
                      <w:rFonts w:hint="default" w:ascii="Times New Roman" w:hAnsi="Times New Roman" w:eastAsia="宋体" w:cs="Times New Roman"/>
                      <w:b w:val="0"/>
                      <w:i w:val="0"/>
                      <w:color w:val="000000"/>
                      <w:sz w:val="21"/>
                      <w:szCs w:val="21"/>
                    </w:rPr>
                    <w:t>施工人员产生的生活污水</w:t>
                  </w:r>
                </w:p>
              </w:tc>
            </w:tr>
            <w:tr w14:paraId="10BE6D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40" w:hRule="atLeast"/>
                <w:jc w:val="center"/>
              </w:trPr>
              <w:tc>
                <w:tcPr>
                  <w:tcW w:w="668" w:type="pct"/>
                  <w:vMerge w:val="continue"/>
                </w:tcPr>
                <w:p w14:paraId="274D065A">
                  <w:pPr>
                    <w:keepNext w:val="0"/>
                    <w:keepLines w:val="0"/>
                    <w:pageBreakBefore w:val="0"/>
                    <w:widowControl w:val="0"/>
                    <w:kinsoku/>
                    <w:wordWrap w:val="0"/>
                    <w:overflowPunct/>
                    <w:topLinePunct w:val="0"/>
                    <w:autoSpaceDE/>
                    <w:autoSpaceDN/>
                    <w:bidi w:val="0"/>
                    <w:adjustRightInd/>
                    <w:snapToGrid/>
                    <w:spacing w:line="0" w:lineRule="atLeast"/>
                    <w:ind w:firstLine="0" w:firstLineChars="0"/>
                    <w:rPr>
                      <w:rFonts w:hint="default" w:ascii="Times New Roman" w:hAnsi="Times New Roman" w:cs="Times New Roman"/>
                      <w:sz w:val="21"/>
                      <w:szCs w:val="21"/>
                    </w:rPr>
                  </w:pPr>
                </w:p>
              </w:tc>
              <w:tc>
                <w:tcPr>
                  <w:tcW w:w="939" w:type="pct"/>
                  <w:vMerge w:val="continue"/>
                </w:tcPr>
                <w:p w14:paraId="13747063">
                  <w:pPr>
                    <w:keepNext w:val="0"/>
                    <w:keepLines w:val="0"/>
                    <w:pageBreakBefore w:val="0"/>
                    <w:widowControl w:val="0"/>
                    <w:kinsoku/>
                    <w:wordWrap w:val="0"/>
                    <w:overflowPunct/>
                    <w:topLinePunct w:val="0"/>
                    <w:autoSpaceDE/>
                    <w:autoSpaceDN/>
                    <w:bidi w:val="0"/>
                    <w:adjustRightInd/>
                    <w:snapToGrid/>
                    <w:spacing w:line="0" w:lineRule="atLeast"/>
                    <w:ind w:firstLine="0" w:firstLineChars="0"/>
                    <w:rPr>
                      <w:rFonts w:hint="default" w:ascii="Times New Roman" w:hAnsi="Times New Roman" w:cs="Times New Roman"/>
                      <w:sz w:val="21"/>
                      <w:szCs w:val="21"/>
                    </w:rPr>
                  </w:pPr>
                </w:p>
              </w:tc>
              <w:tc>
                <w:tcPr>
                  <w:tcW w:w="1359" w:type="pct"/>
                  <w:vAlign w:val="center"/>
                </w:tcPr>
                <w:p w14:paraId="3B8970A4">
                  <w:pPr>
                    <w:keepNext w:val="0"/>
                    <w:keepLines w:val="0"/>
                    <w:pageBreakBefore w:val="0"/>
                    <w:widowControl w:val="0"/>
                    <w:kinsoku/>
                    <w:wordWrap w:val="0"/>
                    <w:overflowPunct/>
                    <w:topLinePunct w:val="0"/>
                    <w:autoSpaceDE/>
                    <w:autoSpaceDN/>
                    <w:bidi w:val="0"/>
                    <w:adjustRightInd/>
                    <w:snapToGrid/>
                    <w:spacing w:before="0" w:after="0" w:line="0" w:lineRule="atLeast"/>
                    <w:ind w:left="0" w:right="0" w:firstLine="0" w:firstLineChars="0"/>
                    <w:jc w:val="center"/>
                    <w:textAlignment w:val="baseline"/>
                    <w:rPr>
                      <w:rFonts w:hint="default" w:ascii="Times New Roman" w:hAnsi="Times New Roman" w:cs="Times New Roman"/>
                      <w:sz w:val="21"/>
                      <w:szCs w:val="21"/>
                    </w:rPr>
                  </w:pPr>
                  <w:r>
                    <w:rPr>
                      <w:rFonts w:hint="default" w:ascii="Times New Roman" w:hAnsi="Times New Roman" w:eastAsia="宋体" w:cs="Times New Roman"/>
                      <w:b w:val="0"/>
                      <w:i w:val="0"/>
                      <w:color w:val="000000"/>
                      <w:sz w:val="21"/>
                      <w:szCs w:val="21"/>
                    </w:rPr>
                    <w:t>SS</w:t>
                  </w:r>
                </w:p>
              </w:tc>
              <w:tc>
                <w:tcPr>
                  <w:tcW w:w="2032" w:type="pct"/>
                  <w:vAlign w:val="center"/>
                </w:tcPr>
                <w:p w14:paraId="68FA0AB2">
                  <w:pPr>
                    <w:keepNext w:val="0"/>
                    <w:keepLines w:val="0"/>
                    <w:pageBreakBefore w:val="0"/>
                    <w:widowControl w:val="0"/>
                    <w:kinsoku/>
                    <w:wordWrap w:val="0"/>
                    <w:overflowPunct/>
                    <w:topLinePunct w:val="0"/>
                    <w:autoSpaceDE/>
                    <w:autoSpaceDN/>
                    <w:bidi w:val="0"/>
                    <w:adjustRightInd/>
                    <w:snapToGrid/>
                    <w:spacing w:before="0" w:after="0" w:line="0" w:lineRule="atLeast"/>
                    <w:ind w:left="0" w:right="0" w:firstLine="0" w:firstLineChars="0"/>
                    <w:jc w:val="center"/>
                    <w:textAlignment w:val="baseline"/>
                    <w:rPr>
                      <w:rFonts w:hint="default" w:ascii="Times New Roman" w:hAnsi="Times New Roman" w:cs="Times New Roman"/>
                      <w:sz w:val="21"/>
                      <w:szCs w:val="21"/>
                    </w:rPr>
                  </w:pPr>
                  <w:r>
                    <w:rPr>
                      <w:rFonts w:hint="eastAsia" w:ascii="Times New Roman" w:hAnsi="Times New Roman" w:eastAsia="宋体" w:cs="Times New Roman"/>
                      <w:b w:val="0"/>
                      <w:i w:val="0"/>
                      <w:color w:val="000000"/>
                      <w:sz w:val="21"/>
                      <w:szCs w:val="21"/>
                      <w:lang w:val="en-US" w:eastAsia="zh-CN"/>
                    </w:rPr>
                    <w:t>车辆</w:t>
                  </w:r>
                  <w:r>
                    <w:rPr>
                      <w:rFonts w:hint="default" w:ascii="Times New Roman" w:hAnsi="Times New Roman" w:eastAsia="宋体" w:cs="Times New Roman"/>
                      <w:b w:val="0"/>
                      <w:i w:val="0"/>
                      <w:color w:val="000000"/>
                      <w:sz w:val="21"/>
                      <w:szCs w:val="21"/>
                    </w:rPr>
                    <w:t>冲洗等作业</w:t>
                  </w:r>
                </w:p>
              </w:tc>
            </w:tr>
            <w:tr w14:paraId="0AFDF7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20" w:hRule="atLeast"/>
                <w:jc w:val="center"/>
              </w:trPr>
              <w:tc>
                <w:tcPr>
                  <w:tcW w:w="668" w:type="pct"/>
                  <w:vMerge w:val="continue"/>
                </w:tcPr>
                <w:p w14:paraId="7EDF415E">
                  <w:pPr>
                    <w:keepNext w:val="0"/>
                    <w:keepLines w:val="0"/>
                    <w:pageBreakBefore w:val="0"/>
                    <w:widowControl w:val="0"/>
                    <w:kinsoku/>
                    <w:wordWrap w:val="0"/>
                    <w:overflowPunct/>
                    <w:topLinePunct w:val="0"/>
                    <w:autoSpaceDE/>
                    <w:autoSpaceDN/>
                    <w:bidi w:val="0"/>
                    <w:adjustRightInd/>
                    <w:snapToGrid/>
                    <w:spacing w:line="0" w:lineRule="atLeast"/>
                    <w:ind w:firstLine="0" w:firstLineChars="0"/>
                    <w:rPr>
                      <w:rFonts w:hint="default" w:ascii="Times New Roman" w:hAnsi="Times New Roman" w:cs="Times New Roman"/>
                      <w:sz w:val="21"/>
                      <w:szCs w:val="21"/>
                    </w:rPr>
                  </w:pPr>
                </w:p>
              </w:tc>
              <w:tc>
                <w:tcPr>
                  <w:tcW w:w="939" w:type="pct"/>
                  <w:vAlign w:val="center"/>
                </w:tcPr>
                <w:p w14:paraId="24600D78">
                  <w:pPr>
                    <w:keepNext w:val="0"/>
                    <w:keepLines w:val="0"/>
                    <w:pageBreakBefore w:val="0"/>
                    <w:widowControl w:val="0"/>
                    <w:kinsoku/>
                    <w:wordWrap w:val="0"/>
                    <w:overflowPunct/>
                    <w:topLinePunct w:val="0"/>
                    <w:autoSpaceDE/>
                    <w:autoSpaceDN/>
                    <w:bidi w:val="0"/>
                    <w:adjustRightInd/>
                    <w:snapToGrid/>
                    <w:spacing w:before="0" w:after="0" w:line="0" w:lineRule="atLeast"/>
                    <w:ind w:left="0" w:right="0" w:firstLine="0" w:firstLineChars="0"/>
                    <w:jc w:val="center"/>
                    <w:textAlignment w:val="baseline"/>
                    <w:rPr>
                      <w:rFonts w:hint="default" w:ascii="Times New Roman" w:hAnsi="Times New Roman" w:cs="Times New Roman"/>
                      <w:sz w:val="21"/>
                      <w:szCs w:val="21"/>
                    </w:rPr>
                  </w:pPr>
                  <w:r>
                    <w:rPr>
                      <w:rFonts w:hint="default" w:ascii="Times New Roman" w:hAnsi="Times New Roman" w:eastAsia="宋体" w:cs="Times New Roman"/>
                      <w:b w:val="0"/>
                      <w:i w:val="0"/>
                      <w:color w:val="000000"/>
                      <w:sz w:val="21"/>
                      <w:szCs w:val="21"/>
                    </w:rPr>
                    <w:t>噪声</w:t>
                  </w:r>
                </w:p>
              </w:tc>
              <w:tc>
                <w:tcPr>
                  <w:tcW w:w="1359" w:type="pct"/>
                  <w:vAlign w:val="center"/>
                </w:tcPr>
                <w:p w14:paraId="724A81E6">
                  <w:pPr>
                    <w:keepNext w:val="0"/>
                    <w:keepLines w:val="0"/>
                    <w:pageBreakBefore w:val="0"/>
                    <w:widowControl w:val="0"/>
                    <w:kinsoku/>
                    <w:wordWrap w:val="0"/>
                    <w:overflowPunct/>
                    <w:topLinePunct w:val="0"/>
                    <w:autoSpaceDE/>
                    <w:autoSpaceDN/>
                    <w:bidi w:val="0"/>
                    <w:adjustRightInd/>
                    <w:snapToGrid/>
                    <w:spacing w:before="0" w:after="0" w:line="0" w:lineRule="atLeast"/>
                    <w:ind w:left="0" w:right="0" w:firstLine="0" w:firstLineChars="0"/>
                    <w:jc w:val="center"/>
                    <w:textAlignment w:val="baseline"/>
                    <w:rPr>
                      <w:rFonts w:hint="default" w:ascii="Times New Roman" w:hAnsi="Times New Roman" w:cs="Times New Roman"/>
                      <w:sz w:val="21"/>
                      <w:szCs w:val="21"/>
                    </w:rPr>
                  </w:pPr>
                  <w:r>
                    <w:rPr>
                      <w:rFonts w:hint="default" w:ascii="Times New Roman" w:hAnsi="Times New Roman" w:eastAsia="宋体" w:cs="Times New Roman"/>
                      <w:b w:val="0"/>
                      <w:i w:val="0"/>
                      <w:color w:val="000000"/>
                      <w:sz w:val="21"/>
                      <w:szCs w:val="21"/>
                    </w:rPr>
                    <w:t>噪声</w:t>
                  </w:r>
                </w:p>
              </w:tc>
              <w:tc>
                <w:tcPr>
                  <w:tcW w:w="2032" w:type="pct"/>
                  <w:vAlign w:val="center"/>
                </w:tcPr>
                <w:p w14:paraId="462B8AD6">
                  <w:pPr>
                    <w:keepNext w:val="0"/>
                    <w:keepLines w:val="0"/>
                    <w:pageBreakBefore w:val="0"/>
                    <w:widowControl w:val="0"/>
                    <w:kinsoku/>
                    <w:wordWrap w:val="0"/>
                    <w:overflowPunct/>
                    <w:topLinePunct w:val="0"/>
                    <w:autoSpaceDE/>
                    <w:autoSpaceDN/>
                    <w:bidi w:val="0"/>
                    <w:adjustRightInd/>
                    <w:snapToGrid/>
                    <w:spacing w:before="0" w:after="0" w:line="0" w:lineRule="atLeast"/>
                    <w:ind w:left="0" w:right="0" w:firstLine="0" w:firstLineChars="0"/>
                    <w:jc w:val="center"/>
                    <w:textAlignment w:val="baseline"/>
                    <w:rPr>
                      <w:rFonts w:hint="default" w:ascii="Times New Roman" w:hAnsi="Times New Roman" w:cs="Times New Roman"/>
                      <w:sz w:val="21"/>
                      <w:szCs w:val="21"/>
                    </w:rPr>
                  </w:pPr>
                  <w:r>
                    <w:rPr>
                      <w:rFonts w:hint="default" w:ascii="Times New Roman" w:hAnsi="Times New Roman" w:eastAsia="宋体" w:cs="Times New Roman"/>
                      <w:b w:val="0"/>
                      <w:i w:val="0"/>
                      <w:color w:val="000000"/>
                      <w:sz w:val="21"/>
                      <w:szCs w:val="21"/>
                    </w:rPr>
                    <w:t>建筑施工作业</w:t>
                  </w:r>
                </w:p>
              </w:tc>
            </w:tr>
            <w:tr w14:paraId="6E565D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840" w:hRule="atLeast"/>
                <w:jc w:val="center"/>
              </w:trPr>
              <w:tc>
                <w:tcPr>
                  <w:tcW w:w="668" w:type="pct"/>
                  <w:vMerge w:val="continue"/>
                </w:tcPr>
                <w:p w14:paraId="56717DE9">
                  <w:pPr>
                    <w:keepNext w:val="0"/>
                    <w:keepLines w:val="0"/>
                    <w:pageBreakBefore w:val="0"/>
                    <w:widowControl w:val="0"/>
                    <w:kinsoku/>
                    <w:wordWrap w:val="0"/>
                    <w:overflowPunct/>
                    <w:topLinePunct w:val="0"/>
                    <w:autoSpaceDE/>
                    <w:autoSpaceDN/>
                    <w:bidi w:val="0"/>
                    <w:adjustRightInd/>
                    <w:snapToGrid/>
                    <w:spacing w:line="0" w:lineRule="atLeast"/>
                    <w:ind w:firstLine="0" w:firstLineChars="0"/>
                    <w:rPr>
                      <w:rFonts w:hint="default" w:ascii="Times New Roman" w:hAnsi="Times New Roman" w:cs="Times New Roman"/>
                      <w:sz w:val="21"/>
                      <w:szCs w:val="21"/>
                    </w:rPr>
                  </w:pPr>
                </w:p>
              </w:tc>
              <w:tc>
                <w:tcPr>
                  <w:tcW w:w="939" w:type="pct"/>
                  <w:vAlign w:val="center"/>
                </w:tcPr>
                <w:p w14:paraId="668A96F1">
                  <w:pPr>
                    <w:keepNext w:val="0"/>
                    <w:keepLines w:val="0"/>
                    <w:pageBreakBefore w:val="0"/>
                    <w:widowControl w:val="0"/>
                    <w:kinsoku/>
                    <w:wordWrap w:val="0"/>
                    <w:overflowPunct/>
                    <w:topLinePunct w:val="0"/>
                    <w:autoSpaceDE/>
                    <w:autoSpaceDN/>
                    <w:bidi w:val="0"/>
                    <w:adjustRightInd/>
                    <w:snapToGrid/>
                    <w:spacing w:before="0" w:after="0" w:line="0" w:lineRule="atLeast"/>
                    <w:ind w:left="0" w:right="0" w:firstLine="0" w:firstLineChars="0"/>
                    <w:jc w:val="center"/>
                    <w:textAlignment w:val="baseline"/>
                    <w:rPr>
                      <w:rFonts w:hint="default" w:ascii="Times New Roman" w:hAnsi="Times New Roman" w:cs="Times New Roman"/>
                      <w:sz w:val="21"/>
                      <w:szCs w:val="21"/>
                    </w:rPr>
                  </w:pPr>
                  <w:r>
                    <w:rPr>
                      <w:rFonts w:hint="default" w:ascii="Times New Roman" w:hAnsi="Times New Roman" w:eastAsia="宋体" w:cs="Times New Roman"/>
                      <w:b w:val="0"/>
                      <w:i w:val="0"/>
                      <w:color w:val="000000"/>
                      <w:sz w:val="21"/>
                      <w:szCs w:val="21"/>
                    </w:rPr>
                    <w:t>固废</w:t>
                  </w:r>
                </w:p>
              </w:tc>
              <w:tc>
                <w:tcPr>
                  <w:tcW w:w="1359" w:type="pct"/>
                  <w:vAlign w:val="center"/>
                </w:tcPr>
                <w:p w14:paraId="48382FB7">
                  <w:pPr>
                    <w:keepNext w:val="0"/>
                    <w:keepLines w:val="0"/>
                    <w:pageBreakBefore w:val="0"/>
                    <w:widowControl w:val="0"/>
                    <w:kinsoku/>
                    <w:wordWrap w:val="0"/>
                    <w:overflowPunct/>
                    <w:topLinePunct w:val="0"/>
                    <w:autoSpaceDE/>
                    <w:autoSpaceDN/>
                    <w:bidi w:val="0"/>
                    <w:adjustRightInd/>
                    <w:snapToGrid/>
                    <w:spacing w:before="0" w:after="0" w:line="0" w:lineRule="atLeast"/>
                    <w:ind w:left="0" w:right="0" w:firstLine="0" w:firstLineChars="0"/>
                    <w:jc w:val="center"/>
                    <w:textAlignment w:val="baseline"/>
                    <w:rPr>
                      <w:rFonts w:hint="default" w:ascii="Times New Roman" w:hAnsi="Times New Roman" w:cs="Times New Roman"/>
                      <w:sz w:val="21"/>
                      <w:szCs w:val="21"/>
                    </w:rPr>
                  </w:pPr>
                  <w:r>
                    <w:rPr>
                      <w:rFonts w:hint="default" w:ascii="Times New Roman" w:hAnsi="Times New Roman" w:eastAsia="宋体" w:cs="Times New Roman"/>
                      <w:b w:val="0"/>
                      <w:i w:val="0"/>
                      <w:color w:val="000000"/>
                      <w:sz w:val="21"/>
                      <w:szCs w:val="21"/>
                    </w:rPr>
                    <w:t>建筑垃圾、生活垃圾</w:t>
                  </w:r>
                </w:p>
              </w:tc>
              <w:tc>
                <w:tcPr>
                  <w:tcW w:w="2032" w:type="pct"/>
                  <w:vAlign w:val="center"/>
                </w:tcPr>
                <w:p w14:paraId="56367BBF">
                  <w:pPr>
                    <w:keepNext w:val="0"/>
                    <w:keepLines w:val="0"/>
                    <w:pageBreakBefore w:val="0"/>
                    <w:widowControl w:val="0"/>
                    <w:kinsoku/>
                    <w:wordWrap w:val="0"/>
                    <w:overflowPunct/>
                    <w:topLinePunct w:val="0"/>
                    <w:autoSpaceDE/>
                    <w:autoSpaceDN/>
                    <w:bidi w:val="0"/>
                    <w:adjustRightInd/>
                    <w:snapToGrid/>
                    <w:spacing w:before="0" w:after="0" w:line="0" w:lineRule="atLeast"/>
                    <w:ind w:left="0" w:right="0" w:firstLine="0" w:firstLineChars="0"/>
                    <w:jc w:val="center"/>
                    <w:textAlignment w:val="baseline"/>
                    <w:rPr>
                      <w:rFonts w:hint="default" w:ascii="Times New Roman" w:hAnsi="Times New Roman" w:cs="Times New Roman"/>
                      <w:sz w:val="21"/>
                      <w:szCs w:val="21"/>
                    </w:rPr>
                  </w:pPr>
                  <w:r>
                    <w:rPr>
                      <w:rFonts w:hint="default" w:ascii="Times New Roman" w:hAnsi="Times New Roman" w:eastAsia="宋体" w:cs="Times New Roman"/>
                      <w:b w:val="0"/>
                      <w:i w:val="0"/>
                      <w:color w:val="000000"/>
                      <w:sz w:val="21"/>
                      <w:szCs w:val="21"/>
                    </w:rPr>
                    <w:t>施工时产生的建筑垃圾、生活垃圾、原有拆除设备</w:t>
                  </w:r>
                </w:p>
              </w:tc>
            </w:tr>
          </w:tbl>
          <w:p w14:paraId="4E68E68B">
            <w:pPr>
              <w:keepNext w:val="0"/>
              <w:keepLines w:val="0"/>
              <w:pageBreakBefore w:val="0"/>
              <w:widowControl w:val="0"/>
              <w:kinsoku/>
              <w:wordWrap w:val="0"/>
              <w:overflowPunct/>
              <w:topLinePunct w:val="0"/>
              <w:autoSpaceDE/>
              <w:autoSpaceDN/>
              <w:bidi w:val="0"/>
              <w:adjustRightInd w:val="0"/>
              <w:snapToGrid/>
              <w:ind w:firstLine="0" w:firstLineChars="0"/>
              <w:textAlignment w:val="auto"/>
              <w:rPr>
                <w:b/>
                <w:bCs/>
                <w:color w:val="auto"/>
              </w:rPr>
            </w:pPr>
            <w:r>
              <w:rPr>
                <w:rFonts w:hint="eastAsia"/>
                <w:b/>
                <w:bCs/>
                <w:color w:val="auto"/>
              </w:rPr>
              <w:t>二、</w:t>
            </w:r>
            <w:r>
              <w:rPr>
                <w:b/>
                <w:bCs/>
                <w:color w:val="auto"/>
              </w:rPr>
              <w:t>营运期工艺流程</w:t>
            </w:r>
          </w:p>
          <w:p w14:paraId="0F31ACF2">
            <w:pPr>
              <w:keepNext w:val="0"/>
              <w:keepLines w:val="0"/>
              <w:pageBreakBefore w:val="0"/>
              <w:widowControl w:val="0"/>
              <w:kinsoku/>
              <w:wordWrap w:val="0"/>
              <w:overflowPunct/>
              <w:topLinePunct w:val="0"/>
              <w:autoSpaceDE/>
              <w:autoSpaceDN/>
              <w:bidi w:val="0"/>
              <w:adjustRightInd/>
              <w:snapToGrid/>
              <w:ind w:firstLine="0" w:firstLineChars="0"/>
              <w:textAlignment w:val="auto"/>
              <w:rPr>
                <w:b/>
                <w:bCs/>
                <w:color w:val="auto"/>
                <w:sz w:val="24"/>
                <w:szCs w:val="24"/>
              </w:rPr>
            </w:pPr>
            <w:r>
              <w:rPr>
                <w:rFonts w:hint="eastAsia"/>
                <w:b/>
                <w:bCs/>
                <w:color w:val="auto"/>
                <w:sz w:val="24"/>
                <w:szCs w:val="24"/>
                <w:lang w:val="en-US" w:eastAsia="zh-CN"/>
              </w:rPr>
              <w:t>2.</w:t>
            </w:r>
            <w:r>
              <w:rPr>
                <w:rFonts w:hint="eastAsia"/>
                <w:b/>
                <w:bCs/>
                <w:color w:val="auto"/>
                <w:sz w:val="24"/>
                <w:szCs w:val="24"/>
              </w:rPr>
              <w:t>1.生产工艺流程及产污节点</w:t>
            </w:r>
          </w:p>
          <w:p w14:paraId="41D13762">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default" w:eastAsia="宋体"/>
                <w:color w:val="FF0000"/>
                <w:sz w:val="24"/>
                <w:szCs w:val="24"/>
                <w:lang w:val="en-US" w:eastAsia="zh-CN"/>
              </w:rPr>
            </w:pPr>
            <w:r>
              <w:rPr>
                <w:rFonts w:hint="eastAsia"/>
                <w:sz w:val="24"/>
                <w:szCs w:val="24"/>
              </w:rPr>
              <w:t>中药饮片指中草药经净制、切片、干燥等工序加工形成的片、段、丝、块等。</w:t>
            </w:r>
            <w:r>
              <w:rPr>
                <w:rFonts w:hint="eastAsia"/>
                <w:sz w:val="24"/>
                <w:szCs w:val="24"/>
                <w:lang w:val="en-US" w:eastAsia="zh-CN"/>
              </w:rPr>
              <w:t>本项目</w:t>
            </w:r>
            <w:r>
              <w:rPr>
                <w:rFonts w:hint="eastAsia"/>
                <w:sz w:val="24"/>
                <w:szCs w:val="24"/>
              </w:rPr>
              <w:t>外购预处理好的中药材，药材选用符合《中华人民共和国药典》标准的优质地道药材。</w:t>
            </w:r>
            <w:r>
              <w:rPr>
                <w:rFonts w:hint="eastAsia"/>
                <w:b/>
                <w:bCs/>
                <w:sz w:val="24"/>
                <w:szCs w:val="24"/>
                <w:u w:val="single"/>
              </w:rPr>
              <w:t>本项目中药饮片生产品种和原辅材料较多，产品根据市场需求调整产品的种类和产量，</w:t>
            </w:r>
            <w:r>
              <w:rPr>
                <w:rFonts w:hint="eastAsia"/>
                <w:b/>
                <w:bCs/>
                <w:sz w:val="24"/>
                <w:szCs w:val="24"/>
                <w:u w:val="single"/>
                <w:lang w:val="en-US" w:eastAsia="zh-CN"/>
              </w:rPr>
              <w:t>相对应的</w:t>
            </w:r>
            <w:r>
              <w:rPr>
                <w:rFonts w:hint="eastAsia"/>
                <w:b/>
                <w:bCs/>
                <w:sz w:val="24"/>
                <w:szCs w:val="24"/>
                <w:u w:val="single"/>
              </w:rPr>
              <w:t>每条生产线根据生产任务和目标产品对原辅料进行调整、更换</w:t>
            </w:r>
            <w:r>
              <w:rPr>
                <w:rFonts w:hint="eastAsia"/>
                <w:b/>
                <w:bCs/>
                <w:sz w:val="24"/>
                <w:szCs w:val="24"/>
                <w:u w:val="single"/>
                <w:lang w:eastAsia="zh-CN"/>
              </w:rPr>
              <w:t>，</w:t>
            </w:r>
            <w:r>
              <w:rPr>
                <w:rFonts w:hint="eastAsia"/>
                <w:b/>
                <w:bCs/>
                <w:sz w:val="24"/>
                <w:szCs w:val="24"/>
                <w:u w:val="single"/>
              </w:rPr>
              <w:t>生产方式采用间歇式生产（每次只生产1种）。本项目产品分为普通中药饮片</w:t>
            </w:r>
            <w:r>
              <w:rPr>
                <w:rFonts w:hint="eastAsia"/>
                <w:b/>
                <w:bCs/>
                <w:sz w:val="24"/>
                <w:szCs w:val="24"/>
                <w:u w:val="single"/>
                <w:lang w:eastAsia="zh-CN"/>
              </w:rPr>
              <w:t>（</w:t>
            </w:r>
            <w:r>
              <w:rPr>
                <w:rFonts w:hint="eastAsia"/>
                <w:b/>
                <w:bCs/>
                <w:sz w:val="24"/>
                <w:szCs w:val="24"/>
                <w:u w:val="single"/>
                <w:lang w:val="en-US" w:eastAsia="zh-CN"/>
              </w:rPr>
              <w:t>含新型中药饮片</w:t>
            </w:r>
            <w:r>
              <w:rPr>
                <w:rFonts w:hint="eastAsia"/>
                <w:b/>
                <w:bCs/>
                <w:sz w:val="24"/>
                <w:szCs w:val="24"/>
                <w:u w:val="single"/>
                <w:lang w:eastAsia="zh-CN"/>
              </w:rPr>
              <w:t>）</w:t>
            </w:r>
            <w:r>
              <w:rPr>
                <w:rFonts w:hint="eastAsia"/>
                <w:b/>
                <w:bCs/>
                <w:sz w:val="24"/>
                <w:szCs w:val="24"/>
                <w:u w:val="single"/>
              </w:rPr>
              <w:t>、毒性中药饮片、</w:t>
            </w:r>
            <w:r>
              <w:rPr>
                <w:rFonts w:hint="eastAsia"/>
                <w:b/>
                <w:bCs/>
                <w:sz w:val="24"/>
                <w:szCs w:val="24"/>
                <w:u w:val="single"/>
                <w:lang w:val="en-US" w:eastAsia="zh-CN"/>
              </w:rPr>
              <w:t>口服</w:t>
            </w:r>
            <w:r>
              <w:rPr>
                <w:rFonts w:hint="eastAsia"/>
                <w:b/>
                <w:bCs/>
                <w:sz w:val="24"/>
                <w:szCs w:val="24"/>
                <w:u w:val="single"/>
              </w:rPr>
              <w:t>中药饮片</w:t>
            </w:r>
            <w:r>
              <w:rPr>
                <w:rFonts w:hint="eastAsia"/>
                <w:b/>
                <w:bCs/>
                <w:sz w:val="24"/>
                <w:szCs w:val="24"/>
                <w:u w:val="single"/>
                <w:lang w:eastAsia="zh-CN"/>
              </w:rPr>
              <w:t>、</w:t>
            </w:r>
            <w:r>
              <w:rPr>
                <w:rFonts w:hint="eastAsia"/>
                <w:b/>
                <w:bCs/>
                <w:sz w:val="24"/>
                <w:szCs w:val="24"/>
                <w:u w:val="single"/>
                <w:lang w:val="en-US" w:eastAsia="zh-CN"/>
              </w:rPr>
              <w:t>保健食品固体制剂车间（片剂、胶囊剂、颗粒剂、粉剂）、丸剂车间等，共布置1条</w:t>
            </w:r>
            <w:r>
              <w:rPr>
                <w:rFonts w:hint="eastAsia"/>
                <w:b/>
                <w:bCs/>
                <w:sz w:val="24"/>
                <w:szCs w:val="24"/>
                <w:u w:val="single"/>
              </w:rPr>
              <w:t>普通中药饮片</w:t>
            </w:r>
            <w:r>
              <w:rPr>
                <w:rFonts w:hint="eastAsia"/>
                <w:b/>
                <w:bCs/>
                <w:sz w:val="24"/>
                <w:szCs w:val="24"/>
                <w:u w:val="single"/>
                <w:lang w:eastAsia="zh-CN"/>
              </w:rPr>
              <w:t>（</w:t>
            </w:r>
            <w:r>
              <w:rPr>
                <w:rFonts w:hint="eastAsia"/>
                <w:b/>
                <w:bCs/>
                <w:sz w:val="24"/>
                <w:szCs w:val="24"/>
                <w:u w:val="single"/>
                <w:lang w:val="en-US" w:eastAsia="zh-CN"/>
              </w:rPr>
              <w:t>含新型中药饮片</w:t>
            </w:r>
            <w:r>
              <w:rPr>
                <w:rFonts w:hint="eastAsia"/>
                <w:b/>
                <w:bCs/>
                <w:sz w:val="24"/>
                <w:szCs w:val="24"/>
                <w:u w:val="single"/>
                <w:lang w:eastAsia="zh-CN"/>
              </w:rPr>
              <w:t>）</w:t>
            </w:r>
            <w:r>
              <w:rPr>
                <w:rFonts w:hint="eastAsia"/>
                <w:b/>
                <w:bCs/>
                <w:sz w:val="24"/>
                <w:szCs w:val="24"/>
                <w:u w:val="single"/>
                <w:lang w:val="en-US" w:eastAsia="zh-CN"/>
              </w:rPr>
              <w:t>生产线</w:t>
            </w:r>
            <w:r>
              <w:rPr>
                <w:rFonts w:hint="eastAsia"/>
                <w:b/>
                <w:bCs/>
                <w:sz w:val="24"/>
                <w:szCs w:val="24"/>
                <w:u w:val="single"/>
              </w:rPr>
              <w:t>、</w:t>
            </w:r>
            <w:r>
              <w:rPr>
                <w:rFonts w:hint="eastAsia"/>
                <w:b/>
                <w:bCs/>
                <w:sz w:val="24"/>
                <w:szCs w:val="24"/>
                <w:u w:val="single"/>
                <w:lang w:val="en-US" w:eastAsia="zh-CN"/>
              </w:rPr>
              <w:t>1条</w:t>
            </w:r>
            <w:r>
              <w:rPr>
                <w:rFonts w:hint="eastAsia"/>
                <w:b/>
                <w:bCs/>
                <w:sz w:val="24"/>
                <w:szCs w:val="24"/>
                <w:u w:val="single"/>
              </w:rPr>
              <w:t>毒性中药饮片</w:t>
            </w:r>
            <w:r>
              <w:rPr>
                <w:rFonts w:hint="eastAsia"/>
                <w:b/>
                <w:bCs/>
                <w:sz w:val="24"/>
                <w:szCs w:val="24"/>
                <w:u w:val="single"/>
                <w:lang w:val="en-US" w:eastAsia="zh-CN"/>
              </w:rPr>
              <w:t>生产线</w:t>
            </w:r>
            <w:r>
              <w:rPr>
                <w:rFonts w:hint="eastAsia"/>
                <w:b/>
                <w:bCs/>
                <w:sz w:val="24"/>
                <w:szCs w:val="24"/>
                <w:u w:val="single"/>
              </w:rPr>
              <w:t>、</w:t>
            </w:r>
            <w:r>
              <w:rPr>
                <w:rFonts w:hint="eastAsia"/>
                <w:b/>
                <w:bCs/>
                <w:sz w:val="24"/>
                <w:szCs w:val="24"/>
                <w:u w:val="single"/>
                <w:lang w:val="en-US" w:eastAsia="zh-CN"/>
              </w:rPr>
              <w:t>1条口服</w:t>
            </w:r>
            <w:r>
              <w:rPr>
                <w:rFonts w:hint="eastAsia"/>
                <w:b/>
                <w:bCs/>
                <w:sz w:val="24"/>
                <w:szCs w:val="24"/>
                <w:u w:val="single"/>
              </w:rPr>
              <w:t>中药饮片</w:t>
            </w:r>
            <w:r>
              <w:rPr>
                <w:rFonts w:hint="eastAsia"/>
                <w:b/>
                <w:bCs/>
                <w:sz w:val="24"/>
                <w:szCs w:val="24"/>
                <w:u w:val="single"/>
                <w:lang w:val="en-US" w:eastAsia="zh-CN"/>
              </w:rPr>
              <w:t>生产线</w:t>
            </w:r>
            <w:r>
              <w:rPr>
                <w:rFonts w:hint="eastAsia"/>
                <w:b/>
                <w:bCs/>
                <w:sz w:val="24"/>
                <w:szCs w:val="24"/>
                <w:u w:val="single"/>
                <w:lang w:eastAsia="zh-CN"/>
              </w:rPr>
              <w:t>、</w:t>
            </w:r>
            <w:r>
              <w:rPr>
                <w:rFonts w:hint="eastAsia"/>
                <w:b/>
                <w:bCs/>
                <w:sz w:val="24"/>
                <w:szCs w:val="24"/>
                <w:u w:val="single"/>
                <w:lang w:val="en-US" w:eastAsia="zh-CN"/>
              </w:rPr>
              <w:t>1条保健食品固体制剂（片剂、胶囊剂、颗粒剂、粉剂）生产线、1条丸剂生产线。</w:t>
            </w:r>
          </w:p>
          <w:p w14:paraId="5D9843A2">
            <w:pPr>
              <w:pStyle w:val="18"/>
              <w:keepNext w:val="0"/>
              <w:keepLines w:val="0"/>
              <w:pageBreakBefore w:val="0"/>
              <w:widowControl w:val="0"/>
              <w:kinsoku/>
              <w:wordWrap w:val="0"/>
              <w:overflowPunct/>
              <w:topLinePunct w:val="0"/>
              <w:autoSpaceDE/>
              <w:autoSpaceDN/>
              <w:bidi w:val="0"/>
              <w:adjustRightInd/>
              <w:snapToGrid/>
              <w:spacing w:after="0"/>
              <w:ind w:firstLine="0" w:firstLineChars="0"/>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2.</w:t>
            </w:r>
            <w:r>
              <w:rPr>
                <w:rFonts w:hint="eastAsia" w:cs="Times New Roman"/>
                <w:b/>
                <w:bCs/>
                <w:sz w:val="24"/>
                <w:szCs w:val="24"/>
                <w:lang w:val="en-US" w:eastAsia="zh-CN"/>
              </w:rPr>
              <w:t>1</w:t>
            </w:r>
            <w:r>
              <w:rPr>
                <w:rFonts w:hint="default" w:ascii="Times New Roman" w:hAnsi="Times New Roman" w:cs="Times New Roman"/>
                <w:b/>
                <w:bCs/>
                <w:sz w:val="24"/>
                <w:szCs w:val="24"/>
                <w:lang w:val="en-US" w:eastAsia="zh-CN"/>
              </w:rPr>
              <w:t>.1普通中药材饮片</w:t>
            </w:r>
            <w:r>
              <w:rPr>
                <w:rFonts w:hint="eastAsia" w:ascii="Times New Roman" w:hAnsi="Times New Roman" w:cs="Times New Roman"/>
                <w:b/>
                <w:bCs/>
                <w:sz w:val="24"/>
                <w:szCs w:val="24"/>
                <w:lang w:val="en-US" w:eastAsia="zh-CN"/>
              </w:rPr>
              <w:t>以及提取前处理</w:t>
            </w:r>
            <w:r>
              <w:rPr>
                <w:rFonts w:hint="default" w:ascii="Times New Roman" w:hAnsi="Times New Roman" w:cs="Times New Roman"/>
                <w:b/>
                <w:bCs/>
                <w:sz w:val="24"/>
                <w:szCs w:val="24"/>
                <w:lang w:val="en-US" w:eastAsia="zh-CN"/>
              </w:rPr>
              <w:t>生产工艺流程</w:t>
            </w:r>
          </w:p>
          <w:p w14:paraId="6A6576CC">
            <w:pPr>
              <w:pStyle w:val="18"/>
              <w:keepNext w:val="0"/>
              <w:keepLines w:val="0"/>
              <w:pageBreakBefore w:val="0"/>
              <w:widowControl w:val="0"/>
              <w:kinsoku/>
              <w:wordWrap w:val="0"/>
              <w:overflowPunct/>
              <w:topLinePunct w:val="0"/>
              <w:autoSpaceDE/>
              <w:autoSpaceDN/>
              <w:bidi w:val="0"/>
              <w:adjustRightInd/>
              <w:snapToGrid/>
              <w:spacing w:after="0"/>
              <w:ind w:firstLine="480" w:firstLineChars="200"/>
              <w:textAlignment w:val="auto"/>
              <w:rPr>
                <w:rFonts w:hint="eastAsia"/>
                <w:sz w:val="24"/>
                <w:szCs w:val="24"/>
              </w:rPr>
            </w:pPr>
            <w:r>
              <w:rPr>
                <w:rFonts w:hint="eastAsia"/>
                <w:sz w:val="24"/>
                <w:szCs w:val="24"/>
              </w:rPr>
              <w:t>中药材原料通过买进之后，首先对其进行净选、洗药、软化处理、切制、干燥等预处理工序，达到中药材炮制前的生产要求，然后对不同类型的中药材按照产品生产要求，通过不同的炮制方法进行生产，加工成初成品；再对其进行筛选分级成不同规格的产品，包装后入库代售。</w:t>
            </w:r>
          </w:p>
          <w:p w14:paraId="2A3A293E">
            <w:pPr>
              <w:pStyle w:val="18"/>
              <w:keepNext w:val="0"/>
              <w:keepLines w:val="0"/>
              <w:pageBreakBefore w:val="0"/>
              <w:widowControl w:val="0"/>
              <w:kinsoku/>
              <w:wordWrap w:val="0"/>
              <w:overflowPunct/>
              <w:topLinePunct w:val="0"/>
              <w:autoSpaceDE/>
              <w:autoSpaceDN/>
              <w:bidi w:val="0"/>
              <w:adjustRightInd/>
              <w:snapToGrid/>
              <w:spacing w:after="0"/>
              <w:ind w:firstLine="480" w:firstLineChars="200"/>
              <w:textAlignment w:val="auto"/>
              <w:rPr>
                <w:rFonts w:hint="eastAsia"/>
                <w:sz w:val="24"/>
                <w:szCs w:val="24"/>
              </w:rPr>
            </w:pPr>
            <w:r>
              <w:rPr>
                <w:rFonts w:hint="eastAsia"/>
                <w:sz w:val="24"/>
                <w:szCs w:val="24"/>
              </w:rPr>
              <w:t>不同中药材的前期预处理工序基本相同，主要不同之处在于中药材的炮制工艺，本项目主要炮制工艺包括净制、切制、炒制、炙制（包括蜜炙、酒炙、醋炙、盐制、</w:t>
            </w:r>
            <w:r>
              <w:rPr>
                <w:rFonts w:hint="eastAsia"/>
                <w:sz w:val="24"/>
                <w:szCs w:val="24"/>
                <w:lang w:val="en-US" w:eastAsia="zh-CN"/>
              </w:rPr>
              <w:t>麸</w:t>
            </w:r>
            <w:r>
              <w:rPr>
                <w:rFonts w:hint="eastAsia"/>
                <w:sz w:val="24"/>
                <w:szCs w:val="24"/>
              </w:rPr>
              <w:t>炙）、蒸制、煮制、炖制、煅制、煨制、燀制、发酵等。</w:t>
            </w:r>
          </w:p>
          <w:p w14:paraId="497AF83B">
            <w:pPr>
              <w:pStyle w:val="18"/>
              <w:keepNext w:val="0"/>
              <w:keepLines w:val="0"/>
              <w:pageBreakBefore w:val="0"/>
              <w:widowControl w:val="0"/>
              <w:kinsoku/>
              <w:wordWrap w:val="0"/>
              <w:overflowPunct/>
              <w:topLinePunct w:val="0"/>
              <w:autoSpaceDE/>
              <w:autoSpaceDN/>
              <w:bidi w:val="0"/>
              <w:adjustRightInd/>
              <w:snapToGrid/>
              <w:spacing w:after="0"/>
              <w:ind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根据《全国中药饮片炮制规范》炮制通则炮制通则明确发酵为中药炮制工艺中的一种炮制是中药传统制药技术的集中体现和核心，经炮制后的药物，药效得到提高，毒副作用降低，且方便存储，是中医临床用药的必备工序。</w:t>
            </w:r>
          </w:p>
          <w:p w14:paraId="3D609DA8">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eastAsia"/>
                <w:sz w:val="24"/>
                <w:szCs w:val="24"/>
              </w:rPr>
            </w:pPr>
            <w:r>
              <w:rPr>
                <w:rFonts w:hint="eastAsia" w:ascii="Times New Roman" w:hAnsi="Times New Roman" w:eastAsia="宋体" w:cs="Times New Roman"/>
                <w:sz w:val="24"/>
                <w:szCs w:val="24"/>
              </w:rPr>
              <w:t>净制：净制是中药炮制第一道工序，几乎每种药材在使用前均须进行净制。其</w:t>
            </w:r>
            <w:r>
              <w:rPr>
                <w:rFonts w:hint="eastAsia"/>
                <w:sz w:val="24"/>
                <w:szCs w:val="24"/>
              </w:rPr>
              <w:t>主要目的有：用挑选、</w:t>
            </w:r>
            <w:r>
              <w:rPr>
                <w:rFonts w:hint="eastAsia"/>
                <w:sz w:val="24"/>
                <w:szCs w:val="24"/>
                <w:lang w:val="en-US" w:eastAsia="zh-CN"/>
              </w:rPr>
              <w:t>干燥、</w:t>
            </w:r>
            <w:r>
              <w:rPr>
                <w:rFonts w:hint="eastAsia"/>
                <w:sz w:val="24"/>
                <w:szCs w:val="24"/>
              </w:rPr>
              <w:t>筛选等方法，分离药用部位、进行分档、除去非药用部位、除去杂质及虫蛀霉变品等。</w:t>
            </w:r>
          </w:p>
          <w:p w14:paraId="2805FA99">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切制：切制是将净选后的药物进行软化，切成一定规格的片、丝、块、段等炮制工艺。主要目的在于有效成分的煎出；利于炮炙、调配和制剂；更有利于鉴别和贮存。</w:t>
            </w:r>
          </w:p>
          <w:p w14:paraId="15E4E262">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default"/>
                <w:sz w:val="24"/>
                <w:szCs w:val="24"/>
                <w:lang w:val="en-US" w:eastAsia="zh-CN"/>
              </w:rPr>
            </w:pPr>
            <w:r>
              <w:rPr>
                <w:rFonts w:hint="eastAsia"/>
                <w:sz w:val="24"/>
                <w:szCs w:val="24"/>
                <w:lang w:val="en-US" w:eastAsia="zh-CN"/>
              </w:rPr>
              <w:t>炮制工艺含炒、</w:t>
            </w:r>
            <w:r>
              <w:rPr>
                <w:rFonts w:hint="eastAsia"/>
                <w:sz w:val="24"/>
                <w:szCs w:val="24"/>
              </w:rPr>
              <w:t>炙</w:t>
            </w:r>
            <w:r>
              <w:rPr>
                <w:rFonts w:hint="eastAsia"/>
                <w:sz w:val="24"/>
                <w:szCs w:val="24"/>
                <w:lang w:eastAsia="zh-CN"/>
              </w:rPr>
              <w:t>、</w:t>
            </w:r>
            <w:r>
              <w:rPr>
                <w:rFonts w:hint="eastAsia"/>
                <w:sz w:val="24"/>
                <w:szCs w:val="24"/>
              </w:rPr>
              <w:t>蒸</w:t>
            </w:r>
            <w:r>
              <w:rPr>
                <w:rFonts w:hint="eastAsia"/>
                <w:sz w:val="24"/>
                <w:szCs w:val="24"/>
                <w:lang w:eastAsia="zh-CN"/>
              </w:rPr>
              <w:t>、</w:t>
            </w:r>
            <w:r>
              <w:rPr>
                <w:rFonts w:hint="eastAsia"/>
                <w:sz w:val="24"/>
                <w:szCs w:val="24"/>
                <w:lang w:val="en-US" w:eastAsia="zh-CN"/>
              </w:rPr>
              <w:t>煮等工序。</w:t>
            </w:r>
          </w:p>
          <w:p w14:paraId="77DAC53F">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default"/>
                <w:sz w:val="24"/>
                <w:szCs w:val="24"/>
              </w:rPr>
            </w:pPr>
            <w:r>
              <w:rPr>
                <w:rFonts w:hint="default"/>
                <w:sz w:val="24"/>
                <w:szCs w:val="24"/>
              </w:rPr>
              <w:t>①炒制：炒法是将净制或切制后的药物，筛去灰屑，大小分档，置预热容器内，加辅料或者不加辅料，用不同火力连续加热，并不断搅拌或翻动至一定程度的炮制方法。其目的在于增强药效，缓和或改变药性，降低毒性或减少刺激作用，矫臭矫味，利于贮存和制剂等。</w:t>
            </w:r>
          </w:p>
          <w:p w14:paraId="5824D61D">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default"/>
                <w:sz w:val="24"/>
                <w:szCs w:val="24"/>
              </w:rPr>
            </w:pPr>
            <w:r>
              <w:rPr>
                <w:rFonts w:hint="default"/>
                <w:sz w:val="24"/>
                <w:szCs w:val="24"/>
              </w:rPr>
              <w:t>②酒炙：取待炮炙品，加黄酒拌匀，闷透，置炒制容器内，用文火炒至规定的程度时，取出，放凉。除另有规定外，一般用黄酒。</w:t>
            </w:r>
          </w:p>
          <w:p w14:paraId="0729CC64">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eastAsia"/>
                <w:sz w:val="24"/>
                <w:szCs w:val="24"/>
              </w:rPr>
            </w:pPr>
            <w:r>
              <w:rPr>
                <w:rFonts w:hint="default"/>
                <w:sz w:val="24"/>
                <w:szCs w:val="24"/>
              </w:rPr>
              <w:t>③醋</w:t>
            </w:r>
            <w:r>
              <w:rPr>
                <w:rFonts w:hint="eastAsia"/>
                <w:sz w:val="24"/>
                <w:szCs w:val="24"/>
              </w:rPr>
              <w:t>炙：取待炮炙品，加米醋拌匀，闷透，置炒制容器内，炒至规定的程度时，取出，放凉。</w:t>
            </w:r>
          </w:p>
          <w:p w14:paraId="4EE62FFD">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fldChar w:fldCharType="begin"/>
            </w:r>
            <w:r>
              <w:rPr>
                <w:rFonts w:hint="eastAsia"/>
                <w:sz w:val="24"/>
                <w:szCs w:val="24"/>
              </w:rPr>
              <w:instrText xml:space="preserve"> = 4 \* GB3 \* MERGEFORMAT </w:instrText>
            </w:r>
            <w:r>
              <w:rPr>
                <w:rFonts w:hint="eastAsia"/>
                <w:sz w:val="24"/>
                <w:szCs w:val="24"/>
              </w:rPr>
              <w:fldChar w:fldCharType="separate"/>
            </w:r>
            <w:r>
              <w:rPr>
                <w:rFonts w:hint="default"/>
                <w:sz w:val="24"/>
                <w:szCs w:val="24"/>
              </w:rPr>
              <w:t>④</w:t>
            </w:r>
            <w:r>
              <w:rPr>
                <w:rFonts w:hint="eastAsia"/>
                <w:sz w:val="24"/>
                <w:szCs w:val="24"/>
              </w:rPr>
              <w:fldChar w:fldCharType="end"/>
            </w:r>
            <w:r>
              <w:rPr>
                <w:rFonts w:hint="eastAsia"/>
                <w:sz w:val="24"/>
                <w:szCs w:val="24"/>
              </w:rPr>
              <w:t>盐炙：取待炮炙品，加盐水拌匀，闷透，置炒制容器内，以文火加热，炒至规定的程度时，取出，放凉。</w:t>
            </w:r>
          </w:p>
          <w:p w14:paraId="57A137EC">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fldChar w:fldCharType="begin"/>
            </w:r>
            <w:r>
              <w:rPr>
                <w:rFonts w:hint="eastAsia"/>
                <w:sz w:val="24"/>
                <w:szCs w:val="24"/>
              </w:rPr>
              <w:instrText xml:space="preserve"> = 5 \* GB3 \* MERGEFORMAT </w:instrText>
            </w:r>
            <w:r>
              <w:rPr>
                <w:rFonts w:hint="eastAsia"/>
                <w:sz w:val="24"/>
                <w:szCs w:val="24"/>
              </w:rPr>
              <w:fldChar w:fldCharType="separate"/>
            </w:r>
            <w:r>
              <w:rPr>
                <w:rFonts w:hint="default"/>
                <w:sz w:val="24"/>
                <w:szCs w:val="24"/>
              </w:rPr>
              <w:t>⑤</w:t>
            </w:r>
            <w:r>
              <w:rPr>
                <w:rFonts w:hint="eastAsia"/>
                <w:sz w:val="24"/>
                <w:szCs w:val="24"/>
              </w:rPr>
              <w:fldChar w:fldCharType="end"/>
            </w:r>
            <w:r>
              <w:rPr>
                <w:rFonts w:hint="eastAsia"/>
                <w:sz w:val="24"/>
                <w:szCs w:val="24"/>
              </w:rPr>
              <w:t>姜汁炙：生姜捣烂，榨取其汁，与药材拌匀焖润使姜汁吸尽，置锅内文火炒至微黄或黄色，略见焦斑，色泽均匀，有辅料香气时取出。一般为每公斤药材用姜汁 100—250 毫升。</w:t>
            </w:r>
          </w:p>
          <w:p w14:paraId="6E12F078">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fldChar w:fldCharType="begin"/>
            </w:r>
            <w:r>
              <w:rPr>
                <w:rFonts w:hint="eastAsia"/>
                <w:sz w:val="24"/>
                <w:szCs w:val="24"/>
              </w:rPr>
              <w:instrText xml:space="preserve"> = 6 \* GB3 \* MERGEFORMAT </w:instrText>
            </w:r>
            <w:r>
              <w:rPr>
                <w:rFonts w:hint="eastAsia"/>
                <w:sz w:val="24"/>
                <w:szCs w:val="24"/>
              </w:rPr>
              <w:fldChar w:fldCharType="separate"/>
            </w:r>
            <w:r>
              <w:rPr>
                <w:rFonts w:hint="default"/>
                <w:sz w:val="24"/>
                <w:szCs w:val="24"/>
              </w:rPr>
              <w:t>⑥</w:t>
            </w:r>
            <w:r>
              <w:rPr>
                <w:rFonts w:hint="eastAsia"/>
                <w:sz w:val="24"/>
                <w:szCs w:val="24"/>
              </w:rPr>
              <w:fldChar w:fldCharType="end"/>
            </w:r>
            <w:r>
              <w:rPr>
                <w:rFonts w:hint="eastAsia"/>
                <w:sz w:val="24"/>
                <w:szCs w:val="24"/>
              </w:rPr>
              <w:t>蜜炙：蜜炙时，先将炼蜜加适量沸水稀释后，加入待炮炙品中拌匀，闷透，置炒制容器内，用文火炒至规定程度时，取出，放凉。</w:t>
            </w:r>
          </w:p>
          <w:p w14:paraId="2569E2D4">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fldChar w:fldCharType="begin"/>
            </w:r>
            <w:r>
              <w:rPr>
                <w:rFonts w:hint="eastAsia"/>
                <w:sz w:val="24"/>
                <w:szCs w:val="24"/>
              </w:rPr>
              <w:instrText xml:space="preserve"> = 7 \* GB3 \* MERGEFORMAT </w:instrText>
            </w:r>
            <w:r>
              <w:rPr>
                <w:rFonts w:hint="eastAsia"/>
                <w:sz w:val="24"/>
                <w:szCs w:val="24"/>
              </w:rPr>
              <w:fldChar w:fldCharType="separate"/>
            </w:r>
            <w:r>
              <w:rPr>
                <w:rFonts w:hint="default"/>
                <w:sz w:val="24"/>
                <w:szCs w:val="24"/>
              </w:rPr>
              <w:t>⑦</w:t>
            </w:r>
            <w:r>
              <w:rPr>
                <w:rFonts w:hint="eastAsia"/>
                <w:sz w:val="24"/>
                <w:szCs w:val="24"/>
              </w:rPr>
              <w:fldChar w:fldCharType="end"/>
            </w:r>
            <w:r>
              <w:rPr>
                <w:rFonts w:hint="eastAsia"/>
                <w:sz w:val="24"/>
                <w:szCs w:val="24"/>
              </w:rPr>
              <w:t>蒸制：将净选后的药物加辅料或不加辅料装入蒸制容器内用水蒸气加热或隔水加热至一定程度的炮制方法。其中不加辅料者为清蒸，加辅料者为加辅料蒸。</w:t>
            </w:r>
          </w:p>
          <w:p w14:paraId="295495D3">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fldChar w:fldCharType="begin"/>
            </w:r>
            <w:r>
              <w:rPr>
                <w:rFonts w:hint="eastAsia"/>
                <w:sz w:val="24"/>
                <w:szCs w:val="24"/>
              </w:rPr>
              <w:instrText xml:space="preserve"> = 8 \* GB3 \* MERGEFORMAT </w:instrText>
            </w:r>
            <w:r>
              <w:rPr>
                <w:rFonts w:hint="eastAsia"/>
                <w:sz w:val="24"/>
                <w:szCs w:val="24"/>
              </w:rPr>
              <w:fldChar w:fldCharType="separate"/>
            </w:r>
            <w:r>
              <w:rPr>
                <w:rFonts w:hint="default"/>
                <w:sz w:val="24"/>
                <w:szCs w:val="24"/>
              </w:rPr>
              <w:t>⑧</w:t>
            </w:r>
            <w:r>
              <w:rPr>
                <w:rFonts w:hint="eastAsia"/>
                <w:sz w:val="24"/>
                <w:szCs w:val="24"/>
              </w:rPr>
              <w:fldChar w:fldCharType="end"/>
            </w:r>
            <w:r>
              <w:rPr>
                <w:rFonts w:hint="eastAsia"/>
                <w:sz w:val="24"/>
                <w:szCs w:val="24"/>
              </w:rPr>
              <w:t>煮制：将净制过的中药，利用水温或药汁的温度加热药材方法。</w:t>
            </w:r>
          </w:p>
          <w:p w14:paraId="07E50B35">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煅制:将净制过的中药，置适宜的耐火容器，高温加热至红透或酥脆的操作过程。</w:t>
            </w:r>
          </w:p>
          <w:p w14:paraId="7EAE1B2C">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eastAsia"/>
                <w:sz w:val="24"/>
                <w:szCs w:val="24"/>
              </w:rPr>
            </w:pPr>
            <w:r>
              <w:rPr>
                <w:rFonts w:hint="eastAsia"/>
                <w:sz w:val="24"/>
                <w:szCs w:val="24"/>
              </w:rPr>
              <w:t>燀制：将净制过的中药在沸水中短时间浸煮的方法。</w:t>
            </w:r>
          </w:p>
          <w:p w14:paraId="166D3E11">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eastAsia" w:ascii="Times New Roman" w:hAnsi="Times New Roman" w:eastAsia="宋体" w:cs="Times New Roman"/>
                <w:sz w:val="24"/>
                <w:szCs w:val="24"/>
              </w:rPr>
            </w:pPr>
            <w:r>
              <w:rPr>
                <w:rFonts w:hint="eastAsia"/>
                <w:sz w:val="24"/>
                <w:szCs w:val="24"/>
              </w:rPr>
              <w:t>发酵：将药物加水加温，在一定温湿度条件下，使其发酵生上菌丝。待其</w:t>
            </w:r>
            <w:r>
              <w:rPr>
                <w:rFonts w:hint="eastAsia" w:ascii="Times New Roman" w:hAnsi="Times New Roman" w:eastAsia="宋体" w:cs="Times New Roman"/>
                <w:sz w:val="24"/>
                <w:szCs w:val="24"/>
              </w:rPr>
              <w:t>发酵药物表面有黄白色霉衣，无霉气，不腐烂，有药材固有气味，取出晒干。</w:t>
            </w:r>
          </w:p>
          <w:p w14:paraId="4B611769">
            <w:pPr>
              <w:keepNext w:val="0"/>
              <w:keepLines w:val="0"/>
              <w:pageBreakBefore w:val="0"/>
              <w:widowControl w:val="0"/>
              <w:kinsoku/>
              <w:wordWrap w:val="0"/>
              <w:overflowPunct/>
              <w:topLinePunct w:val="0"/>
              <w:autoSpaceDE/>
              <w:autoSpaceDN/>
              <w:bidi w:val="0"/>
              <w:adjustRightInd/>
              <w:snapToGrid/>
              <w:ind w:firstLine="482" w:firstLineChars="200"/>
              <w:textAlignment w:val="auto"/>
              <w:rPr>
                <w:rFonts w:hint="eastAsia"/>
                <w:b/>
                <w:sz w:val="24"/>
                <w:szCs w:val="24"/>
              </w:rPr>
            </w:pPr>
            <w:r>
              <w:rPr>
                <w:rFonts w:hint="eastAsia"/>
                <w:b/>
                <w:sz w:val="24"/>
                <w:szCs w:val="24"/>
                <w:lang w:eastAsia="zh-CN"/>
              </w:rPr>
              <w:t>（</w:t>
            </w:r>
            <w:r>
              <w:rPr>
                <w:rFonts w:hint="eastAsia"/>
                <w:b/>
                <w:sz w:val="24"/>
                <w:szCs w:val="24"/>
                <w:lang w:val="en-US" w:eastAsia="zh-CN"/>
              </w:rPr>
              <w:t>1</w:t>
            </w:r>
            <w:r>
              <w:rPr>
                <w:rFonts w:hint="eastAsia"/>
                <w:b/>
                <w:sz w:val="24"/>
                <w:szCs w:val="24"/>
                <w:lang w:eastAsia="zh-CN"/>
              </w:rPr>
              <w:t>）</w:t>
            </w:r>
            <w:r>
              <w:rPr>
                <w:rFonts w:hint="eastAsia"/>
                <w:b/>
                <w:sz w:val="24"/>
                <w:szCs w:val="24"/>
              </w:rPr>
              <w:t>净制类中药饮片生产工艺流程</w:t>
            </w:r>
          </w:p>
          <w:p w14:paraId="497C97E7">
            <w:pPr>
              <w:keepNext w:val="0"/>
              <w:keepLines w:val="0"/>
              <w:pageBreakBefore w:val="0"/>
              <w:widowControl w:val="0"/>
              <w:kinsoku/>
              <w:wordWrap w:val="0"/>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b/>
                <w:sz w:val="24"/>
                <w:szCs w:val="24"/>
              </w:rPr>
              <w:object>
                <v:shape id="_x0000_i1026" o:spt="75" type="#_x0000_t75" style="height:305.35pt;width:431.65pt;" o:ole="t" filled="f" o:preferrelative="t" stroked="f" coordsize="21600,21600">
                  <v:path/>
                  <v:fill on="f" focussize="0,0"/>
                  <v:stroke on="f"/>
                  <v:imagedata r:id="rId28" o:title=""/>
                  <o:lock v:ext="edit" aspectratio="f"/>
                  <w10:wrap type="none"/>
                  <w10:anchorlock/>
                </v:shape>
                <o:OLEObject Type="Embed" ProgID="Visio.Drawing.15" ShapeID="_x0000_i1026" DrawAspect="Content" ObjectID="_1468075726" r:id="rId27">
                  <o:LockedField>false</o:LockedField>
                </o:OLEObject>
              </w:object>
            </w:r>
            <w:r>
              <w:rPr>
                <w:rFonts w:hint="default" w:ascii="Times New Roman" w:hAnsi="Times New Roman" w:eastAsia="宋体" w:cs="Times New Roman"/>
                <w:b/>
                <w:bCs/>
                <w:sz w:val="21"/>
                <w:szCs w:val="21"/>
                <w:highlight w:val="none"/>
                <w:u w:val="single"/>
                <w:lang w:val="en-US" w:eastAsia="zh-CN"/>
              </w:rPr>
              <w:t>图</w:t>
            </w:r>
            <w:r>
              <w:rPr>
                <w:rFonts w:hint="eastAsia" w:ascii="Times New Roman" w:hAnsi="Times New Roman" w:eastAsia="宋体" w:cs="Times New Roman"/>
                <w:b/>
                <w:bCs/>
                <w:sz w:val="21"/>
                <w:szCs w:val="21"/>
                <w:highlight w:val="none"/>
                <w:u w:val="single"/>
                <w:lang w:val="en-US" w:eastAsia="zh-CN"/>
              </w:rPr>
              <w:t>2-2</w:t>
            </w:r>
            <w:r>
              <w:rPr>
                <w:rFonts w:hint="default" w:ascii="Times New Roman" w:hAnsi="Times New Roman" w:eastAsia="宋体" w:cs="Times New Roman"/>
                <w:b/>
                <w:bCs/>
                <w:sz w:val="21"/>
                <w:szCs w:val="21"/>
                <w:highlight w:val="none"/>
                <w:u w:val="single"/>
                <w:lang w:val="en-US" w:eastAsia="zh-CN"/>
              </w:rPr>
              <w:t xml:space="preserve">   </w:t>
            </w:r>
            <w:r>
              <w:rPr>
                <w:rFonts w:hint="eastAsia" w:ascii="Times New Roman" w:hAnsi="Times New Roman" w:eastAsia="宋体" w:cs="Times New Roman"/>
                <w:b/>
                <w:bCs/>
                <w:sz w:val="21"/>
                <w:szCs w:val="21"/>
                <w:highlight w:val="none"/>
                <w:u w:val="single"/>
                <w:lang w:val="en-US" w:eastAsia="zh-CN"/>
              </w:rPr>
              <w:t>净</w:t>
            </w:r>
            <w:r>
              <w:rPr>
                <w:rFonts w:hint="default" w:ascii="Times New Roman" w:hAnsi="Times New Roman" w:eastAsia="宋体" w:cs="Times New Roman"/>
                <w:b/>
                <w:bCs/>
                <w:sz w:val="21"/>
                <w:szCs w:val="21"/>
                <w:highlight w:val="none"/>
                <w:u w:val="single"/>
                <w:lang w:val="en-US" w:eastAsia="zh-CN"/>
              </w:rPr>
              <w:t>制类中药饮片生产工艺</w:t>
            </w:r>
            <w:r>
              <w:rPr>
                <w:rFonts w:hint="eastAsia" w:ascii="Times New Roman" w:hAnsi="Times New Roman" w:eastAsia="宋体" w:cs="Times New Roman"/>
                <w:b/>
                <w:bCs/>
                <w:sz w:val="21"/>
                <w:szCs w:val="21"/>
                <w:highlight w:val="none"/>
                <w:u w:val="single"/>
                <w:lang w:val="en-US" w:eastAsia="zh-CN"/>
              </w:rPr>
              <w:t>流程</w:t>
            </w:r>
          </w:p>
          <w:p w14:paraId="1C0A62CA">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工艺流程简述：</w:t>
            </w:r>
          </w:p>
          <w:p w14:paraId="0BD290CF">
            <w:pPr>
              <w:pStyle w:val="18"/>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净选</w:t>
            </w:r>
            <w:r>
              <w:rPr>
                <w:rFonts w:hint="eastAsia" w:cs="Times New Roman"/>
                <w:sz w:val="24"/>
                <w:szCs w:val="24"/>
                <w:lang w:eastAsia="zh-CN"/>
              </w:rPr>
              <w:t>、</w:t>
            </w:r>
            <w:r>
              <w:rPr>
                <w:rFonts w:hint="eastAsia" w:cs="Times New Roman"/>
                <w:sz w:val="24"/>
                <w:szCs w:val="24"/>
                <w:lang w:val="en-US" w:eastAsia="zh-CN"/>
              </w:rPr>
              <w:t>清洗</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按生产指令从仓库领取药材，经物流通道送入净选操作间，将原药材放置于净选工作台上，拣净杂质，</w:t>
            </w:r>
            <w:r>
              <w:rPr>
                <w:rFonts w:hint="eastAsia" w:cs="Times New Roman"/>
                <w:sz w:val="24"/>
                <w:szCs w:val="24"/>
                <w:lang w:val="en-US" w:eastAsia="zh-CN"/>
              </w:rPr>
              <w:t>然后清洗</w:t>
            </w:r>
            <w:r>
              <w:rPr>
                <w:rFonts w:hint="eastAsia" w:ascii="Times New Roman" w:hAnsi="Times New Roman" w:eastAsia="宋体" w:cs="Times New Roman"/>
                <w:sz w:val="24"/>
                <w:szCs w:val="24"/>
              </w:rPr>
              <w:t>。</w:t>
            </w:r>
          </w:p>
          <w:p w14:paraId="671F6FBB">
            <w:pPr>
              <w:pStyle w:val="18"/>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干燥</w:t>
            </w:r>
            <w:r>
              <w:rPr>
                <w:rFonts w:hint="eastAsia" w:ascii="Times New Roman" w:hAnsi="Times New Roman" w:eastAsia="宋体" w:cs="Times New Roman"/>
                <w:sz w:val="24"/>
                <w:szCs w:val="24"/>
                <w:lang w:eastAsia="zh-CN"/>
              </w:rPr>
              <w:t>：</w:t>
            </w:r>
            <w:r>
              <w:rPr>
                <w:rFonts w:hint="eastAsia" w:cs="Times New Roman"/>
                <w:sz w:val="24"/>
                <w:szCs w:val="24"/>
                <w:lang w:val="en-US" w:eastAsia="zh-CN"/>
              </w:rPr>
              <w:t>清洗干净的中药材</w:t>
            </w:r>
            <w:r>
              <w:rPr>
                <w:rFonts w:hint="eastAsia" w:ascii="Times New Roman" w:hAnsi="Times New Roman" w:eastAsia="宋体" w:cs="Times New Roman"/>
                <w:sz w:val="24"/>
                <w:szCs w:val="24"/>
              </w:rPr>
              <w:t>平铺于不锈钢烘盘中，上货厚度在2cm以下，置热风循环烘箱中，设定温度60-70℃，干燥3～4小时，取出，放凉。</w:t>
            </w:r>
          </w:p>
          <w:p w14:paraId="3AC29892">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sz w:val="24"/>
                <w:szCs w:val="24"/>
                <w:lang w:val="en-US" w:eastAsia="zh-CN"/>
              </w:rPr>
            </w:pPr>
            <w:r>
              <w:rPr>
                <w:rFonts w:hint="eastAsia" w:ascii="Times New Roman" w:hAnsi="Times New Roman" w:eastAsia="宋体" w:cs="Times New Roman"/>
                <w:sz w:val="24"/>
                <w:szCs w:val="24"/>
                <w:lang w:val="en-US" w:eastAsia="zh-CN"/>
              </w:rPr>
              <w:t>成品检验</w:t>
            </w:r>
            <w:r>
              <w:rPr>
                <w:rFonts w:hint="eastAsia" w:cs="Times New Roman"/>
                <w:sz w:val="24"/>
                <w:szCs w:val="24"/>
                <w:lang w:val="en-US" w:eastAsia="zh-CN"/>
              </w:rPr>
              <w:t>：</w:t>
            </w:r>
            <w:r>
              <w:rPr>
                <w:rFonts w:hint="eastAsia"/>
                <w:sz w:val="24"/>
                <w:szCs w:val="24"/>
                <w:lang w:val="en-US" w:eastAsia="zh-CN"/>
              </w:rPr>
              <w:t>对成品按照标准要求进行逐项检测。</w:t>
            </w:r>
          </w:p>
          <w:p w14:paraId="2E79A27C">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包装</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根据品种的差别，进行包装。</w:t>
            </w:r>
          </w:p>
          <w:p w14:paraId="2F0DCDE0">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入库</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将合格产品放入成品库，一定数量后转移至</w:t>
            </w:r>
            <w:r>
              <w:rPr>
                <w:rFonts w:hint="eastAsia" w:cs="Times New Roman"/>
                <w:sz w:val="24"/>
                <w:szCs w:val="24"/>
                <w:lang w:val="en-US" w:eastAsia="zh-CN"/>
              </w:rPr>
              <w:t>成品</w:t>
            </w:r>
            <w:r>
              <w:rPr>
                <w:rFonts w:hint="eastAsia" w:ascii="Times New Roman" w:hAnsi="Times New Roman" w:eastAsia="宋体" w:cs="Times New Roman"/>
                <w:sz w:val="24"/>
                <w:szCs w:val="24"/>
                <w:lang w:val="en-US" w:eastAsia="zh-CN"/>
              </w:rPr>
              <w:t>库。</w:t>
            </w:r>
          </w:p>
          <w:p w14:paraId="76215BDC">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default" w:eastAsia="宋体"/>
                <w:lang w:val="en-US" w:eastAsia="zh-CN"/>
              </w:rPr>
            </w:pPr>
            <w:r>
              <w:rPr>
                <w:rFonts w:hint="eastAsia"/>
                <w:lang w:val="en-US" w:eastAsia="zh-CN"/>
              </w:rPr>
              <w:t>（2）</w:t>
            </w:r>
            <w:r>
              <w:rPr>
                <w:rFonts w:hint="eastAsia" w:eastAsia="宋体" w:cs="Times New Roman"/>
                <w:b/>
                <w:lang w:val="en-US" w:eastAsia="zh-CN"/>
              </w:rPr>
              <w:t xml:space="preserve">切制类中药饮片生产工艺流程  </w:t>
            </w:r>
          </w:p>
          <w:p w14:paraId="77DA63F6">
            <w:pPr>
              <w:pStyle w:val="18"/>
              <w:keepNext w:val="0"/>
              <w:keepLines w:val="0"/>
              <w:pageBreakBefore w:val="0"/>
              <w:widowControl w:val="0"/>
              <w:kinsoku/>
              <w:wordWrap w:val="0"/>
              <w:overflowPunct/>
              <w:topLinePunct w:val="0"/>
              <w:autoSpaceDE/>
              <w:autoSpaceDN/>
              <w:bidi w:val="0"/>
              <w:adjustRightInd/>
              <w:snapToGrid/>
              <w:ind w:firstLine="0" w:firstLineChars="0"/>
              <w:jc w:val="center"/>
              <w:textAlignment w:val="auto"/>
            </w:pPr>
            <w:r>
              <w:object>
                <v:shape id="_x0000_i1027" o:spt="75" type="#_x0000_t75" style="height:335.5pt;width:417.1pt;" o:ole="t" filled="f" o:preferrelative="t" stroked="f" coordsize="21600,21600">
                  <v:path/>
                  <v:fill on="f" focussize="0,0"/>
                  <v:stroke on="f"/>
                  <v:imagedata r:id="rId30" o:title=""/>
                  <o:lock v:ext="edit" aspectratio="f"/>
                  <w10:wrap type="none"/>
                  <w10:anchorlock/>
                </v:shape>
                <o:OLEObject Type="Embed" ProgID="Visio.Drawing.15" ShapeID="_x0000_i1027" DrawAspect="Content" ObjectID="_1468075727" r:id="rId29">
                  <o:LockedField>false</o:LockedField>
                </o:OLEObject>
              </w:object>
            </w:r>
          </w:p>
          <w:p w14:paraId="56045BE9">
            <w:pPr>
              <w:pStyle w:val="18"/>
              <w:keepNext w:val="0"/>
              <w:keepLines w:val="0"/>
              <w:pageBreakBefore w:val="0"/>
              <w:widowControl w:val="0"/>
              <w:kinsoku/>
              <w:wordWrap w:val="0"/>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图2</w:t>
            </w:r>
            <w:r>
              <w:rPr>
                <w:rFonts w:hint="eastAsia" w:ascii="Times New Roman" w:hAnsi="Times New Roman" w:eastAsia="宋体" w:cs="Times New Roman"/>
                <w:b/>
                <w:bCs/>
                <w:sz w:val="21"/>
                <w:szCs w:val="21"/>
                <w:highlight w:val="none"/>
                <w:lang w:val="en-US" w:eastAsia="zh-CN"/>
              </w:rPr>
              <w:t>-3</w:t>
            </w:r>
            <w:r>
              <w:rPr>
                <w:rFonts w:hint="default" w:ascii="Times New Roman" w:hAnsi="Times New Roman" w:eastAsia="宋体" w:cs="Times New Roman"/>
                <w:b/>
                <w:bCs/>
                <w:sz w:val="21"/>
                <w:szCs w:val="21"/>
                <w:highlight w:val="none"/>
                <w:lang w:val="en-US" w:eastAsia="zh-CN"/>
              </w:rPr>
              <w:t xml:space="preserve">  切制类中药饮片生产工艺</w:t>
            </w:r>
            <w:r>
              <w:rPr>
                <w:rFonts w:hint="eastAsia" w:ascii="Times New Roman" w:hAnsi="Times New Roman" w:eastAsia="宋体" w:cs="Times New Roman"/>
                <w:b/>
                <w:bCs/>
                <w:sz w:val="21"/>
                <w:szCs w:val="21"/>
                <w:highlight w:val="none"/>
                <w:lang w:val="en-US" w:eastAsia="zh-CN"/>
              </w:rPr>
              <w:t>流程</w:t>
            </w:r>
          </w:p>
          <w:p w14:paraId="1BAE7F1A">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工艺流程简述：</w:t>
            </w:r>
          </w:p>
          <w:p w14:paraId="573D2D05">
            <w:pPr>
              <w:pStyle w:val="18"/>
              <w:ind w:firstLine="42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净</w:t>
            </w:r>
            <w:r>
              <w:rPr>
                <w:rFonts w:hint="eastAsia" w:cs="Times New Roman"/>
                <w:sz w:val="24"/>
                <w:szCs w:val="24"/>
                <w:lang w:val="en-US" w:eastAsia="zh-CN"/>
              </w:rPr>
              <w:t>制</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按生产指令从仓库领取药材，经物流通道送入净选操作间，将药材放置于净选工作台上，拣净</w:t>
            </w:r>
            <w:bookmarkStart w:id="6" w:name="OLE_LINK1"/>
            <w:r>
              <w:rPr>
                <w:rFonts w:hint="eastAsia" w:ascii="Times New Roman" w:hAnsi="Times New Roman" w:eastAsia="宋体" w:cs="Times New Roman"/>
                <w:sz w:val="24"/>
                <w:szCs w:val="24"/>
              </w:rPr>
              <w:t>杂质</w:t>
            </w:r>
            <w:r>
              <w:rPr>
                <w:rFonts w:hint="eastAsia" w:ascii="Times New Roman" w:hAnsi="Times New Roman" w:eastAsia="宋体" w:cs="Times New Roman"/>
                <w:sz w:val="24"/>
                <w:szCs w:val="24"/>
                <w:lang w:eastAsia="zh-CN"/>
              </w:rPr>
              <w:t>及非药用部位</w:t>
            </w:r>
            <w:r>
              <w:rPr>
                <w:rFonts w:hint="eastAsia" w:ascii="Times New Roman" w:hAnsi="Times New Roman" w:eastAsia="宋体" w:cs="Times New Roman"/>
                <w:sz w:val="24"/>
                <w:szCs w:val="24"/>
              </w:rPr>
              <w:t>，</w:t>
            </w:r>
            <w:bookmarkEnd w:id="6"/>
            <w:r>
              <w:rPr>
                <w:rFonts w:hint="eastAsia" w:ascii="Times New Roman" w:hAnsi="Times New Roman" w:eastAsia="宋体" w:cs="Times New Roman"/>
                <w:sz w:val="24"/>
                <w:szCs w:val="24"/>
              </w:rPr>
              <w:t>将</w:t>
            </w:r>
            <w:r>
              <w:rPr>
                <w:rFonts w:hint="eastAsia" w:ascii="Times New Roman" w:hAnsi="Times New Roman" w:eastAsia="宋体" w:cs="Times New Roman"/>
                <w:sz w:val="24"/>
                <w:szCs w:val="24"/>
                <w:lang w:eastAsia="zh-CN"/>
              </w:rPr>
              <w:t>净制后</w:t>
            </w:r>
            <w:r>
              <w:rPr>
                <w:rFonts w:hint="eastAsia" w:ascii="Times New Roman" w:hAnsi="Times New Roman" w:eastAsia="宋体" w:cs="Times New Roman"/>
                <w:sz w:val="24"/>
                <w:szCs w:val="24"/>
              </w:rPr>
              <w:t>的</w:t>
            </w:r>
            <w:r>
              <w:rPr>
                <w:rFonts w:hint="eastAsia" w:ascii="Times New Roman" w:hAnsi="Times New Roman" w:eastAsia="宋体" w:cs="Times New Roman"/>
                <w:sz w:val="24"/>
                <w:szCs w:val="24"/>
                <w:lang w:val="en-US" w:eastAsia="zh-CN"/>
              </w:rPr>
              <w:t>药材</w:t>
            </w:r>
            <w:r>
              <w:rPr>
                <w:rFonts w:hint="eastAsia" w:ascii="Times New Roman" w:hAnsi="Times New Roman" w:eastAsia="宋体" w:cs="Times New Roman"/>
                <w:sz w:val="24"/>
                <w:szCs w:val="24"/>
              </w:rPr>
              <w:t>盛装于</w:t>
            </w:r>
            <w:r>
              <w:rPr>
                <w:rFonts w:hint="eastAsia" w:ascii="Times New Roman" w:hAnsi="Times New Roman" w:eastAsia="宋体" w:cs="Times New Roman"/>
                <w:sz w:val="24"/>
                <w:szCs w:val="24"/>
                <w:lang w:eastAsia="zh-CN"/>
              </w:rPr>
              <w:t>中转</w:t>
            </w:r>
            <w:r>
              <w:rPr>
                <w:rFonts w:hint="eastAsia" w:ascii="Times New Roman" w:hAnsi="Times New Roman" w:eastAsia="宋体" w:cs="Times New Roman"/>
                <w:sz w:val="24"/>
                <w:szCs w:val="24"/>
              </w:rPr>
              <w:t>筐中，称重。</w:t>
            </w:r>
          </w:p>
          <w:p w14:paraId="6E951F1D">
            <w:pPr>
              <w:pStyle w:val="18"/>
              <w:ind w:firstLine="42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润</w:t>
            </w:r>
            <w:r>
              <w:rPr>
                <w:rFonts w:hint="eastAsia" w:cs="Times New Roman"/>
                <w:sz w:val="24"/>
                <w:szCs w:val="24"/>
                <w:lang w:val="en-US" w:eastAsia="zh-CN"/>
              </w:rPr>
              <w:t>制</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取净</w:t>
            </w:r>
            <w:r>
              <w:rPr>
                <w:rFonts w:hint="eastAsia" w:ascii="Times New Roman" w:hAnsi="Times New Roman" w:eastAsia="宋体" w:cs="Times New Roman"/>
                <w:sz w:val="24"/>
                <w:szCs w:val="24"/>
                <w:lang w:eastAsia="zh-CN"/>
              </w:rPr>
              <w:t>制后</w:t>
            </w:r>
            <w:r>
              <w:rPr>
                <w:rFonts w:hint="eastAsia" w:ascii="Times New Roman" w:hAnsi="Times New Roman" w:eastAsia="宋体" w:cs="Times New Roman"/>
                <w:sz w:val="24"/>
                <w:szCs w:val="24"/>
              </w:rPr>
              <w:t>的</w:t>
            </w:r>
            <w:r>
              <w:rPr>
                <w:rFonts w:hint="eastAsia" w:ascii="Times New Roman" w:hAnsi="Times New Roman" w:eastAsia="宋体" w:cs="Times New Roman"/>
                <w:sz w:val="24"/>
                <w:szCs w:val="24"/>
                <w:lang w:val="en-US" w:eastAsia="zh-CN"/>
              </w:rPr>
              <w:t>药材</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eastAsia="zh-CN"/>
              </w:rPr>
              <w:t>水洗净附着的泥沙或不洁物等</w:t>
            </w:r>
            <w:r>
              <w:rPr>
                <w:rFonts w:hint="eastAsia" w:ascii="Times New Roman" w:hAnsi="Times New Roman" w:eastAsia="宋体" w:cs="Times New Roman"/>
                <w:sz w:val="24"/>
                <w:szCs w:val="24"/>
              </w:rPr>
              <w:t>。将已洗净的</w:t>
            </w:r>
            <w:r>
              <w:rPr>
                <w:rFonts w:hint="eastAsia" w:ascii="Times New Roman" w:hAnsi="Times New Roman" w:eastAsia="宋体" w:cs="Times New Roman"/>
                <w:sz w:val="24"/>
                <w:szCs w:val="24"/>
                <w:lang w:val="en-US" w:eastAsia="zh-CN"/>
              </w:rPr>
              <w:t>药材</w:t>
            </w:r>
            <w:r>
              <w:rPr>
                <w:rFonts w:hint="eastAsia" w:ascii="Times New Roman" w:hAnsi="Times New Roman" w:eastAsia="宋体" w:cs="Times New Roman"/>
                <w:sz w:val="24"/>
                <w:szCs w:val="24"/>
              </w:rPr>
              <w:t>，按大小</w:t>
            </w:r>
            <w:r>
              <w:rPr>
                <w:rFonts w:hint="eastAsia" w:ascii="Times New Roman" w:hAnsi="Times New Roman" w:eastAsia="宋体" w:cs="Times New Roman"/>
                <w:sz w:val="24"/>
                <w:szCs w:val="24"/>
                <w:lang w:eastAsia="zh-CN"/>
              </w:rPr>
              <w:t>分档分别</w:t>
            </w:r>
            <w:r>
              <w:rPr>
                <w:rFonts w:hint="eastAsia" w:ascii="Times New Roman" w:hAnsi="Times New Roman" w:eastAsia="宋体" w:cs="Times New Roman"/>
                <w:sz w:val="24"/>
                <w:szCs w:val="24"/>
              </w:rPr>
              <w:t>装入不锈钢筐内</w:t>
            </w:r>
            <w:r>
              <w:rPr>
                <w:rFonts w:hint="eastAsia" w:ascii="Times New Roman" w:hAnsi="Times New Roman" w:eastAsia="宋体" w:cs="Times New Roman"/>
                <w:sz w:val="24"/>
                <w:szCs w:val="24"/>
                <w:lang w:eastAsia="zh-CN"/>
              </w:rPr>
              <w:t>或</w:t>
            </w:r>
            <w:r>
              <w:rPr>
                <w:rFonts w:hint="eastAsia" w:ascii="Times New Roman" w:hAnsi="Times New Roman" w:eastAsia="宋体" w:cs="Times New Roman"/>
                <w:sz w:val="24"/>
                <w:szCs w:val="24"/>
                <w:lang w:val="en-US" w:eastAsia="zh-CN"/>
              </w:rPr>
              <w:t>洗</w:t>
            </w:r>
            <w:r>
              <w:rPr>
                <w:rFonts w:hint="eastAsia" w:ascii="Times New Roman" w:hAnsi="Times New Roman" w:eastAsia="宋体" w:cs="Times New Roman"/>
                <w:sz w:val="24"/>
                <w:szCs w:val="24"/>
                <w:lang w:eastAsia="zh-CN"/>
              </w:rPr>
              <w:t>药池内</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eastAsia="zh-CN"/>
              </w:rPr>
              <w:t>自然润透（润透时间为：夏季</w:t>
            </w:r>
            <w:r>
              <w:rPr>
                <w:rFonts w:hint="eastAsia" w:ascii="Times New Roman" w:hAnsi="Times New Roman" w:eastAsia="宋体" w:cs="Times New Roman"/>
                <w:sz w:val="24"/>
                <w:szCs w:val="24"/>
                <w:lang w:val="en-US" w:eastAsia="zh-CN"/>
              </w:rPr>
              <w:t>3-4小时；冬季4-5小时</w:t>
            </w:r>
            <w:r>
              <w:rPr>
                <w:rFonts w:hint="eastAsia" w:ascii="Times New Roman" w:hAnsi="Times New Roman" w:eastAsia="宋体" w:cs="Times New Roman"/>
                <w:sz w:val="24"/>
                <w:szCs w:val="24"/>
                <w:lang w:eastAsia="zh-CN"/>
              </w:rPr>
              <w:t>）至药透水尽，软硬适度，断面无干心。盛装于中转筐中，称重。</w:t>
            </w:r>
          </w:p>
          <w:p w14:paraId="15D62B36">
            <w:pPr>
              <w:pStyle w:val="18"/>
              <w:ind w:firstLine="42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切制</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取出润好的</w:t>
            </w:r>
            <w:r>
              <w:rPr>
                <w:rFonts w:hint="eastAsia" w:ascii="Times New Roman" w:hAnsi="Times New Roman" w:eastAsia="宋体" w:cs="Times New Roman"/>
                <w:sz w:val="24"/>
                <w:szCs w:val="24"/>
                <w:lang w:val="en-US" w:eastAsia="zh-CN"/>
              </w:rPr>
              <w:t>药材</w:t>
            </w:r>
            <w:r>
              <w:rPr>
                <w:rFonts w:hint="eastAsia" w:ascii="Times New Roman" w:hAnsi="Times New Roman" w:eastAsia="宋体" w:cs="Times New Roman"/>
                <w:sz w:val="24"/>
                <w:szCs w:val="24"/>
              </w:rPr>
              <w:t>，使用</w:t>
            </w:r>
            <w:r>
              <w:rPr>
                <w:rFonts w:hint="eastAsia" w:ascii="Times New Roman" w:hAnsi="Times New Roman" w:eastAsia="宋体" w:cs="Times New Roman"/>
                <w:sz w:val="24"/>
                <w:szCs w:val="24"/>
                <w:lang w:val="en-US" w:eastAsia="zh-CN"/>
              </w:rPr>
              <w:t>数控切药机</w:t>
            </w:r>
            <w:r>
              <w:rPr>
                <w:rFonts w:hint="eastAsia" w:ascii="Times New Roman" w:hAnsi="Times New Roman" w:eastAsia="宋体" w:cs="Times New Roman"/>
                <w:sz w:val="24"/>
                <w:szCs w:val="24"/>
              </w:rPr>
              <w:t>按照《中国药典》要求</w:t>
            </w:r>
            <w:r>
              <w:rPr>
                <w:rFonts w:hint="eastAsia" w:ascii="Times New Roman" w:hAnsi="Times New Roman" w:eastAsia="宋体" w:cs="Times New Roman"/>
                <w:sz w:val="24"/>
                <w:szCs w:val="24"/>
                <w:lang w:val="en-US" w:eastAsia="zh-CN"/>
              </w:rPr>
              <w:t>1-2mm的</w:t>
            </w:r>
            <w:r>
              <w:rPr>
                <w:rFonts w:hint="eastAsia" w:ascii="Times New Roman" w:hAnsi="Times New Roman" w:eastAsia="宋体" w:cs="Times New Roman"/>
                <w:sz w:val="24"/>
                <w:szCs w:val="24"/>
                <w:lang w:eastAsia="zh-CN"/>
              </w:rPr>
              <w:t>薄</w:t>
            </w:r>
            <w:r>
              <w:rPr>
                <w:rFonts w:hint="eastAsia" w:ascii="Times New Roman" w:hAnsi="Times New Roman" w:eastAsia="宋体" w:cs="Times New Roman"/>
                <w:sz w:val="24"/>
                <w:szCs w:val="24"/>
              </w:rPr>
              <w:t>片。</w:t>
            </w:r>
            <w:r>
              <w:rPr>
                <w:rFonts w:hint="eastAsia" w:ascii="Times New Roman" w:hAnsi="Times New Roman" w:eastAsia="宋体" w:cs="Times New Roman"/>
                <w:sz w:val="24"/>
                <w:szCs w:val="24"/>
                <w:lang w:val="en-US" w:eastAsia="zh-CN"/>
              </w:rPr>
              <w:t>盛装于中转筐中，称重。</w:t>
            </w:r>
          </w:p>
          <w:p w14:paraId="6375EAA1">
            <w:pPr>
              <w:pStyle w:val="18"/>
              <w:ind w:firstLine="42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干燥</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取切制好的</w:t>
            </w:r>
            <w:r>
              <w:rPr>
                <w:rFonts w:hint="default" w:ascii="Times New Roman" w:hAnsi="Times New Roman" w:eastAsia="宋体" w:cs="Times New Roman"/>
                <w:sz w:val="24"/>
                <w:szCs w:val="24"/>
                <w:lang w:val="en-US" w:eastAsia="zh-CN"/>
              </w:rPr>
              <w:t>药材</w:t>
            </w:r>
            <w:r>
              <w:rPr>
                <w:rFonts w:hint="default" w:ascii="Times New Roman" w:hAnsi="Times New Roman" w:eastAsia="宋体" w:cs="Times New Roman"/>
                <w:sz w:val="24"/>
                <w:szCs w:val="24"/>
              </w:rPr>
              <w:t>，平铺于不锈钢烘盘中，上货厚度在2cm以下，置</w:t>
            </w:r>
            <w:r>
              <w:rPr>
                <w:rFonts w:hint="default" w:ascii="Times New Roman" w:hAnsi="Times New Roman" w:eastAsia="宋体" w:cs="Times New Roman"/>
                <w:sz w:val="24"/>
                <w:szCs w:val="24"/>
                <w:lang w:eastAsia="zh-CN"/>
              </w:rPr>
              <w:t>热风循环烘箱</w:t>
            </w:r>
            <w:r>
              <w:rPr>
                <w:rFonts w:hint="default" w:ascii="Times New Roman" w:hAnsi="Times New Roman" w:eastAsia="宋体" w:cs="Times New Roman"/>
                <w:sz w:val="24"/>
                <w:szCs w:val="24"/>
              </w:rPr>
              <w:t>中，设定温度</w:t>
            </w:r>
            <w:r>
              <w:rPr>
                <w:rFonts w:hint="default" w:ascii="Times New Roman" w:hAnsi="Times New Roman" w:eastAsia="宋体" w:cs="Times New Roman"/>
                <w:sz w:val="24"/>
                <w:szCs w:val="24"/>
                <w:lang w:val="en-US" w:eastAsia="zh-CN"/>
              </w:rPr>
              <w:t>60-70</w:t>
            </w:r>
            <w:r>
              <w:rPr>
                <w:rFonts w:hint="default" w:ascii="Times New Roman" w:hAnsi="Times New Roman" w:eastAsia="宋体" w:cs="Times New Roman"/>
                <w:sz w:val="24"/>
                <w:szCs w:val="24"/>
              </w:rPr>
              <w:t>℃，干燥</w:t>
            </w:r>
            <w:r>
              <w:rPr>
                <w:rFonts w:hint="default" w:ascii="Times New Roman" w:hAnsi="Times New Roman" w:eastAsia="宋体" w:cs="Times New Roman"/>
                <w:sz w:val="24"/>
                <w:szCs w:val="24"/>
                <w:lang w:val="en-US" w:eastAsia="zh-CN"/>
              </w:rPr>
              <w:t>3-4</w:t>
            </w:r>
            <w:r>
              <w:rPr>
                <w:rFonts w:hint="default" w:ascii="Times New Roman" w:hAnsi="Times New Roman" w:eastAsia="宋体" w:cs="Times New Roman"/>
                <w:sz w:val="24"/>
                <w:szCs w:val="24"/>
              </w:rPr>
              <w:t>小时，取出，放凉。</w:t>
            </w:r>
            <w:r>
              <w:rPr>
                <w:rFonts w:hint="default" w:ascii="Times New Roman" w:hAnsi="Times New Roman" w:eastAsia="宋体" w:cs="Times New Roman"/>
                <w:sz w:val="24"/>
                <w:szCs w:val="24"/>
                <w:lang w:eastAsia="zh-CN"/>
              </w:rPr>
              <w:t>盛装于中转筐中，称重。</w:t>
            </w:r>
          </w:p>
          <w:p w14:paraId="225B9DEC">
            <w:pPr>
              <w:rPr>
                <w:rFonts w:hint="eastAsia"/>
                <w:sz w:val="24"/>
                <w:szCs w:val="24"/>
                <w:lang w:val="en-US" w:eastAsia="zh-CN"/>
              </w:rPr>
            </w:pPr>
            <w:r>
              <w:rPr>
                <w:rFonts w:hint="eastAsia" w:ascii="Times New Roman" w:hAnsi="Times New Roman" w:eastAsia="宋体" w:cs="Times New Roman"/>
                <w:sz w:val="24"/>
                <w:szCs w:val="24"/>
                <w:lang w:val="en-US" w:eastAsia="zh-CN"/>
              </w:rPr>
              <w:t>成品检验</w:t>
            </w:r>
            <w:r>
              <w:rPr>
                <w:rFonts w:hint="eastAsia" w:cs="Times New Roman"/>
                <w:sz w:val="24"/>
                <w:szCs w:val="24"/>
                <w:lang w:val="en-US" w:eastAsia="zh-CN"/>
              </w:rPr>
              <w:t>：</w:t>
            </w:r>
            <w:r>
              <w:rPr>
                <w:rFonts w:hint="eastAsia"/>
                <w:sz w:val="24"/>
                <w:szCs w:val="24"/>
                <w:lang w:val="en-US" w:eastAsia="zh-CN"/>
              </w:rPr>
              <w:t>对成品按照标准要求进行逐项检测。</w:t>
            </w:r>
          </w:p>
          <w:p w14:paraId="5F463266">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包装</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根据品种的差别，进行包装。</w:t>
            </w:r>
          </w:p>
          <w:p w14:paraId="676BE6DE">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入库</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将合格产品放入成品库，一定数量后转移至</w:t>
            </w:r>
            <w:r>
              <w:rPr>
                <w:rFonts w:hint="eastAsia" w:cs="Times New Roman"/>
                <w:sz w:val="24"/>
                <w:szCs w:val="24"/>
                <w:lang w:val="en-US" w:eastAsia="zh-CN"/>
              </w:rPr>
              <w:t>成品</w:t>
            </w:r>
            <w:r>
              <w:rPr>
                <w:rFonts w:hint="eastAsia" w:ascii="Times New Roman" w:hAnsi="Times New Roman" w:eastAsia="宋体" w:cs="Times New Roman"/>
                <w:sz w:val="24"/>
                <w:szCs w:val="24"/>
                <w:lang w:val="en-US" w:eastAsia="zh-CN"/>
              </w:rPr>
              <w:t>库。</w:t>
            </w:r>
          </w:p>
          <w:p w14:paraId="78DE3DD0">
            <w:pPr>
              <w:spacing w:line="360" w:lineRule="auto"/>
              <w:rPr>
                <w:rFonts w:hint="eastAsia"/>
                <w:b/>
                <w:bCs/>
                <w:u w:val="none"/>
              </w:rPr>
            </w:pPr>
            <w:r>
              <w:rPr>
                <w:rFonts w:hint="eastAsia"/>
                <w:b/>
                <w:bCs/>
                <w:u w:val="none"/>
                <w:lang w:val="en-US" w:eastAsia="zh-CN"/>
              </w:rPr>
              <w:t>（3）蒸（煮）制</w:t>
            </w:r>
            <w:r>
              <w:rPr>
                <w:rFonts w:hint="eastAsia" w:eastAsia="宋体" w:cs="Times New Roman"/>
                <w:b/>
                <w:bCs/>
                <w:u w:val="none"/>
                <w:lang w:val="en-US" w:eastAsia="zh-CN"/>
              </w:rPr>
              <w:t xml:space="preserve">中药饮片生产工艺流程 </w:t>
            </w:r>
          </w:p>
          <w:p w14:paraId="05514B38">
            <w:pPr>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object>
                <v:shape id="_x0000_i1028" o:spt="75" type="#_x0000_t75" style="height:354.95pt;width:417.2pt;" o:ole="t" filled="f" o:preferrelative="t" stroked="f" coordsize="21600,21600">
                  <v:path/>
                  <v:fill on="f" focussize="0,0"/>
                  <v:stroke on="f"/>
                  <v:imagedata r:id="rId32" o:title=""/>
                  <o:lock v:ext="edit" aspectratio="f"/>
                  <w10:wrap type="none"/>
                  <w10:anchorlock/>
                </v:shape>
                <o:OLEObject Type="Embed" ProgID="Visio.Drawing.15" ShapeID="_x0000_i1028" DrawAspect="Content" ObjectID="_1468075728" r:id="rId31">
                  <o:LockedField>false</o:LockedField>
                </o:OLEObject>
              </w:object>
            </w:r>
          </w:p>
          <w:p w14:paraId="0B145B7B">
            <w:pPr>
              <w:keepNext w:val="0"/>
              <w:keepLines w:val="0"/>
              <w:pageBreakBefore w:val="0"/>
              <w:widowControl w:val="0"/>
              <w:numPr>
                <w:ilvl w:val="0"/>
                <w:numId w:val="6"/>
              </w:numPr>
              <w:kinsoku/>
              <w:wordWrap w:val="0"/>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蒸（煮）制</w:t>
            </w:r>
            <w:r>
              <w:rPr>
                <w:rFonts w:hint="default" w:ascii="Times New Roman" w:hAnsi="Times New Roman" w:eastAsia="宋体" w:cs="Times New Roman"/>
                <w:b/>
                <w:bCs/>
                <w:sz w:val="21"/>
                <w:szCs w:val="21"/>
                <w:highlight w:val="none"/>
                <w:lang w:val="en-US" w:eastAsia="zh-CN"/>
              </w:rPr>
              <w:t>类中药饮片生产工艺</w:t>
            </w:r>
            <w:r>
              <w:rPr>
                <w:rFonts w:hint="eastAsia" w:ascii="Times New Roman" w:hAnsi="Times New Roman" w:eastAsia="宋体" w:cs="Times New Roman"/>
                <w:b/>
                <w:bCs/>
                <w:sz w:val="21"/>
                <w:szCs w:val="21"/>
                <w:highlight w:val="none"/>
                <w:lang w:val="en-US" w:eastAsia="zh-CN"/>
              </w:rPr>
              <w:t>流程</w:t>
            </w:r>
          </w:p>
          <w:p w14:paraId="0D4A64F5">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工艺流程简述：</w:t>
            </w:r>
          </w:p>
          <w:p w14:paraId="402AAB1F">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eastAsia" w:ascii="Times New Roman" w:hAnsi="Times New Roman" w:eastAsia="宋体" w:cs="Times New Roman"/>
                <w:sz w:val="24"/>
                <w:szCs w:val="24"/>
                <w:lang w:val="en-US" w:eastAsia="zh-CN"/>
              </w:rPr>
            </w:pPr>
            <w:r>
              <w:rPr>
                <w:rFonts w:hint="eastAsia" w:cs="Times New Roman"/>
                <w:sz w:val="24"/>
                <w:szCs w:val="24"/>
                <w:lang w:val="en-US" w:eastAsia="zh-CN"/>
              </w:rPr>
              <w:t>净制：</w:t>
            </w:r>
            <w:r>
              <w:rPr>
                <w:rFonts w:hint="eastAsia" w:ascii="Times New Roman" w:hAnsi="Times New Roman" w:eastAsia="宋体" w:cs="Times New Roman"/>
                <w:sz w:val="24"/>
                <w:szCs w:val="24"/>
                <w:lang w:val="en-US" w:eastAsia="zh-CN"/>
              </w:rPr>
              <w:t>把外购的经前处理后的净药材倾置在中药材净制台上进行净制，除去灰屑等杂质，除去残留非药用部分，将净制好的以专用容器盛放，移至净制周转区，挂上状态标志</w:t>
            </w:r>
            <w:r>
              <w:rPr>
                <w:rFonts w:hint="eastAsia" w:cs="Times New Roman"/>
                <w:sz w:val="24"/>
                <w:szCs w:val="24"/>
                <w:lang w:val="en-US" w:eastAsia="zh-CN"/>
              </w:rPr>
              <w:t>。</w:t>
            </w:r>
          </w:p>
          <w:p w14:paraId="26257EF2">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蒸（煮）制</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取净药材，照各品种炮制项下的规定，加入液体辅料拌匀（清蒸除外）</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置适宜的容器内，加热蒸透或至规定的程度时，取出，干燥。将精选后的中药根据不同的药材，加入辅料蒸制。</w:t>
            </w:r>
          </w:p>
          <w:p w14:paraId="77668EA3">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干燥</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将炮制后的中药饮片进行干燥，去掉多余的水份，水分≤10%，以利于保存。一般采用烘干的方法。</w:t>
            </w:r>
          </w:p>
          <w:p w14:paraId="37F70CCC">
            <w:pPr>
              <w:rPr>
                <w:rFonts w:hint="eastAsia"/>
                <w:sz w:val="24"/>
                <w:szCs w:val="24"/>
                <w:lang w:val="en-US" w:eastAsia="zh-CN"/>
              </w:rPr>
            </w:pPr>
            <w:r>
              <w:rPr>
                <w:rFonts w:hint="eastAsia" w:ascii="Times New Roman" w:hAnsi="Times New Roman" w:eastAsia="宋体" w:cs="Times New Roman"/>
                <w:sz w:val="24"/>
                <w:szCs w:val="24"/>
                <w:lang w:val="en-US" w:eastAsia="zh-CN"/>
              </w:rPr>
              <w:t>成品检验</w:t>
            </w:r>
            <w:r>
              <w:rPr>
                <w:rFonts w:hint="eastAsia" w:cs="Times New Roman"/>
                <w:sz w:val="24"/>
                <w:szCs w:val="24"/>
                <w:lang w:val="en-US" w:eastAsia="zh-CN"/>
              </w:rPr>
              <w:t>：</w:t>
            </w:r>
            <w:r>
              <w:rPr>
                <w:rFonts w:hint="eastAsia"/>
                <w:sz w:val="24"/>
                <w:szCs w:val="24"/>
                <w:lang w:val="en-US" w:eastAsia="zh-CN"/>
              </w:rPr>
              <w:t>对成品按照标准要求进行逐项检测。</w:t>
            </w:r>
          </w:p>
          <w:p w14:paraId="70A09F2D">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包装</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根据品种的差别，进行包装。</w:t>
            </w:r>
          </w:p>
          <w:p w14:paraId="52BC2842">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入库</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将合格产品放入成品库，一定数量后转移至</w:t>
            </w:r>
            <w:r>
              <w:rPr>
                <w:rFonts w:hint="eastAsia" w:cs="Times New Roman"/>
                <w:sz w:val="24"/>
                <w:szCs w:val="24"/>
                <w:lang w:val="en-US" w:eastAsia="zh-CN"/>
              </w:rPr>
              <w:t>成品</w:t>
            </w:r>
            <w:r>
              <w:rPr>
                <w:rFonts w:hint="eastAsia" w:ascii="Times New Roman" w:hAnsi="Times New Roman" w:eastAsia="宋体" w:cs="Times New Roman"/>
                <w:sz w:val="24"/>
                <w:szCs w:val="24"/>
                <w:lang w:val="en-US" w:eastAsia="zh-CN"/>
              </w:rPr>
              <w:t>库。</w:t>
            </w:r>
          </w:p>
          <w:p w14:paraId="5075839E">
            <w:pPr>
              <w:spacing w:line="360" w:lineRule="auto"/>
              <w:rPr>
                <w:rFonts w:hint="eastAsia"/>
                <w:b/>
                <w:bCs/>
                <w:u w:val="none"/>
              </w:rPr>
            </w:pPr>
            <w:r>
              <w:rPr>
                <w:rFonts w:hint="eastAsia"/>
                <w:b/>
                <w:bCs/>
                <w:u w:val="none"/>
                <w:lang w:val="en-US" w:eastAsia="zh-CN"/>
              </w:rPr>
              <w:t>（4）炒制</w:t>
            </w:r>
            <w:r>
              <w:rPr>
                <w:rFonts w:hint="eastAsia" w:eastAsia="宋体" w:cs="Times New Roman"/>
                <w:b/>
                <w:bCs/>
                <w:u w:val="none"/>
                <w:lang w:val="en-US" w:eastAsia="zh-CN"/>
              </w:rPr>
              <w:t xml:space="preserve">中药饮片生产工艺流程 </w:t>
            </w:r>
          </w:p>
          <w:p w14:paraId="21EB4ADA">
            <w:pPr>
              <w:keepNext w:val="0"/>
              <w:keepLines w:val="0"/>
              <w:pageBreakBefore w:val="0"/>
              <w:widowControl w:val="0"/>
              <w:kinsoku/>
              <w:wordWrap w:val="0"/>
              <w:overflowPunct/>
              <w:topLinePunct w:val="0"/>
              <w:autoSpaceDE/>
              <w:autoSpaceDN/>
              <w:bidi w:val="0"/>
              <w:adjustRightInd/>
              <w:snapToGrid/>
              <w:spacing w:line="360" w:lineRule="auto"/>
              <w:ind w:firstLine="0" w:firstLineChars="0"/>
              <w:textAlignment w:val="auto"/>
              <w:rPr>
                <w:rFonts w:hint="eastAsia"/>
                <w:b/>
                <w:bCs/>
                <w:u w:val="single"/>
              </w:rPr>
            </w:pPr>
            <w:r>
              <w:rPr>
                <w:rFonts w:hint="eastAsia"/>
                <w:b/>
                <w:bCs/>
                <w:u w:val="single"/>
              </w:rPr>
              <w:object>
                <v:shape id="_x0000_i1029" o:spt="75" type="#_x0000_t75" style="height:375.5pt;width:416.95pt;" o:ole="t" filled="f" o:preferrelative="t" stroked="f" coordsize="21600,21600">
                  <v:path/>
                  <v:fill on="f" focussize="0,0"/>
                  <v:stroke on="f"/>
                  <v:imagedata r:id="rId34" o:title=""/>
                  <o:lock v:ext="edit" aspectratio="f"/>
                  <w10:wrap type="none"/>
                  <w10:anchorlock/>
                </v:shape>
                <o:OLEObject Type="Embed" ProgID="Visio.Drawing.15" ShapeID="_x0000_i1029" DrawAspect="Content" ObjectID="_1468075729" r:id="rId33">
                  <o:LockedField>false</o:LockedField>
                </o:OLEObject>
              </w:object>
            </w:r>
          </w:p>
          <w:p w14:paraId="1373AB4F">
            <w:pPr>
              <w:keepNext w:val="0"/>
              <w:keepLines w:val="0"/>
              <w:pageBreakBefore w:val="0"/>
              <w:widowControl w:val="0"/>
              <w:numPr>
                <w:ilvl w:val="0"/>
                <w:numId w:val="6"/>
              </w:numPr>
              <w:kinsoku/>
              <w:wordWrap w:val="0"/>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炒制</w:t>
            </w:r>
            <w:r>
              <w:rPr>
                <w:rFonts w:hint="default" w:ascii="Times New Roman" w:hAnsi="Times New Roman" w:eastAsia="宋体" w:cs="Times New Roman"/>
                <w:b/>
                <w:bCs/>
                <w:sz w:val="21"/>
                <w:szCs w:val="21"/>
                <w:highlight w:val="none"/>
                <w:lang w:val="en-US" w:eastAsia="zh-CN"/>
              </w:rPr>
              <w:t>类中药饮片生产工艺</w:t>
            </w:r>
            <w:r>
              <w:rPr>
                <w:rFonts w:hint="eastAsia" w:ascii="Times New Roman" w:hAnsi="Times New Roman" w:eastAsia="宋体" w:cs="Times New Roman"/>
                <w:b/>
                <w:bCs/>
                <w:sz w:val="21"/>
                <w:szCs w:val="21"/>
                <w:highlight w:val="none"/>
                <w:lang w:val="en-US" w:eastAsia="zh-CN"/>
              </w:rPr>
              <w:t>流程</w:t>
            </w:r>
          </w:p>
          <w:p w14:paraId="18ED735E">
            <w:pPr>
              <w:pStyle w:val="18"/>
              <w:ind w:firstLine="42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工艺流程简述：</w:t>
            </w:r>
          </w:p>
          <w:p w14:paraId="51401C85">
            <w:pPr>
              <w:pStyle w:val="18"/>
              <w:ind w:firstLine="42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净</w:t>
            </w:r>
            <w:r>
              <w:rPr>
                <w:rFonts w:hint="eastAsia" w:cs="Times New Roman"/>
                <w:sz w:val="24"/>
                <w:szCs w:val="24"/>
                <w:lang w:val="en-US" w:eastAsia="zh-CN"/>
              </w:rPr>
              <w:t>制</w:t>
            </w:r>
            <w:r>
              <w:rPr>
                <w:rFonts w:hint="eastAsia" w:cs="Times New Roman"/>
                <w:sz w:val="24"/>
                <w:szCs w:val="24"/>
                <w:lang w:eastAsia="zh-CN"/>
              </w:rPr>
              <w:t>：</w:t>
            </w:r>
            <w:r>
              <w:rPr>
                <w:rFonts w:hint="eastAsia" w:ascii="Times New Roman" w:hAnsi="Times New Roman" w:eastAsia="宋体" w:cs="Times New Roman"/>
                <w:sz w:val="24"/>
                <w:szCs w:val="24"/>
              </w:rPr>
              <w:t>把外购的经前处理后的净药材倾置在中药材净制台上进行净制，除去灰屑等杂质，除去残留非药用部分，将净制好的以专用容器盛放，移至净制周转区，挂上状态标志。将净制的药材送入洗润车间，按照各药材生产工艺规程进行适当水处理，使其洁净并吸收一定量水分。洗净后浸泡2-3天（按产品种类确定浸泡时间），至切开内无干心，口尝微有麻舌感为度。捞出药材，置于洁净的容器内。</w:t>
            </w:r>
          </w:p>
          <w:p w14:paraId="27080163">
            <w:pPr>
              <w:pStyle w:val="18"/>
              <w:ind w:firstLine="42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炒制</w:t>
            </w:r>
            <w:r>
              <w:rPr>
                <w:rFonts w:hint="eastAsia" w:cs="Times New Roman"/>
                <w:sz w:val="24"/>
                <w:szCs w:val="24"/>
                <w:lang w:eastAsia="zh-CN"/>
              </w:rPr>
              <w:t>：</w:t>
            </w:r>
            <w:r>
              <w:rPr>
                <w:rFonts w:hint="eastAsia" w:ascii="Times New Roman" w:hAnsi="Times New Roman" w:eastAsia="宋体" w:cs="Times New Roman"/>
                <w:sz w:val="24"/>
                <w:szCs w:val="24"/>
              </w:rPr>
              <w:t>炒制分清炒和加辅料炒。炒时应火力均匀，不断翻动。应掌握加热温度、炒制时间及程度要求。此工序产生异味和噪声。</w:t>
            </w:r>
          </w:p>
          <w:p w14:paraId="162DD471">
            <w:pPr>
              <w:rPr>
                <w:rFonts w:hint="eastAsia"/>
                <w:sz w:val="24"/>
                <w:szCs w:val="24"/>
                <w:lang w:val="en-US" w:eastAsia="zh-CN"/>
              </w:rPr>
            </w:pPr>
            <w:r>
              <w:rPr>
                <w:rFonts w:hint="eastAsia" w:ascii="Times New Roman" w:hAnsi="Times New Roman" w:eastAsia="宋体" w:cs="Times New Roman"/>
                <w:sz w:val="24"/>
                <w:szCs w:val="24"/>
                <w:lang w:val="en-US" w:eastAsia="zh-CN"/>
              </w:rPr>
              <w:t>成品检验</w:t>
            </w:r>
            <w:r>
              <w:rPr>
                <w:rFonts w:hint="eastAsia" w:cs="Times New Roman"/>
                <w:sz w:val="24"/>
                <w:szCs w:val="24"/>
                <w:lang w:val="en-US" w:eastAsia="zh-CN"/>
              </w:rPr>
              <w:t>：</w:t>
            </w:r>
            <w:r>
              <w:rPr>
                <w:rFonts w:hint="eastAsia"/>
                <w:sz w:val="24"/>
                <w:szCs w:val="24"/>
                <w:lang w:val="en-US" w:eastAsia="zh-CN"/>
              </w:rPr>
              <w:t>对成品按照标准要求进行逐项检测。</w:t>
            </w:r>
          </w:p>
          <w:p w14:paraId="5CF9432B">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包装</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根据品种的差别，进行包装。</w:t>
            </w:r>
          </w:p>
          <w:p w14:paraId="50239474">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入库</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将合格产品放入成品库，一定数量后转移至</w:t>
            </w:r>
            <w:r>
              <w:rPr>
                <w:rFonts w:hint="eastAsia" w:cs="Times New Roman"/>
                <w:sz w:val="24"/>
                <w:szCs w:val="24"/>
                <w:lang w:val="en-US" w:eastAsia="zh-CN"/>
              </w:rPr>
              <w:t>成品</w:t>
            </w:r>
            <w:r>
              <w:rPr>
                <w:rFonts w:hint="eastAsia" w:ascii="Times New Roman" w:hAnsi="Times New Roman" w:eastAsia="宋体" w:cs="Times New Roman"/>
                <w:sz w:val="24"/>
                <w:szCs w:val="24"/>
                <w:lang w:val="en-US" w:eastAsia="zh-CN"/>
              </w:rPr>
              <w:t>库。</w:t>
            </w:r>
          </w:p>
          <w:p w14:paraId="36C14290">
            <w:pPr>
              <w:pStyle w:val="18"/>
              <w:ind w:firstLine="420"/>
              <w:rPr>
                <w:rFonts w:hint="eastAsia" w:ascii="Times New Roman" w:hAnsi="Times New Roman" w:eastAsia="宋体" w:cs="Times New Roman"/>
                <w:b/>
                <w:bCs/>
                <w:sz w:val="24"/>
                <w:szCs w:val="24"/>
              </w:rPr>
            </w:pPr>
            <w:r>
              <w:rPr>
                <w:rFonts w:hint="eastAsia" w:cs="Times New Roman"/>
                <w:b/>
                <w:bCs/>
                <w:sz w:val="24"/>
                <w:szCs w:val="24"/>
                <w:lang w:eastAsia="zh-CN"/>
              </w:rPr>
              <w:t>（</w:t>
            </w:r>
            <w:r>
              <w:rPr>
                <w:rFonts w:hint="eastAsia" w:cs="Times New Roman"/>
                <w:b/>
                <w:bCs/>
                <w:sz w:val="24"/>
                <w:szCs w:val="24"/>
                <w:lang w:val="en-US" w:eastAsia="zh-CN"/>
              </w:rPr>
              <w:t>5</w:t>
            </w:r>
            <w:r>
              <w:rPr>
                <w:rFonts w:hint="eastAsia" w:cs="Times New Roman"/>
                <w:b/>
                <w:bCs/>
                <w:sz w:val="24"/>
                <w:szCs w:val="24"/>
                <w:lang w:eastAsia="zh-CN"/>
              </w:rPr>
              <w:t>）</w:t>
            </w:r>
            <w:r>
              <w:rPr>
                <w:rFonts w:hint="eastAsia" w:ascii="Times New Roman" w:hAnsi="Times New Roman" w:eastAsia="宋体" w:cs="Times New Roman"/>
                <w:b/>
                <w:bCs/>
                <w:sz w:val="24"/>
                <w:szCs w:val="24"/>
                <w:lang w:val="en-US" w:eastAsia="zh-CN"/>
              </w:rPr>
              <w:t>灸制</w:t>
            </w:r>
            <w:r>
              <w:rPr>
                <w:rFonts w:hint="eastAsia" w:ascii="Times New Roman" w:hAnsi="Times New Roman" w:eastAsia="宋体" w:cs="Times New Roman"/>
                <w:b/>
                <w:bCs/>
                <w:sz w:val="24"/>
                <w:szCs w:val="24"/>
              </w:rPr>
              <w:t xml:space="preserve">中药饮片生产工艺流程 </w:t>
            </w:r>
          </w:p>
          <w:p w14:paraId="190383E9">
            <w:pPr>
              <w:spacing w:line="360" w:lineRule="auto"/>
              <w:ind w:firstLine="420" w:firstLineChars="20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object>
                <v:shape id="_x0000_i1030" o:spt="75" type="#_x0000_t75" style="height:269pt;width:330.5pt;" o:ole="t" filled="f" o:preferrelative="t" stroked="f" coordsize="21600,21600">
                  <v:path/>
                  <v:fill on="f" focussize="0,0"/>
                  <v:stroke on="f"/>
                  <v:imagedata r:id="rId36" o:title=""/>
                  <o:lock v:ext="edit" aspectratio="f"/>
                  <w10:wrap type="none"/>
                  <w10:anchorlock/>
                </v:shape>
                <o:OLEObject Type="Embed" ProgID="Visio.Drawing.15" ShapeID="_x0000_i1030" DrawAspect="Content" ObjectID="_1468075730" r:id="rId35">
                  <o:LockedField>false</o:LockedField>
                </o:OLEObject>
              </w:object>
            </w:r>
          </w:p>
          <w:p w14:paraId="1F89BEAB">
            <w:pPr>
              <w:keepNext w:val="0"/>
              <w:keepLines w:val="0"/>
              <w:pageBreakBefore w:val="0"/>
              <w:widowControl w:val="0"/>
              <w:numPr>
                <w:ilvl w:val="0"/>
                <w:numId w:val="6"/>
              </w:numPr>
              <w:kinsoku/>
              <w:wordWrap w:val="0"/>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灸制</w:t>
            </w:r>
            <w:r>
              <w:rPr>
                <w:rFonts w:hint="default" w:ascii="Times New Roman" w:hAnsi="Times New Roman" w:eastAsia="宋体" w:cs="Times New Roman"/>
                <w:b/>
                <w:bCs/>
                <w:sz w:val="21"/>
                <w:szCs w:val="21"/>
                <w:highlight w:val="none"/>
                <w:lang w:val="en-US" w:eastAsia="zh-CN"/>
              </w:rPr>
              <w:t>类中药饮片生产工艺</w:t>
            </w:r>
            <w:r>
              <w:rPr>
                <w:rFonts w:hint="eastAsia" w:ascii="Times New Roman" w:hAnsi="Times New Roman" w:eastAsia="宋体" w:cs="Times New Roman"/>
                <w:b/>
                <w:bCs/>
                <w:sz w:val="21"/>
                <w:szCs w:val="21"/>
                <w:highlight w:val="none"/>
                <w:lang w:val="en-US" w:eastAsia="zh-CN"/>
              </w:rPr>
              <w:t>流程</w:t>
            </w:r>
          </w:p>
          <w:p w14:paraId="17FC7E20">
            <w:pPr>
              <w:pStyle w:val="18"/>
              <w:ind w:firstLine="42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工艺流程简述：</w:t>
            </w:r>
          </w:p>
          <w:p w14:paraId="437751AE">
            <w:pPr>
              <w:pStyle w:val="18"/>
              <w:ind w:firstLine="420"/>
              <w:rPr>
                <w:rFonts w:hint="eastAsia" w:ascii="Times New Roman" w:hAnsi="Times New Roman" w:eastAsia="宋体" w:cs="Times New Roman"/>
                <w:sz w:val="24"/>
                <w:szCs w:val="24"/>
                <w:lang w:val="en-US" w:eastAsia="zh-CN"/>
              </w:rPr>
            </w:pPr>
            <w:r>
              <w:rPr>
                <w:rFonts w:hint="eastAsia" w:cs="Times New Roman"/>
                <w:sz w:val="24"/>
                <w:szCs w:val="24"/>
                <w:lang w:val="en-US" w:eastAsia="zh-CN"/>
              </w:rPr>
              <w:t>净制：</w:t>
            </w:r>
            <w:r>
              <w:rPr>
                <w:rFonts w:hint="eastAsia" w:ascii="Times New Roman" w:hAnsi="Times New Roman" w:eastAsia="宋体" w:cs="Times New Roman"/>
                <w:sz w:val="24"/>
                <w:szCs w:val="24"/>
                <w:lang w:val="en-US" w:eastAsia="zh-CN"/>
              </w:rPr>
              <w:t>把外购的经前处理后的净药材倾置在中药材净制台上进行净制，除去灰屑等杂质，除去残留非药用部分，将净制好的以专用容器盛放，移至净制周转区，挂上状态标志</w:t>
            </w:r>
          </w:p>
          <w:p w14:paraId="0DA5E269">
            <w:pPr>
              <w:pStyle w:val="18"/>
              <w:ind w:firstLine="42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灸制</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液体辅料炒称为炙，黄酒、米醋或溶化的食盐和药材拌匀闷透，然后在炒药锅内炒至规定的程度。</w:t>
            </w:r>
          </w:p>
          <w:p w14:paraId="15145972">
            <w:pPr>
              <w:rPr>
                <w:rFonts w:hint="eastAsia"/>
                <w:sz w:val="24"/>
                <w:szCs w:val="24"/>
                <w:lang w:val="en-US" w:eastAsia="zh-CN"/>
              </w:rPr>
            </w:pPr>
            <w:r>
              <w:rPr>
                <w:rFonts w:hint="eastAsia" w:ascii="Times New Roman" w:hAnsi="Times New Roman" w:eastAsia="宋体" w:cs="Times New Roman"/>
                <w:sz w:val="24"/>
                <w:szCs w:val="24"/>
                <w:lang w:val="en-US" w:eastAsia="zh-CN"/>
              </w:rPr>
              <w:t>成品检验</w:t>
            </w:r>
            <w:r>
              <w:rPr>
                <w:rFonts w:hint="eastAsia" w:cs="Times New Roman"/>
                <w:sz w:val="24"/>
                <w:szCs w:val="24"/>
                <w:lang w:val="en-US" w:eastAsia="zh-CN"/>
              </w:rPr>
              <w:t>：</w:t>
            </w:r>
            <w:r>
              <w:rPr>
                <w:rFonts w:hint="eastAsia"/>
                <w:sz w:val="24"/>
                <w:szCs w:val="24"/>
                <w:lang w:val="en-US" w:eastAsia="zh-CN"/>
              </w:rPr>
              <w:t>对成品按照标准要求进行逐项检测。</w:t>
            </w:r>
          </w:p>
          <w:p w14:paraId="638D0D51">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包装</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根据品种的差别，进行包装。</w:t>
            </w:r>
          </w:p>
          <w:p w14:paraId="555F44DB">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入库</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将合格产品放入成品库，一定数量后转移至</w:t>
            </w:r>
            <w:r>
              <w:rPr>
                <w:rFonts w:hint="eastAsia" w:cs="Times New Roman"/>
                <w:sz w:val="24"/>
                <w:szCs w:val="24"/>
                <w:lang w:val="en-US" w:eastAsia="zh-CN"/>
              </w:rPr>
              <w:t>成品</w:t>
            </w:r>
            <w:r>
              <w:rPr>
                <w:rFonts w:hint="eastAsia" w:ascii="Times New Roman" w:hAnsi="Times New Roman" w:eastAsia="宋体" w:cs="Times New Roman"/>
                <w:sz w:val="24"/>
                <w:szCs w:val="24"/>
                <w:lang w:val="en-US" w:eastAsia="zh-CN"/>
              </w:rPr>
              <w:t>库。</w:t>
            </w:r>
          </w:p>
          <w:p w14:paraId="4C592D09">
            <w:pPr>
              <w:pStyle w:val="18"/>
              <w:ind w:firstLine="420"/>
              <w:rPr>
                <w:rFonts w:hint="eastAsia" w:ascii="Times New Roman" w:hAnsi="Times New Roman" w:eastAsia="宋体" w:cs="Times New Roman"/>
                <w:b/>
                <w:bCs/>
                <w:sz w:val="24"/>
                <w:szCs w:val="24"/>
              </w:rPr>
            </w:pPr>
            <w:r>
              <w:rPr>
                <w:rFonts w:hint="eastAsia" w:cs="Times New Roman"/>
                <w:b/>
                <w:bCs/>
                <w:sz w:val="24"/>
                <w:szCs w:val="24"/>
                <w:lang w:eastAsia="zh-CN"/>
              </w:rPr>
              <w:t>（</w:t>
            </w:r>
            <w:r>
              <w:rPr>
                <w:rFonts w:hint="eastAsia" w:cs="Times New Roman"/>
                <w:b/>
                <w:bCs/>
                <w:sz w:val="24"/>
                <w:szCs w:val="24"/>
                <w:lang w:val="en-US" w:eastAsia="zh-CN"/>
              </w:rPr>
              <w:t>6</w:t>
            </w:r>
            <w:r>
              <w:rPr>
                <w:rFonts w:hint="eastAsia" w:cs="Times New Roman"/>
                <w:b/>
                <w:bCs/>
                <w:sz w:val="24"/>
                <w:szCs w:val="24"/>
                <w:lang w:eastAsia="zh-CN"/>
              </w:rPr>
              <w:t>）</w:t>
            </w:r>
            <w:r>
              <w:rPr>
                <w:rFonts w:hint="eastAsia" w:cs="Times New Roman"/>
                <w:b/>
                <w:bCs/>
                <w:sz w:val="24"/>
                <w:szCs w:val="24"/>
                <w:lang w:val="en-US" w:eastAsia="zh-CN"/>
              </w:rPr>
              <w:t>煨制</w:t>
            </w:r>
            <w:r>
              <w:rPr>
                <w:rFonts w:hint="eastAsia" w:ascii="Times New Roman" w:hAnsi="Times New Roman" w:eastAsia="宋体" w:cs="Times New Roman"/>
                <w:b/>
                <w:bCs/>
                <w:sz w:val="24"/>
                <w:szCs w:val="24"/>
              </w:rPr>
              <w:t xml:space="preserve">中药饮片生产工艺流程 </w:t>
            </w:r>
          </w:p>
          <w:p w14:paraId="5B6AE792">
            <w:pPr>
              <w:keepNext w:val="0"/>
              <w:keepLines w:val="0"/>
              <w:pageBreakBefore w:val="0"/>
              <w:widowControl w:val="0"/>
              <w:kinsoku/>
              <w:wordWrap w:val="0"/>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object>
                <v:shape id="_x0000_i1031" o:spt="75" type="#_x0000_t75" style="height:308pt;width:227.5pt;" o:ole="t" filled="f" o:preferrelative="t" stroked="f" coordsize="21600,21600">
                  <v:path/>
                  <v:fill on="f" focussize="0,0"/>
                  <v:stroke on="f"/>
                  <v:imagedata r:id="rId38" o:title=""/>
                  <o:lock v:ext="edit" aspectratio="f"/>
                  <w10:wrap type="none"/>
                  <w10:anchorlock/>
                </v:shape>
                <o:OLEObject Type="Embed" ProgID="Visio.Drawing.15" ShapeID="_x0000_i1031" DrawAspect="Content" ObjectID="_1468075731" r:id="rId37">
                  <o:LockedField>false</o:LockedField>
                </o:OLEObject>
              </w:object>
            </w:r>
          </w:p>
          <w:p w14:paraId="7B983991">
            <w:pPr>
              <w:keepNext w:val="0"/>
              <w:keepLines w:val="0"/>
              <w:pageBreakBefore w:val="0"/>
              <w:widowControl w:val="0"/>
              <w:numPr>
                <w:ilvl w:val="0"/>
                <w:numId w:val="6"/>
              </w:numPr>
              <w:kinsoku/>
              <w:wordWrap w:val="0"/>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煨制</w:t>
            </w:r>
            <w:r>
              <w:rPr>
                <w:rFonts w:hint="default" w:ascii="Times New Roman" w:hAnsi="Times New Roman" w:eastAsia="宋体" w:cs="Times New Roman"/>
                <w:b/>
                <w:bCs/>
                <w:sz w:val="21"/>
                <w:szCs w:val="21"/>
                <w:highlight w:val="none"/>
                <w:lang w:val="en-US" w:eastAsia="zh-CN"/>
              </w:rPr>
              <w:t>类中药饮片生产工艺</w:t>
            </w:r>
            <w:r>
              <w:rPr>
                <w:rFonts w:hint="eastAsia" w:ascii="Times New Roman" w:hAnsi="Times New Roman" w:eastAsia="宋体" w:cs="Times New Roman"/>
                <w:b/>
                <w:bCs/>
                <w:sz w:val="21"/>
                <w:szCs w:val="21"/>
                <w:highlight w:val="none"/>
                <w:lang w:val="en-US" w:eastAsia="zh-CN"/>
              </w:rPr>
              <w:t>流程</w:t>
            </w:r>
          </w:p>
          <w:p w14:paraId="4717B3DA">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工艺流程简述：</w:t>
            </w:r>
          </w:p>
          <w:p w14:paraId="2391A56F">
            <w:pPr>
              <w:pStyle w:val="18"/>
              <w:ind w:firstLine="420"/>
              <w:rPr>
                <w:rFonts w:hint="eastAsia" w:ascii="Times New Roman" w:hAnsi="Times New Roman" w:eastAsia="宋体" w:cs="Times New Roman"/>
                <w:sz w:val="24"/>
                <w:szCs w:val="24"/>
                <w:lang w:val="en-US" w:eastAsia="zh-CN"/>
              </w:rPr>
            </w:pPr>
            <w:r>
              <w:rPr>
                <w:rFonts w:hint="eastAsia" w:cs="Times New Roman"/>
                <w:sz w:val="24"/>
                <w:szCs w:val="24"/>
                <w:lang w:val="en-US" w:eastAsia="zh-CN"/>
              </w:rPr>
              <w:t>净制：</w:t>
            </w:r>
            <w:r>
              <w:rPr>
                <w:rFonts w:hint="eastAsia" w:ascii="Times New Roman" w:hAnsi="Times New Roman" w:eastAsia="宋体" w:cs="Times New Roman"/>
                <w:sz w:val="24"/>
                <w:szCs w:val="24"/>
                <w:lang w:val="en-US" w:eastAsia="zh-CN"/>
              </w:rPr>
              <w:t>把外购的经前处理后的净药材倾置在中药材净制台上进行净制，除去灰屑等杂质，除去残留非药用部分，将净制好的以专用容器盛放，移至净制周转区，挂上状态标志。</w:t>
            </w:r>
          </w:p>
          <w:p w14:paraId="298F17F6">
            <w:pPr>
              <w:pStyle w:val="18"/>
              <w:ind w:firstLine="42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煨制</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按滚筒式炒药机使用标准操作规程进行，取滑石粉，置热锅内，用文火（80～120℃，设定温度110℃）炒至灵活状态，加入物料，缓缓翻动，（每锅15～40kg）时间30-50分钟，炒至表面稍鼓显微黄色，取出，晾凉。此工序会产生异味。</w:t>
            </w:r>
          </w:p>
          <w:p w14:paraId="7093AC41">
            <w:pPr>
              <w:pStyle w:val="18"/>
              <w:ind w:firstLine="42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干燥</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将煨制后的中药饮片进行干燥，去掉多余的水份，水分≤10%，以利于保存。一般采用烘干的方法。</w:t>
            </w:r>
          </w:p>
          <w:p w14:paraId="0C423D7D">
            <w:pPr>
              <w:rPr>
                <w:rFonts w:hint="eastAsia"/>
                <w:sz w:val="24"/>
                <w:szCs w:val="24"/>
                <w:lang w:val="en-US" w:eastAsia="zh-CN"/>
              </w:rPr>
            </w:pPr>
            <w:r>
              <w:rPr>
                <w:rFonts w:hint="eastAsia" w:ascii="Times New Roman" w:hAnsi="Times New Roman" w:eastAsia="宋体" w:cs="Times New Roman"/>
                <w:sz w:val="24"/>
                <w:szCs w:val="24"/>
                <w:lang w:val="en-US" w:eastAsia="zh-CN"/>
              </w:rPr>
              <w:t>成品检验</w:t>
            </w:r>
            <w:r>
              <w:rPr>
                <w:rFonts w:hint="eastAsia" w:cs="Times New Roman"/>
                <w:sz w:val="24"/>
                <w:szCs w:val="24"/>
                <w:lang w:val="en-US" w:eastAsia="zh-CN"/>
              </w:rPr>
              <w:t>：</w:t>
            </w:r>
            <w:r>
              <w:rPr>
                <w:rFonts w:hint="eastAsia"/>
                <w:sz w:val="24"/>
                <w:szCs w:val="24"/>
                <w:lang w:val="en-US" w:eastAsia="zh-CN"/>
              </w:rPr>
              <w:t>对成品按照标准要求进行逐项检测。</w:t>
            </w:r>
          </w:p>
          <w:p w14:paraId="2E3A9C37">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包装</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根据品种的差别，进行包装。</w:t>
            </w:r>
          </w:p>
          <w:p w14:paraId="720F34F3">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入库</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将合格产品放入成品库，一定数量后转移至</w:t>
            </w:r>
            <w:r>
              <w:rPr>
                <w:rFonts w:hint="eastAsia" w:cs="Times New Roman"/>
                <w:sz w:val="24"/>
                <w:szCs w:val="24"/>
                <w:lang w:val="en-US" w:eastAsia="zh-CN"/>
              </w:rPr>
              <w:t>成品</w:t>
            </w:r>
            <w:r>
              <w:rPr>
                <w:rFonts w:hint="eastAsia" w:ascii="Times New Roman" w:hAnsi="Times New Roman" w:eastAsia="宋体" w:cs="Times New Roman"/>
                <w:sz w:val="24"/>
                <w:szCs w:val="24"/>
                <w:lang w:val="en-US" w:eastAsia="zh-CN"/>
              </w:rPr>
              <w:t>库。</w:t>
            </w:r>
          </w:p>
          <w:p w14:paraId="4FF182D1">
            <w:pPr>
              <w:pStyle w:val="18"/>
              <w:ind w:firstLine="420"/>
              <w:rPr>
                <w:rFonts w:hint="eastAsia" w:ascii="Times New Roman" w:hAnsi="Times New Roman" w:eastAsia="宋体" w:cs="Times New Roman"/>
                <w:b/>
                <w:bCs/>
                <w:sz w:val="24"/>
                <w:szCs w:val="24"/>
              </w:rPr>
            </w:pPr>
            <w:r>
              <w:rPr>
                <w:rFonts w:hint="eastAsia" w:cs="Times New Roman"/>
                <w:b/>
                <w:bCs/>
                <w:sz w:val="24"/>
                <w:szCs w:val="24"/>
                <w:lang w:eastAsia="zh-CN"/>
              </w:rPr>
              <w:t>（</w:t>
            </w:r>
            <w:r>
              <w:rPr>
                <w:rFonts w:hint="eastAsia" w:cs="Times New Roman"/>
                <w:b/>
                <w:bCs/>
                <w:sz w:val="24"/>
                <w:szCs w:val="24"/>
                <w:lang w:val="en-US" w:eastAsia="zh-CN"/>
              </w:rPr>
              <w:t>7</w:t>
            </w:r>
            <w:r>
              <w:rPr>
                <w:rFonts w:hint="eastAsia" w:cs="Times New Roman"/>
                <w:b/>
                <w:bCs/>
                <w:sz w:val="24"/>
                <w:szCs w:val="24"/>
                <w:lang w:eastAsia="zh-CN"/>
              </w:rPr>
              <w:t>）</w:t>
            </w:r>
            <w:r>
              <w:rPr>
                <w:rFonts w:hint="eastAsia" w:ascii="Times New Roman" w:hAnsi="Times New Roman" w:eastAsia="宋体" w:cs="Times New Roman"/>
                <w:b/>
                <w:bCs/>
                <w:sz w:val="24"/>
                <w:szCs w:val="24"/>
              </w:rPr>
              <w:t xml:space="preserve">煅制中药饮片生产工艺流程 </w:t>
            </w:r>
          </w:p>
          <w:p w14:paraId="1B213D12">
            <w:pPr>
              <w:rPr>
                <w:rFonts w:hint="eastAsia"/>
              </w:rPr>
            </w:pPr>
          </w:p>
          <w:p w14:paraId="053F02C5">
            <w:pPr>
              <w:keepNext w:val="0"/>
              <w:keepLines w:val="0"/>
              <w:pageBreakBefore w:val="0"/>
              <w:widowControl w:val="0"/>
              <w:kinsoku/>
              <w:wordWrap w:val="0"/>
              <w:overflowPunct/>
              <w:topLinePunct w:val="0"/>
              <w:autoSpaceDE/>
              <w:autoSpaceDN/>
              <w:bidi w:val="0"/>
              <w:adjustRightInd/>
              <w:snapToGrid/>
              <w:ind w:firstLine="0" w:firstLineChars="0"/>
              <w:jc w:val="center"/>
              <w:textAlignment w:val="auto"/>
              <w:rPr>
                <w:rFonts w:hint="eastAsia"/>
              </w:rPr>
            </w:pPr>
            <w:r>
              <w:rPr>
                <w:rFonts w:hint="eastAsia"/>
              </w:rPr>
              <w:object>
                <v:shape id="_x0000_i1032" o:spt="75" type="#_x0000_t75" style="height:308pt;width:226pt;" o:ole="t" filled="f" o:preferrelative="t" stroked="f" coordsize="21600,21600">
                  <v:path/>
                  <v:fill on="f" focussize="0,0"/>
                  <v:stroke on="f"/>
                  <v:imagedata r:id="rId40" o:title=""/>
                  <o:lock v:ext="edit" aspectratio="f"/>
                  <w10:wrap type="none"/>
                  <w10:anchorlock/>
                </v:shape>
                <o:OLEObject Type="Embed" ProgID="Visio.Drawing.15" ShapeID="_x0000_i1032" DrawAspect="Content" ObjectID="_1468075732" r:id="rId39">
                  <o:LockedField>false</o:LockedField>
                </o:OLEObject>
              </w:object>
            </w:r>
          </w:p>
          <w:p w14:paraId="5AD0DE22">
            <w:pPr>
              <w:keepNext w:val="0"/>
              <w:keepLines w:val="0"/>
              <w:pageBreakBefore w:val="0"/>
              <w:widowControl w:val="0"/>
              <w:numPr>
                <w:ilvl w:val="0"/>
                <w:numId w:val="6"/>
              </w:numPr>
              <w:kinsoku/>
              <w:wordWrap w:val="0"/>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煅制</w:t>
            </w:r>
            <w:r>
              <w:rPr>
                <w:rFonts w:hint="default" w:ascii="Times New Roman" w:hAnsi="Times New Roman" w:eastAsia="宋体" w:cs="Times New Roman"/>
                <w:b/>
                <w:bCs/>
                <w:sz w:val="21"/>
                <w:szCs w:val="21"/>
                <w:highlight w:val="none"/>
                <w:lang w:val="en-US" w:eastAsia="zh-CN"/>
              </w:rPr>
              <w:t>类中药饮片生产工艺</w:t>
            </w:r>
            <w:r>
              <w:rPr>
                <w:rFonts w:hint="eastAsia" w:ascii="Times New Roman" w:hAnsi="Times New Roman" w:eastAsia="宋体" w:cs="Times New Roman"/>
                <w:b/>
                <w:bCs/>
                <w:sz w:val="21"/>
                <w:szCs w:val="21"/>
                <w:highlight w:val="none"/>
                <w:lang w:val="en-US" w:eastAsia="zh-CN"/>
              </w:rPr>
              <w:t>流程</w:t>
            </w:r>
          </w:p>
          <w:p w14:paraId="453D7636">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工艺流程简述：</w:t>
            </w:r>
          </w:p>
          <w:p w14:paraId="2980D4CF">
            <w:pPr>
              <w:pStyle w:val="18"/>
              <w:ind w:firstLine="42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净</w:t>
            </w:r>
            <w:r>
              <w:rPr>
                <w:rFonts w:hint="eastAsia" w:cs="Times New Roman"/>
                <w:sz w:val="24"/>
                <w:szCs w:val="24"/>
                <w:lang w:val="en-US" w:eastAsia="zh-CN"/>
              </w:rPr>
              <w:t>制</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按生产指令从仓库领取药材，经物流通道送入净选操作间，将药材放置于净选工作台上，拣净杂质</w:t>
            </w:r>
            <w:r>
              <w:rPr>
                <w:rFonts w:hint="eastAsia" w:ascii="Times New Roman" w:hAnsi="Times New Roman" w:eastAsia="宋体" w:cs="Times New Roman"/>
                <w:sz w:val="24"/>
                <w:szCs w:val="24"/>
                <w:lang w:eastAsia="zh-CN"/>
              </w:rPr>
              <w:t>及非药用部位</w:t>
            </w:r>
            <w:r>
              <w:rPr>
                <w:rFonts w:hint="eastAsia" w:ascii="Times New Roman" w:hAnsi="Times New Roman" w:eastAsia="宋体" w:cs="Times New Roman"/>
                <w:sz w:val="24"/>
                <w:szCs w:val="24"/>
              </w:rPr>
              <w:t>，将</w:t>
            </w:r>
            <w:r>
              <w:rPr>
                <w:rFonts w:hint="eastAsia" w:ascii="Times New Roman" w:hAnsi="Times New Roman" w:eastAsia="宋体" w:cs="Times New Roman"/>
                <w:sz w:val="24"/>
                <w:szCs w:val="24"/>
                <w:lang w:eastAsia="zh-CN"/>
              </w:rPr>
              <w:t>净制后</w:t>
            </w:r>
            <w:r>
              <w:rPr>
                <w:rFonts w:hint="eastAsia" w:ascii="Times New Roman" w:hAnsi="Times New Roman" w:eastAsia="宋体" w:cs="Times New Roman"/>
                <w:sz w:val="24"/>
                <w:szCs w:val="24"/>
              </w:rPr>
              <w:t>的</w:t>
            </w:r>
            <w:r>
              <w:rPr>
                <w:rFonts w:hint="eastAsia" w:ascii="Times New Roman" w:hAnsi="Times New Roman" w:eastAsia="宋体" w:cs="Times New Roman"/>
                <w:sz w:val="24"/>
                <w:szCs w:val="24"/>
                <w:lang w:val="en-US" w:eastAsia="zh-CN"/>
              </w:rPr>
              <w:t>药材</w:t>
            </w:r>
            <w:r>
              <w:rPr>
                <w:rFonts w:hint="eastAsia" w:ascii="Times New Roman" w:hAnsi="Times New Roman" w:eastAsia="宋体" w:cs="Times New Roman"/>
                <w:sz w:val="24"/>
                <w:szCs w:val="24"/>
              </w:rPr>
              <w:t>盛装于</w:t>
            </w:r>
            <w:r>
              <w:rPr>
                <w:rFonts w:hint="eastAsia" w:ascii="Times New Roman" w:hAnsi="Times New Roman" w:eastAsia="宋体" w:cs="Times New Roman"/>
                <w:sz w:val="24"/>
                <w:szCs w:val="24"/>
                <w:lang w:eastAsia="zh-CN"/>
              </w:rPr>
              <w:t>中转</w:t>
            </w:r>
            <w:r>
              <w:rPr>
                <w:rFonts w:hint="eastAsia" w:ascii="Times New Roman" w:hAnsi="Times New Roman" w:eastAsia="宋体" w:cs="Times New Roman"/>
                <w:sz w:val="24"/>
                <w:szCs w:val="24"/>
              </w:rPr>
              <w:t>筐中，称重。</w:t>
            </w:r>
          </w:p>
          <w:p w14:paraId="640C892D">
            <w:pPr>
              <w:pStyle w:val="18"/>
              <w:ind w:firstLine="42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取净</w:t>
            </w:r>
            <w:r>
              <w:rPr>
                <w:rFonts w:hint="eastAsia" w:ascii="Times New Roman" w:hAnsi="Times New Roman" w:eastAsia="宋体" w:cs="Times New Roman"/>
                <w:sz w:val="24"/>
                <w:szCs w:val="24"/>
                <w:lang w:eastAsia="zh-CN"/>
              </w:rPr>
              <w:t>制后</w:t>
            </w:r>
            <w:r>
              <w:rPr>
                <w:rFonts w:hint="eastAsia" w:ascii="Times New Roman" w:hAnsi="Times New Roman" w:eastAsia="宋体" w:cs="Times New Roman"/>
                <w:sz w:val="24"/>
                <w:szCs w:val="24"/>
              </w:rPr>
              <w:t>的</w:t>
            </w:r>
            <w:r>
              <w:rPr>
                <w:rFonts w:hint="eastAsia" w:ascii="Times New Roman" w:hAnsi="Times New Roman" w:eastAsia="宋体" w:cs="Times New Roman"/>
                <w:sz w:val="24"/>
                <w:szCs w:val="24"/>
                <w:lang w:val="en-US" w:eastAsia="zh-CN"/>
              </w:rPr>
              <w:t>药材</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eastAsia="zh-CN"/>
              </w:rPr>
              <w:t>水洗净附着的泥沙或不洁物等</w:t>
            </w:r>
            <w:r>
              <w:rPr>
                <w:rFonts w:hint="eastAsia" w:ascii="Times New Roman" w:hAnsi="Times New Roman" w:eastAsia="宋体" w:cs="Times New Roman"/>
                <w:sz w:val="24"/>
                <w:szCs w:val="24"/>
              </w:rPr>
              <w:t>。将已洗净的</w:t>
            </w:r>
            <w:r>
              <w:rPr>
                <w:rFonts w:hint="eastAsia" w:ascii="Times New Roman" w:hAnsi="Times New Roman" w:eastAsia="宋体" w:cs="Times New Roman"/>
                <w:sz w:val="24"/>
                <w:szCs w:val="24"/>
                <w:lang w:val="en-US" w:eastAsia="zh-CN"/>
              </w:rPr>
              <w:t>药材</w:t>
            </w:r>
            <w:r>
              <w:rPr>
                <w:rFonts w:hint="eastAsia" w:ascii="Times New Roman" w:hAnsi="Times New Roman" w:eastAsia="宋体" w:cs="Times New Roman"/>
                <w:sz w:val="24"/>
                <w:szCs w:val="24"/>
              </w:rPr>
              <w:t>，按大小</w:t>
            </w:r>
            <w:r>
              <w:rPr>
                <w:rFonts w:hint="eastAsia" w:ascii="Times New Roman" w:hAnsi="Times New Roman" w:eastAsia="宋体" w:cs="Times New Roman"/>
                <w:sz w:val="24"/>
                <w:szCs w:val="24"/>
                <w:lang w:eastAsia="zh-CN"/>
              </w:rPr>
              <w:t>分档分别</w:t>
            </w:r>
            <w:r>
              <w:rPr>
                <w:rFonts w:hint="eastAsia" w:ascii="Times New Roman" w:hAnsi="Times New Roman" w:eastAsia="宋体" w:cs="Times New Roman"/>
                <w:sz w:val="24"/>
                <w:szCs w:val="24"/>
              </w:rPr>
              <w:t>装入不锈钢筐内</w:t>
            </w:r>
            <w:r>
              <w:rPr>
                <w:rFonts w:hint="eastAsia" w:ascii="Times New Roman" w:hAnsi="Times New Roman" w:eastAsia="宋体" w:cs="Times New Roman"/>
                <w:sz w:val="24"/>
                <w:szCs w:val="24"/>
                <w:lang w:eastAsia="zh-CN"/>
              </w:rPr>
              <w:t>或</w:t>
            </w:r>
            <w:r>
              <w:rPr>
                <w:rFonts w:hint="eastAsia" w:ascii="Times New Roman" w:hAnsi="Times New Roman" w:eastAsia="宋体" w:cs="Times New Roman"/>
                <w:sz w:val="24"/>
                <w:szCs w:val="24"/>
                <w:lang w:val="en-US" w:eastAsia="zh-CN"/>
              </w:rPr>
              <w:t>洗</w:t>
            </w:r>
            <w:r>
              <w:rPr>
                <w:rFonts w:hint="eastAsia" w:ascii="Times New Roman" w:hAnsi="Times New Roman" w:eastAsia="宋体" w:cs="Times New Roman"/>
                <w:sz w:val="24"/>
                <w:szCs w:val="24"/>
                <w:lang w:eastAsia="zh-CN"/>
              </w:rPr>
              <w:t>药池内。</w:t>
            </w:r>
          </w:p>
          <w:p w14:paraId="5B858275">
            <w:pPr>
              <w:pStyle w:val="18"/>
              <w:ind w:firstLine="42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干燥</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取切制好的</w:t>
            </w:r>
            <w:r>
              <w:rPr>
                <w:rFonts w:hint="default" w:ascii="Times New Roman" w:hAnsi="Times New Roman" w:eastAsia="宋体" w:cs="Times New Roman"/>
                <w:sz w:val="24"/>
                <w:szCs w:val="24"/>
                <w:lang w:val="en-US" w:eastAsia="zh-CN"/>
              </w:rPr>
              <w:t>药材</w:t>
            </w:r>
            <w:r>
              <w:rPr>
                <w:rFonts w:hint="default" w:ascii="Times New Roman" w:hAnsi="Times New Roman" w:eastAsia="宋体" w:cs="Times New Roman"/>
                <w:sz w:val="24"/>
                <w:szCs w:val="24"/>
              </w:rPr>
              <w:t>，平铺于不锈钢烘盘中，上货厚度在2cm以下，置</w:t>
            </w:r>
            <w:r>
              <w:rPr>
                <w:rFonts w:hint="default" w:ascii="Times New Roman" w:hAnsi="Times New Roman" w:eastAsia="宋体" w:cs="Times New Roman"/>
                <w:sz w:val="24"/>
                <w:szCs w:val="24"/>
                <w:lang w:eastAsia="zh-CN"/>
              </w:rPr>
              <w:t>热风循环烘箱</w:t>
            </w:r>
            <w:r>
              <w:rPr>
                <w:rFonts w:hint="default" w:ascii="Times New Roman" w:hAnsi="Times New Roman" w:eastAsia="宋体" w:cs="Times New Roman"/>
                <w:sz w:val="24"/>
                <w:szCs w:val="24"/>
              </w:rPr>
              <w:t>中，设定温度</w:t>
            </w:r>
            <w:r>
              <w:rPr>
                <w:rFonts w:hint="default" w:ascii="Times New Roman" w:hAnsi="Times New Roman" w:eastAsia="宋体" w:cs="Times New Roman"/>
                <w:sz w:val="24"/>
                <w:szCs w:val="24"/>
                <w:lang w:val="en-US" w:eastAsia="zh-CN"/>
              </w:rPr>
              <w:t>60-70</w:t>
            </w:r>
            <w:r>
              <w:rPr>
                <w:rFonts w:hint="default" w:ascii="Times New Roman" w:hAnsi="Times New Roman" w:eastAsia="宋体" w:cs="Times New Roman"/>
                <w:sz w:val="24"/>
                <w:szCs w:val="24"/>
              </w:rPr>
              <w:t>℃，干燥</w:t>
            </w:r>
            <w:r>
              <w:rPr>
                <w:rFonts w:hint="default" w:ascii="Times New Roman" w:hAnsi="Times New Roman" w:eastAsia="宋体" w:cs="Times New Roman"/>
                <w:sz w:val="24"/>
                <w:szCs w:val="24"/>
                <w:lang w:val="en-US" w:eastAsia="zh-CN"/>
              </w:rPr>
              <w:t>3-4</w:t>
            </w:r>
            <w:r>
              <w:rPr>
                <w:rFonts w:hint="default" w:ascii="Times New Roman" w:hAnsi="Times New Roman" w:eastAsia="宋体" w:cs="Times New Roman"/>
                <w:sz w:val="24"/>
                <w:szCs w:val="24"/>
              </w:rPr>
              <w:t>小时，取出，放凉。</w:t>
            </w:r>
            <w:r>
              <w:rPr>
                <w:rFonts w:hint="default" w:ascii="Times New Roman" w:hAnsi="Times New Roman" w:eastAsia="宋体" w:cs="Times New Roman"/>
                <w:sz w:val="24"/>
                <w:szCs w:val="24"/>
                <w:lang w:eastAsia="zh-CN"/>
              </w:rPr>
              <w:t>盛装于中转筐中，称重。</w:t>
            </w:r>
          </w:p>
          <w:p w14:paraId="475FCD2F">
            <w:pPr>
              <w:pStyle w:val="18"/>
              <w:ind w:firstLine="42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粉碎：将干燥后的药材，按大小分开，将大块用破碎机打成不规则的碎块。</w:t>
            </w:r>
          </w:p>
          <w:p w14:paraId="4D38952A">
            <w:pPr>
              <w:pStyle w:val="18"/>
              <w:ind w:firstLine="42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煅制：将破碎好的药材明置煅药锅内，设定煅药温度300℃，煅制3-4h至酥脆时，放凉，取出。</w:t>
            </w:r>
          </w:p>
          <w:p w14:paraId="31104AD6">
            <w:pPr>
              <w:spacing w:line="360" w:lineRule="auto"/>
              <w:ind w:firstLine="480" w:firstLineChars="200"/>
              <w:rPr>
                <w:rFonts w:hint="eastAsia"/>
                <w:b/>
                <w:bCs/>
                <w:sz w:val="24"/>
                <w:szCs w:val="24"/>
                <w:u w:val="single"/>
              </w:rPr>
            </w:pPr>
            <w:r>
              <w:rPr>
                <w:rFonts w:hint="eastAsia" w:ascii="Times New Roman" w:hAnsi="Times New Roman" w:eastAsia="宋体" w:cs="Times New Roman"/>
                <w:sz w:val="24"/>
                <w:szCs w:val="24"/>
              </w:rPr>
              <w:t>包装</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按包装指令单到仓库领取相应数量的包装材料，从</w:t>
            </w:r>
            <w:r>
              <w:rPr>
                <w:rFonts w:hint="eastAsia" w:ascii="Times New Roman" w:hAnsi="Times New Roman" w:eastAsia="宋体" w:cs="Times New Roman"/>
                <w:sz w:val="24"/>
                <w:szCs w:val="24"/>
                <w:lang w:eastAsia="zh-CN"/>
              </w:rPr>
              <w:t>暂存间</w:t>
            </w:r>
            <w:r>
              <w:rPr>
                <w:rFonts w:hint="eastAsia" w:ascii="Times New Roman" w:hAnsi="Times New Roman" w:eastAsia="宋体" w:cs="Times New Roman"/>
                <w:sz w:val="24"/>
                <w:szCs w:val="24"/>
              </w:rPr>
              <w:t>领取加工好的</w:t>
            </w:r>
            <w:r>
              <w:rPr>
                <w:rFonts w:hint="eastAsia" w:ascii="Times New Roman" w:hAnsi="Times New Roman" w:eastAsia="宋体" w:cs="Times New Roman"/>
                <w:sz w:val="24"/>
                <w:szCs w:val="24"/>
                <w:lang w:val="en-US" w:eastAsia="zh-CN"/>
              </w:rPr>
              <w:t>药材</w:t>
            </w:r>
            <w:r>
              <w:rPr>
                <w:rFonts w:hint="eastAsia" w:ascii="Times New Roman" w:hAnsi="Times New Roman" w:eastAsia="宋体" w:cs="Times New Roman"/>
                <w:sz w:val="24"/>
                <w:szCs w:val="24"/>
              </w:rPr>
              <w:t>，按本品包装规格要求进行包装，贴好标签，由质量管理部门抽样检验，检验合格的产品须办理入库手续后入库。</w:t>
            </w:r>
          </w:p>
          <w:p w14:paraId="4B102E17">
            <w:pPr>
              <w:pStyle w:val="18"/>
              <w:ind w:firstLine="420"/>
              <w:rPr>
                <w:rFonts w:hint="eastAsia" w:ascii="Times New Roman" w:hAnsi="Times New Roman" w:eastAsia="宋体" w:cs="Times New Roman"/>
                <w:b/>
                <w:bCs/>
                <w:sz w:val="24"/>
                <w:szCs w:val="24"/>
              </w:rPr>
            </w:pPr>
            <w:r>
              <w:rPr>
                <w:rFonts w:hint="eastAsia" w:cs="Times New Roman"/>
                <w:b/>
                <w:bCs/>
                <w:sz w:val="24"/>
                <w:szCs w:val="24"/>
                <w:lang w:eastAsia="zh-CN"/>
              </w:rPr>
              <w:t>（</w:t>
            </w:r>
            <w:r>
              <w:rPr>
                <w:rFonts w:hint="eastAsia" w:cs="Times New Roman"/>
                <w:b/>
                <w:bCs/>
                <w:sz w:val="24"/>
                <w:szCs w:val="24"/>
                <w:lang w:val="en-US" w:eastAsia="zh-CN"/>
              </w:rPr>
              <w:t>8</w:t>
            </w:r>
            <w:r>
              <w:rPr>
                <w:rFonts w:hint="eastAsia" w:cs="Times New Roman"/>
                <w:b/>
                <w:bCs/>
                <w:sz w:val="24"/>
                <w:szCs w:val="24"/>
                <w:lang w:eastAsia="zh-CN"/>
              </w:rPr>
              <w:t>）</w:t>
            </w:r>
            <w:r>
              <w:rPr>
                <w:rFonts w:hint="eastAsia" w:ascii="Times New Roman" w:hAnsi="Times New Roman" w:eastAsia="宋体" w:cs="Times New Roman"/>
                <w:b/>
                <w:bCs/>
                <w:sz w:val="24"/>
                <w:szCs w:val="24"/>
              </w:rPr>
              <w:t xml:space="preserve">燀制中药饮片生产工艺流程 </w:t>
            </w:r>
          </w:p>
          <w:p w14:paraId="4450D1F4">
            <w:pPr>
              <w:keepNext w:val="0"/>
              <w:keepLines w:val="0"/>
              <w:pageBreakBefore w:val="0"/>
              <w:widowControl w:val="0"/>
              <w:kinsoku/>
              <w:wordWrap w:val="0"/>
              <w:overflowPunct/>
              <w:topLinePunct w:val="0"/>
              <w:autoSpaceDE/>
              <w:autoSpaceDN/>
              <w:bidi w:val="0"/>
              <w:adjustRightInd/>
              <w:snapToGrid/>
              <w:ind w:firstLine="0" w:firstLineChars="0"/>
              <w:jc w:val="center"/>
              <w:textAlignment w:val="auto"/>
            </w:pPr>
            <w:r>
              <w:object>
                <v:shape id="_x0000_i1033" o:spt="75" type="#_x0000_t75" style="height:308pt;width:223.5pt;" o:ole="t" filled="f" o:preferrelative="t" stroked="f" coordsize="21600,21600">
                  <v:path/>
                  <v:fill on="f" focussize="0,0"/>
                  <v:stroke on="f"/>
                  <v:imagedata r:id="rId42" o:title=""/>
                  <o:lock v:ext="edit" aspectratio="f"/>
                  <w10:wrap type="none"/>
                  <w10:anchorlock/>
                </v:shape>
                <o:OLEObject Type="Embed" ProgID="Visio.Drawing.15" ShapeID="_x0000_i1033" DrawAspect="Content" ObjectID="_1468075733" r:id="rId41">
                  <o:LockedField>false</o:LockedField>
                </o:OLEObject>
              </w:object>
            </w:r>
          </w:p>
          <w:p w14:paraId="6950AA25">
            <w:pPr>
              <w:keepNext w:val="0"/>
              <w:keepLines w:val="0"/>
              <w:pageBreakBefore w:val="0"/>
              <w:widowControl w:val="0"/>
              <w:numPr>
                <w:ilvl w:val="0"/>
                <w:numId w:val="6"/>
              </w:numPr>
              <w:kinsoku/>
              <w:wordWrap w:val="0"/>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燀制</w:t>
            </w:r>
            <w:r>
              <w:rPr>
                <w:rFonts w:hint="default" w:ascii="Times New Roman" w:hAnsi="Times New Roman" w:eastAsia="宋体" w:cs="Times New Roman"/>
                <w:b/>
                <w:bCs/>
                <w:sz w:val="21"/>
                <w:szCs w:val="21"/>
                <w:highlight w:val="none"/>
                <w:lang w:val="en-US" w:eastAsia="zh-CN"/>
              </w:rPr>
              <w:t>类中药饮片生产工艺</w:t>
            </w:r>
            <w:r>
              <w:rPr>
                <w:rFonts w:hint="eastAsia" w:ascii="Times New Roman" w:hAnsi="Times New Roman" w:eastAsia="宋体" w:cs="Times New Roman"/>
                <w:b/>
                <w:bCs/>
                <w:sz w:val="21"/>
                <w:szCs w:val="21"/>
                <w:highlight w:val="none"/>
                <w:lang w:val="en-US" w:eastAsia="zh-CN"/>
              </w:rPr>
              <w:t>流程</w:t>
            </w:r>
          </w:p>
          <w:p w14:paraId="6EC11294">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工艺流程简述：</w:t>
            </w:r>
          </w:p>
          <w:p w14:paraId="44402762">
            <w:pPr>
              <w:pStyle w:val="18"/>
              <w:ind w:firstLine="420"/>
              <w:rPr>
                <w:rFonts w:hint="eastAsia" w:ascii="Times New Roman" w:hAnsi="Times New Roman" w:eastAsia="宋体" w:cs="Times New Roman"/>
                <w:sz w:val="24"/>
                <w:szCs w:val="24"/>
              </w:rPr>
            </w:pPr>
            <w:r>
              <w:rPr>
                <w:rFonts w:hint="eastAsia" w:cs="Times New Roman"/>
                <w:sz w:val="24"/>
                <w:szCs w:val="24"/>
                <w:lang w:val="en-US" w:eastAsia="zh-CN"/>
              </w:rPr>
              <w:t>净制</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原药材经物流通道送入净选操作间，将原药材放置于净选工作台上，拣净杂质及非药用部位，将净制后的</w:t>
            </w:r>
            <w:r>
              <w:rPr>
                <w:rFonts w:hint="eastAsia" w:ascii="Times New Roman" w:hAnsi="Times New Roman" w:eastAsia="宋体" w:cs="Times New Roman"/>
                <w:sz w:val="24"/>
                <w:szCs w:val="24"/>
                <w:lang w:val="en-US" w:eastAsia="zh-CN"/>
              </w:rPr>
              <w:t>药材</w:t>
            </w:r>
            <w:r>
              <w:rPr>
                <w:rFonts w:hint="eastAsia" w:ascii="Times New Roman" w:hAnsi="Times New Roman" w:eastAsia="宋体" w:cs="Times New Roman"/>
                <w:sz w:val="24"/>
                <w:szCs w:val="24"/>
              </w:rPr>
              <w:t>盛装于中转筐中，称重。</w:t>
            </w:r>
          </w:p>
          <w:p w14:paraId="443B35F7">
            <w:pPr>
              <w:pStyle w:val="18"/>
              <w:ind w:firstLine="42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燀制</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取净选好的桃仁</w:t>
            </w:r>
            <w:r>
              <w:rPr>
                <w:rFonts w:hint="eastAsia" w:ascii="Times New Roman" w:hAnsi="Times New Roman" w:eastAsia="宋体" w:cs="Times New Roman"/>
                <w:sz w:val="24"/>
                <w:szCs w:val="24"/>
                <w:lang w:eastAsia="zh-CN"/>
              </w:rPr>
              <w:t>、苦杏仁</w:t>
            </w:r>
            <w:r>
              <w:rPr>
                <w:rFonts w:hint="eastAsia" w:ascii="Times New Roman" w:hAnsi="Times New Roman" w:eastAsia="宋体" w:cs="Times New Roman"/>
                <w:sz w:val="24"/>
                <w:szCs w:val="24"/>
              </w:rPr>
              <w:t>，置蒸煮锅沸水内，燀30min至种皮由皱缩至舒展、易搓去时，捞出，放入脱皮机中，除去种皮。盛装于中转筐中，称重。</w:t>
            </w:r>
          </w:p>
          <w:p w14:paraId="4F72ADC9">
            <w:pPr>
              <w:pStyle w:val="18"/>
              <w:ind w:firstLine="42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干燥</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rPr>
              <w:t>取燀制好的桃仁</w:t>
            </w:r>
            <w:r>
              <w:rPr>
                <w:rFonts w:hint="eastAsia" w:ascii="Times New Roman" w:hAnsi="Times New Roman" w:eastAsia="宋体" w:cs="Times New Roman"/>
                <w:sz w:val="24"/>
                <w:szCs w:val="24"/>
                <w:lang w:eastAsia="zh-CN"/>
              </w:rPr>
              <w:t>、苦杏仁</w:t>
            </w:r>
            <w:r>
              <w:rPr>
                <w:rFonts w:hint="eastAsia" w:ascii="Times New Roman" w:hAnsi="Times New Roman" w:eastAsia="宋体" w:cs="Times New Roman"/>
                <w:sz w:val="24"/>
                <w:szCs w:val="24"/>
              </w:rPr>
              <w:t>，平铺于不锈钢烘盘中，上货厚度在2cm以下，置热风循环烘箱中，设定温度60-70℃，干燥3-4小时，取出，放凉。盛装于中转筐中，称重，挂上容器内容物卡和物料中转卡。</w:t>
            </w: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rPr>
              <w:t>取燀制好的桃仁</w:t>
            </w:r>
            <w:r>
              <w:rPr>
                <w:rFonts w:hint="eastAsia" w:ascii="Times New Roman" w:hAnsi="Times New Roman" w:eastAsia="宋体" w:cs="Times New Roman"/>
                <w:sz w:val="24"/>
                <w:szCs w:val="24"/>
                <w:lang w:eastAsia="zh-CN"/>
              </w:rPr>
              <w:t>、苦杏仁</w:t>
            </w:r>
            <w:r>
              <w:rPr>
                <w:rFonts w:hint="eastAsia" w:ascii="Times New Roman" w:hAnsi="Times New Roman" w:eastAsia="宋体" w:cs="Times New Roman"/>
                <w:sz w:val="24"/>
                <w:szCs w:val="24"/>
              </w:rPr>
              <w:t>，置晾晒房自然晾晒，时间4-5小时，水分&lt;6%。盛装于中转筐中，称重，挂上容器内容物卡和物料中转卡，转入下一工序。</w:t>
            </w:r>
          </w:p>
          <w:p w14:paraId="2AC12BF0">
            <w:pPr>
              <w:pStyle w:val="18"/>
              <w:ind w:firstLine="42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筛分</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取干燥后的燀桃仁</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燀</w:t>
            </w:r>
            <w:r>
              <w:rPr>
                <w:rFonts w:hint="eastAsia" w:ascii="Times New Roman" w:hAnsi="Times New Roman" w:eastAsia="宋体" w:cs="Times New Roman"/>
                <w:sz w:val="24"/>
                <w:szCs w:val="24"/>
                <w:lang w:eastAsia="zh-CN"/>
              </w:rPr>
              <w:t>苦杏仁</w:t>
            </w:r>
            <w:r>
              <w:rPr>
                <w:rFonts w:hint="eastAsia" w:ascii="Times New Roman" w:hAnsi="Times New Roman" w:eastAsia="宋体" w:cs="Times New Roman"/>
                <w:sz w:val="24"/>
                <w:szCs w:val="24"/>
              </w:rPr>
              <w:t>，筛去碎末，盛装于纤维袋内，称重，挂上填写内容清楚的物料卡，转入暂存间存放。</w:t>
            </w:r>
          </w:p>
          <w:p w14:paraId="655B7653">
            <w:pPr>
              <w:pStyle w:val="18"/>
              <w:ind w:firstLine="42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包装</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按包装指令单到仓库领取相应数量的包装材料，从</w:t>
            </w:r>
            <w:r>
              <w:rPr>
                <w:rFonts w:hint="eastAsia" w:ascii="Times New Roman" w:hAnsi="Times New Roman" w:eastAsia="宋体" w:cs="Times New Roman"/>
                <w:sz w:val="24"/>
                <w:szCs w:val="24"/>
                <w:lang w:eastAsia="zh-CN"/>
              </w:rPr>
              <w:t>暂存间</w:t>
            </w:r>
            <w:r>
              <w:rPr>
                <w:rFonts w:hint="eastAsia" w:ascii="Times New Roman" w:hAnsi="Times New Roman" w:eastAsia="宋体" w:cs="Times New Roman"/>
                <w:sz w:val="24"/>
                <w:szCs w:val="24"/>
              </w:rPr>
              <w:t>领取加工好的</w:t>
            </w:r>
            <w:r>
              <w:rPr>
                <w:rFonts w:hint="eastAsia" w:ascii="Times New Roman" w:hAnsi="Times New Roman" w:eastAsia="宋体" w:cs="Times New Roman"/>
                <w:sz w:val="24"/>
                <w:szCs w:val="24"/>
                <w:lang w:val="en-US" w:eastAsia="zh-CN"/>
              </w:rPr>
              <w:t>药材</w:t>
            </w:r>
            <w:r>
              <w:rPr>
                <w:rFonts w:hint="eastAsia" w:ascii="Times New Roman" w:hAnsi="Times New Roman" w:eastAsia="宋体" w:cs="Times New Roman"/>
                <w:sz w:val="24"/>
                <w:szCs w:val="24"/>
              </w:rPr>
              <w:t>，按本品包装规格要求进行包装，贴好标签，由质量管理部门抽样检验，检验合格的产品须办理入库手续后入库。</w:t>
            </w:r>
          </w:p>
          <w:p w14:paraId="0EBF76B8">
            <w:pPr>
              <w:pStyle w:val="18"/>
              <w:ind w:firstLine="420"/>
              <w:rPr>
                <w:rFonts w:hint="eastAsia" w:ascii="Times New Roman" w:hAnsi="Times New Roman" w:eastAsia="宋体" w:cs="Times New Roman"/>
                <w:b/>
                <w:bCs/>
                <w:sz w:val="24"/>
                <w:szCs w:val="24"/>
                <w:highlight w:val="none"/>
              </w:rPr>
            </w:pPr>
            <w:r>
              <w:rPr>
                <w:rFonts w:hint="eastAsia" w:cs="Times New Roman"/>
                <w:b/>
                <w:bCs/>
                <w:sz w:val="24"/>
                <w:szCs w:val="24"/>
                <w:highlight w:val="none"/>
                <w:lang w:eastAsia="zh-CN"/>
              </w:rPr>
              <w:t>（</w:t>
            </w:r>
            <w:r>
              <w:rPr>
                <w:rFonts w:hint="eastAsia" w:cs="Times New Roman"/>
                <w:b/>
                <w:bCs/>
                <w:sz w:val="24"/>
                <w:szCs w:val="24"/>
                <w:highlight w:val="none"/>
                <w:lang w:val="en-US" w:eastAsia="zh-CN"/>
              </w:rPr>
              <w:t>9</w:t>
            </w:r>
            <w:r>
              <w:rPr>
                <w:rFonts w:hint="eastAsia" w:cs="Times New Roman"/>
                <w:b/>
                <w:bCs/>
                <w:sz w:val="24"/>
                <w:szCs w:val="24"/>
                <w:highlight w:val="none"/>
                <w:lang w:eastAsia="zh-CN"/>
              </w:rPr>
              <w:t>）</w:t>
            </w:r>
            <w:r>
              <w:rPr>
                <w:rFonts w:hint="eastAsia" w:cs="Times New Roman"/>
                <w:b/>
                <w:bCs/>
                <w:sz w:val="24"/>
                <w:szCs w:val="24"/>
                <w:highlight w:val="none"/>
                <w:lang w:val="en-US" w:eastAsia="zh-CN"/>
              </w:rPr>
              <w:t>制炭</w:t>
            </w:r>
            <w:r>
              <w:rPr>
                <w:rFonts w:hint="eastAsia" w:ascii="Times New Roman" w:hAnsi="Times New Roman" w:eastAsia="宋体" w:cs="Times New Roman"/>
                <w:b/>
                <w:bCs/>
                <w:sz w:val="24"/>
                <w:szCs w:val="24"/>
                <w:highlight w:val="none"/>
              </w:rPr>
              <w:t xml:space="preserve">生产工艺流程 </w:t>
            </w:r>
          </w:p>
          <w:p w14:paraId="12D5A2F4">
            <w:pPr>
              <w:keepNext w:val="0"/>
              <w:keepLines w:val="0"/>
              <w:pageBreakBefore w:val="0"/>
              <w:widowControl w:val="0"/>
              <w:kinsoku/>
              <w:wordWrap w:val="0"/>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object>
                <v:shape id="_x0000_i1034" o:spt="75" type="#_x0000_t75" style="height:348.5pt;width:233.5pt;" o:ole="t" filled="f" o:preferrelative="t" stroked="f" coordsize="21600,21600">
                  <v:path/>
                  <v:fill on="f" focussize="0,0"/>
                  <v:stroke on="f"/>
                  <v:imagedata r:id="rId44" o:title=""/>
                  <o:lock v:ext="edit" aspectratio="f"/>
                  <w10:wrap type="none"/>
                  <w10:anchorlock/>
                </v:shape>
                <o:OLEObject Type="Embed" ProgID="Visio.Drawing.15" ShapeID="_x0000_i1034" DrawAspect="Content" ObjectID="_1468075734" r:id="rId43">
                  <o:LockedField>false</o:LockedField>
                </o:OLEObject>
              </w:object>
            </w:r>
          </w:p>
          <w:p w14:paraId="180FCE9F">
            <w:pPr>
              <w:keepNext w:val="0"/>
              <w:keepLines w:val="0"/>
              <w:pageBreakBefore w:val="0"/>
              <w:widowControl w:val="0"/>
              <w:numPr>
                <w:ilvl w:val="0"/>
                <w:numId w:val="6"/>
              </w:numPr>
              <w:kinsoku/>
              <w:wordWrap w:val="0"/>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制炭</w:t>
            </w:r>
            <w:r>
              <w:rPr>
                <w:rFonts w:hint="default" w:ascii="Times New Roman" w:hAnsi="Times New Roman" w:eastAsia="宋体" w:cs="Times New Roman"/>
                <w:b/>
                <w:bCs/>
                <w:sz w:val="21"/>
                <w:szCs w:val="21"/>
                <w:highlight w:val="none"/>
                <w:lang w:val="en-US" w:eastAsia="zh-CN"/>
              </w:rPr>
              <w:t>类中药饮片生产工艺</w:t>
            </w:r>
            <w:r>
              <w:rPr>
                <w:rFonts w:hint="eastAsia" w:ascii="Times New Roman" w:hAnsi="Times New Roman" w:eastAsia="宋体" w:cs="Times New Roman"/>
                <w:b/>
                <w:bCs/>
                <w:sz w:val="21"/>
                <w:szCs w:val="21"/>
                <w:highlight w:val="none"/>
                <w:lang w:val="en-US" w:eastAsia="zh-CN"/>
              </w:rPr>
              <w:t>流程</w:t>
            </w:r>
          </w:p>
          <w:p w14:paraId="7D04A8C0">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工艺流程简述：</w:t>
            </w:r>
          </w:p>
          <w:p w14:paraId="3F92873A">
            <w:pPr>
              <w:rPr>
                <w:rFonts w:hint="eastAsia" w:ascii="Times New Roman" w:hAnsi="Times New Roman" w:eastAsia="宋体" w:cs="Times New Roman"/>
                <w:sz w:val="24"/>
                <w:szCs w:val="24"/>
                <w:lang w:val="en-US" w:eastAsia="zh-CN"/>
              </w:rPr>
            </w:pPr>
            <w:r>
              <w:rPr>
                <w:rFonts w:hint="eastAsia" w:cs="Times New Roman"/>
                <w:sz w:val="24"/>
                <w:szCs w:val="24"/>
                <w:lang w:val="en-US" w:eastAsia="zh-CN"/>
              </w:rPr>
              <w:t>净制：</w:t>
            </w:r>
            <w:r>
              <w:rPr>
                <w:rFonts w:hint="eastAsia" w:ascii="Times New Roman" w:hAnsi="Times New Roman" w:eastAsia="宋体" w:cs="Times New Roman"/>
                <w:sz w:val="24"/>
                <w:szCs w:val="24"/>
                <w:lang w:val="en-US" w:eastAsia="zh-CN"/>
              </w:rPr>
              <w:t>把外购的经前处理后的净药材倾置在中药材净制台上进行净制，除去灰屑等杂质，除去残留非药用部分，将净制好的以专用容器盛放，移至净制周转区，挂上状态标志。将净制的药材送入洗润车间，按照各药材生产工艺规程进行适当水处理，使其洁净并吸收一定量水分。洗净后浸泡2-3天（按产品种类确定浸泡时间），至切开内无干心，口尝微有麻舌感为度。捞出药材，置于洁净的容器内。用水将中草药泼湿、拌和、焖压，使中草药处于湿润状态，以利于切制工序。此过程用水基本被药材吸收，废水产生量较小。</w:t>
            </w:r>
          </w:p>
          <w:p w14:paraId="0DD8925A">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切制</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切制切割成小的片状物，厚度1-2mm。</w:t>
            </w:r>
          </w:p>
          <w:p w14:paraId="1A2A03FD">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干燥</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将炮制后的中药饮片进行干燥，去掉多余的水份，水分≤10%，以利于保存。一般采用烘干的方法。</w:t>
            </w:r>
          </w:p>
          <w:p w14:paraId="62417ABA">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筛选</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将干燥的药材放置于振动筛中，使之上下左右振动，将大小、粗细不同的药材分开，以利于药材的包装。</w:t>
            </w:r>
          </w:p>
          <w:p w14:paraId="7EF90119">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炒炭</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将经过帅选后的中药进行炒炭，去除碎屑，制成饮片。</w:t>
            </w:r>
          </w:p>
          <w:p w14:paraId="5B894504">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包装</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根据品种的差别，进行包装。</w:t>
            </w:r>
          </w:p>
          <w:p w14:paraId="19F24C6E">
            <w:pPr>
              <w:rPr>
                <w:rFonts w:hint="eastAsia"/>
                <w:sz w:val="24"/>
                <w:szCs w:val="24"/>
                <w:lang w:val="en-US" w:eastAsia="zh-CN"/>
              </w:rPr>
            </w:pPr>
            <w:r>
              <w:rPr>
                <w:rFonts w:hint="eastAsia" w:ascii="Times New Roman" w:hAnsi="Times New Roman" w:eastAsia="宋体" w:cs="Times New Roman"/>
                <w:sz w:val="24"/>
                <w:szCs w:val="24"/>
                <w:lang w:val="en-US" w:eastAsia="zh-CN"/>
              </w:rPr>
              <w:t>成品</w:t>
            </w:r>
            <w:r>
              <w:rPr>
                <w:rFonts w:hint="eastAsia" w:cs="Times New Roman"/>
                <w:sz w:val="24"/>
                <w:szCs w:val="24"/>
                <w:lang w:val="en-US" w:eastAsia="zh-CN"/>
              </w:rPr>
              <w:t>检测：</w:t>
            </w:r>
            <w:r>
              <w:rPr>
                <w:rFonts w:hint="eastAsia"/>
                <w:sz w:val="24"/>
                <w:szCs w:val="24"/>
                <w:lang w:val="en-US" w:eastAsia="zh-CN"/>
              </w:rPr>
              <w:t>对成品按照标准要求进行逐项检测。</w:t>
            </w:r>
          </w:p>
          <w:p w14:paraId="794B83BC">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入库</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将合格产品放入成品库，一定数量后转移至</w:t>
            </w:r>
            <w:r>
              <w:rPr>
                <w:rFonts w:hint="eastAsia" w:cs="Times New Roman"/>
                <w:sz w:val="24"/>
                <w:szCs w:val="24"/>
                <w:lang w:val="en-US" w:eastAsia="zh-CN"/>
              </w:rPr>
              <w:t>成品库</w:t>
            </w:r>
            <w:r>
              <w:rPr>
                <w:rFonts w:hint="eastAsia" w:ascii="Times New Roman" w:hAnsi="Times New Roman" w:eastAsia="宋体" w:cs="Times New Roman"/>
                <w:sz w:val="24"/>
                <w:szCs w:val="24"/>
                <w:lang w:val="en-US" w:eastAsia="zh-CN"/>
              </w:rPr>
              <w:t>。</w:t>
            </w:r>
          </w:p>
          <w:p w14:paraId="66D8589F">
            <w:pPr>
              <w:pStyle w:val="18"/>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w:t>
            </w:r>
            <w:r>
              <w:rPr>
                <w:rFonts w:hint="eastAsia" w:cs="Times New Roman"/>
                <w:b/>
                <w:bCs/>
                <w:sz w:val="24"/>
                <w:szCs w:val="24"/>
                <w:lang w:val="en-US" w:eastAsia="zh-CN"/>
              </w:rPr>
              <w:t>1</w:t>
            </w:r>
            <w:r>
              <w:rPr>
                <w:rFonts w:hint="eastAsia" w:ascii="Times New Roman" w:hAnsi="Times New Roman" w:eastAsia="宋体" w:cs="Times New Roman"/>
                <w:b/>
                <w:bCs/>
                <w:sz w:val="24"/>
                <w:szCs w:val="24"/>
                <w:lang w:val="en-US" w:eastAsia="zh-CN"/>
              </w:rPr>
              <w:t>.2毒性中药饮片生产工艺流程</w:t>
            </w:r>
          </w:p>
          <w:p w14:paraId="67480D41">
            <w:pPr>
              <w:pStyle w:val="18"/>
              <w:ind w:firstLine="42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rPr>
              <w:t>毒性中药饮片是根据中医药理论、方法，严格按照《中国药典》的要求进行炮制，经过加工炮制脱毒后的，可直接用于中医临床的中药饮片。清洗、</w:t>
            </w:r>
            <w:r>
              <w:rPr>
                <w:rFonts w:hint="eastAsia" w:cs="Times New Roman"/>
                <w:sz w:val="24"/>
                <w:szCs w:val="24"/>
                <w:lang w:val="en-US" w:eastAsia="zh-CN"/>
              </w:rPr>
              <w:t>蒸煮</w:t>
            </w:r>
            <w:r>
              <w:rPr>
                <w:rFonts w:hint="eastAsia" w:ascii="Times New Roman" w:hAnsi="Times New Roman" w:eastAsia="宋体" w:cs="Times New Roman"/>
                <w:sz w:val="24"/>
                <w:szCs w:val="24"/>
              </w:rPr>
              <w:t>后产生的废水是毒性废水（含有生物碱等），通过收集进入解毒池，投</w:t>
            </w:r>
            <w:r>
              <w:rPr>
                <w:rFonts w:hint="eastAsia" w:ascii="Times New Roman" w:hAnsi="Times New Roman" w:eastAsia="宋体" w:cs="Times New Roman"/>
                <w:sz w:val="24"/>
                <w:szCs w:val="24"/>
                <w:highlight w:val="none"/>
              </w:rPr>
              <w:t>入白矾</w:t>
            </w: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rPr>
              <w:t>生姜，</w:t>
            </w:r>
            <w:r>
              <w:rPr>
                <w:rFonts w:hint="eastAsia" w:ascii="Times New Roman" w:hAnsi="Times New Roman" w:eastAsia="宋体" w:cs="Times New Roman"/>
                <w:sz w:val="24"/>
                <w:szCs w:val="24"/>
              </w:rPr>
              <w:t>并采用高温加热煮沸分解去除毒性后，排入</w:t>
            </w:r>
            <w:r>
              <w:rPr>
                <w:rFonts w:hint="eastAsia" w:cs="Times New Roman"/>
                <w:sz w:val="24"/>
                <w:szCs w:val="24"/>
                <w:lang w:val="en-US" w:eastAsia="zh-CN"/>
              </w:rPr>
              <w:t>厂区</w:t>
            </w:r>
            <w:r>
              <w:rPr>
                <w:rFonts w:hint="eastAsia" w:ascii="Times New Roman" w:hAnsi="Times New Roman" w:eastAsia="宋体" w:cs="Times New Roman"/>
                <w:sz w:val="24"/>
                <w:szCs w:val="24"/>
              </w:rPr>
              <w:t>污水处理站与其他生产废水一起处理达标排放。本项目毒性饮片</w:t>
            </w:r>
            <w:r>
              <w:rPr>
                <w:rFonts w:hint="eastAsia" w:ascii="Times New Roman" w:hAnsi="Times New Roman" w:eastAsia="宋体" w:cs="Times New Roman"/>
                <w:sz w:val="24"/>
                <w:szCs w:val="24"/>
                <w:lang w:val="en-US" w:eastAsia="zh-CN"/>
              </w:rPr>
              <w:t>解毒环节</w:t>
            </w:r>
            <w:r>
              <w:rPr>
                <w:rFonts w:hint="eastAsia" w:ascii="Times New Roman" w:hAnsi="Times New Roman" w:eastAsia="宋体" w:cs="Times New Roman"/>
                <w:sz w:val="24"/>
                <w:szCs w:val="24"/>
              </w:rPr>
              <w:t>在毒性中药饮片车间生产</w:t>
            </w:r>
            <w:r>
              <w:rPr>
                <w:rFonts w:hint="eastAsia" w:ascii="Times New Roman" w:hAnsi="Times New Roman" w:eastAsia="宋体" w:cs="Times New Roman"/>
                <w:sz w:val="24"/>
                <w:szCs w:val="24"/>
                <w:lang w:eastAsia="zh-CN"/>
              </w:rPr>
              <w:t>。</w:t>
            </w:r>
          </w:p>
          <w:p w14:paraId="3B5ECCCE">
            <w:pPr>
              <w:pStyle w:val="11"/>
              <w:keepNext w:val="0"/>
              <w:keepLines w:val="0"/>
              <w:pageBreakBefore w:val="0"/>
              <w:kinsoku/>
              <w:wordWrap w:val="0"/>
              <w:overflowPunct/>
              <w:topLinePunct w:val="0"/>
              <w:autoSpaceDE/>
              <w:autoSpaceDN/>
              <w:bidi w:val="0"/>
              <w:adjustRightInd/>
              <w:snapToGrid/>
              <w:spacing w:before="0" w:beforeAutospacing="0" w:after="0" w:afterAutospacing="0"/>
              <w:ind w:firstLine="0" w:firstLineChars="0"/>
              <w:jc w:val="center"/>
              <w:rPr>
                <w:rFonts w:hint="eastAsia"/>
                <w:lang w:val="en-US" w:eastAsia="zh-CN"/>
              </w:rPr>
            </w:pPr>
            <w:r>
              <w:rPr>
                <w:sz w:val="21"/>
              </w:rPr>
              <w:object>
                <v:shape id="_x0000_i1035" o:spt="75" type="#_x0000_t75" style="height:350pt;width:222.5pt;" o:ole="t" filled="f" o:preferrelative="t" stroked="f" coordsize="21600,21600">
                  <v:path/>
                  <v:fill on="f" focussize="0,0"/>
                  <v:stroke on="f"/>
                  <v:imagedata r:id="rId46" o:title=""/>
                  <o:lock v:ext="edit" aspectratio="f"/>
                  <w10:wrap type="none"/>
                  <w10:anchorlock/>
                </v:shape>
                <o:OLEObject Type="Embed" ProgID="Visio.Drawing.15" ShapeID="_x0000_i1035" DrawAspect="Content" ObjectID="_1468075735" r:id="rId45">
                  <o:LockedField>false</o:LockedField>
                </o:OLEObject>
              </w:object>
            </w:r>
            <w:r>
              <w:rPr>
                <w:sz w:val="21"/>
              </w:rPr>
              <mc:AlternateContent>
                <mc:Choice Requires="wps">
                  <w:drawing>
                    <wp:anchor distT="0" distB="0" distL="114300" distR="114300" simplePos="0" relativeHeight="251659264" behindDoc="0" locked="0" layoutInCell="1" allowOverlap="1">
                      <wp:simplePos x="0" y="0"/>
                      <wp:positionH relativeFrom="column">
                        <wp:posOffset>3617595</wp:posOffset>
                      </wp:positionH>
                      <wp:positionV relativeFrom="paragraph">
                        <wp:posOffset>492760</wp:posOffset>
                      </wp:positionV>
                      <wp:extent cx="582295" cy="374015"/>
                      <wp:effectExtent l="0" t="0" r="0" b="0"/>
                      <wp:wrapNone/>
                      <wp:docPr id="95" name="矩形 95"/>
                      <wp:cNvGraphicFramePr/>
                      <a:graphic xmlns:a="http://schemas.openxmlformats.org/drawingml/2006/main">
                        <a:graphicData uri="http://schemas.microsoft.com/office/word/2010/wordprocessingShape">
                          <wps:wsp>
                            <wps:cNvSpPr/>
                            <wps:spPr>
                              <a:xfrm>
                                <a:off x="0" y="0"/>
                                <a:ext cx="582295" cy="374015"/>
                              </a:xfrm>
                              <a:prstGeom prst="rect">
                                <a:avLst/>
                              </a:prstGeom>
                              <a:noFill/>
                              <a:ln>
                                <a:noFill/>
                              </a:ln>
                            </wps:spPr>
                            <wps:bodyPr upright="1"/>
                          </wps:wsp>
                        </a:graphicData>
                      </a:graphic>
                    </wp:anchor>
                  </w:drawing>
                </mc:Choice>
                <mc:Fallback>
                  <w:pict>
                    <v:rect id="_x0000_s1026" o:spid="_x0000_s1026" o:spt="1" style="position:absolute;left:0pt;margin-left:284.85pt;margin-top:38.8pt;height:29.45pt;width:45.85pt;z-index:251659264;mso-width-relative:page;mso-height-relative:page;" filled="f" stroked="f" coordsize="21600,21600" o:gfxdata="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HfZoXfbAAAACgEAAA8AAAAAAAAA&#10;AQAgAAAAIgAAAGRycy9kb3ducmV2LnhtbFBLAQIUABQAAAAIAIdO4kA+LxzOnAEAADcDAAAOAAAA&#10;AAAAAAEAIAAAACoBAABkcnMvZTJvRG9jLnhtbFBLBQYAAAAABgAGAFkBAAA4BQAAAAA=&#10;">
                      <v:fill on="f" focussize="0,0"/>
                      <v:stroke on="f"/>
                      <v:imagedata o:title=""/>
                      <o:lock v:ext="edit" aspectratio="f"/>
                    </v:rect>
                  </w:pict>
                </mc:Fallback>
              </mc:AlternateContent>
            </w:r>
          </w:p>
          <w:p w14:paraId="48C0C298">
            <w:pPr>
              <w:keepNext w:val="0"/>
              <w:keepLines w:val="0"/>
              <w:pageBreakBefore w:val="0"/>
              <w:widowControl w:val="0"/>
              <w:numPr>
                <w:ilvl w:val="0"/>
                <w:numId w:val="6"/>
              </w:numPr>
              <w:kinsoku/>
              <w:wordWrap w:val="0"/>
              <w:overflowPunct/>
              <w:topLinePunct w:val="0"/>
              <w:autoSpaceDE/>
              <w:autoSpaceDN/>
              <w:bidi w:val="0"/>
              <w:adjustRightInd/>
              <w:snapToGrid/>
              <w:ind w:left="425" w:leftChars="0" w:hanging="425" w:firstLineChars="0"/>
              <w:jc w:val="center"/>
              <w:textAlignment w:val="auto"/>
              <w:rPr>
                <w:rFonts w:hint="eastAsia"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毒性饮片生产工艺</w:t>
            </w:r>
            <w:r>
              <w:rPr>
                <w:rFonts w:hint="eastAsia" w:ascii="Times New Roman" w:hAnsi="Times New Roman" w:eastAsia="宋体" w:cs="Times New Roman"/>
                <w:b/>
                <w:bCs/>
                <w:sz w:val="21"/>
                <w:szCs w:val="21"/>
                <w:highlight w:val="none"/>
                <w:lang w:val="en-US" w:eastAsia="zh-CN"/>
              </w:rPr>
              <w:t>流程</w:t>
            </w:r>
          </w:p>
          <w:p w14:paraId="02642D17">
            <w:pPr>
              <w:keepNext w:val="0"/>
              <w:keepLines w:val="0"/>
              <w:pageBreakBefore w:val="0"/>
              <w:widowControl w:val="0"/>
              <w:kinsoku/>
              <w:wordWrap w:val="0"/>
              <w:overflowPunct/>
              <w:topLinePunct w:val="0"/>
              <w:autoSpaceDE/>
              <w:autoSpaceDN/>
              <w:bidi w:val="0"/>
              <w:adjustRightInd/>
              <w:snapToGrid/>
              <w:textAlignment w:val="auto"/>
              <w:rPr>
                <w:rFonts w:hint="eastAsia"/>
                <w:sz w:val="24"/>
                <w:szCs w:val="24"/>
                <w:lang w:val="en-US" w:eastAsia="zh-CN"/>
              </w:rPr>
            </w:pPr>
            <w:r>
              <w:rPr>
                <w:rFonts w:hint="eastAsia"/>
                <w:sz w:val="24"/>
                <w:szCs w:val="24"/>
                <w:lang w:val="en-US" w:eastAsia="zh-CN"/>
              </w:rPr>
              <w:t>工艺流程简述：</w:t>
            </w:r>
          </w:p>
          <w:p w14:paraId="70B3E3B6">
            <w:pPr>
              <w:keepNext w:val="0"/>
              <w:keepLines w:val="0"/>
              <w:pageBreakBefore w:val="0"/>
              <w:widowControl w:val="0"/>
              <w:kinsoku/>
              <w:wordWrap w:val="0"/>
              <w:overflowPunct/>
              <w:topLinePunct w:val="0"/>
              <w:autoSpaceDE/>
              <w:autoSpaceDN/>
              <w:bidi w:val="0"/>
              <w:adjustRightInd/>
              <w:snapToGrid/>
              <w:textAlignment w:val="auto"/>
              <w:rPr>
                <w:rFonts w:hint="eastAsia"/>
                <w:sz w:val="24"/>
                <w:szCs w:val="24"/>
                <w:lang w:val="en-US" w:eastAsia="zh-CN"/>
              </w:rPr>
            </w:pPr>
            <w:r>
              <w:rPr>
                <w:rFonts w:hint="eastAsia"/>
                <w:sz w:val="24"/>
                <w:szCs w:val="24"/>
                <w:lang w:val="en-US" w:eastAsia="zh-CN"/>
              </w:rPr>
              <w:t>净制：把外购的经前处理后的净药材倾置在中药材净制台上进行净制，除去灰屑等杂质，除去残留非药用部分，将净制好的以专用容器盛放，移至净制周转区，挂上状态标志。此工序会产生废边角料和杂质。将净制的药材送入洗润车间，按照各药材生产工艺规程进行适当水处理，使其洁净并吸收一定量水分。洗净后浸泡2-3天（按产品种类确定浸泡时间），捞出药材，置于洁净的容器内。此过程用水基本被药材吸收，废水产生量较小，产生的废水煮沸至100℃后外排。</w:t>
            </w:r>
          </w:p>
          <w:p w14:paraId="11BD1D5F">
            <w:pPr>
              <w:keepNext w:val="0"/>
              <w:keepLines w:val="0"/>
              <w:pageBreakBefore w:val="0"/>
              <w:widowControl w:val="0"/>
              <w:kinsoku/>
              <w:wordWrap w:val="0"/>
              <w:overflowPunct/>
              <w:topLinePunct w:val="0"/>
              <w:autoSpaceDE/>
              <w:autoSpaceDN/>
              <w:bidi w:val="0"/>
              <w:adjustRightInd/>
              <w:snapToGrid/>
              <w:textAlignment w:val="auto"/>
              <w:rPr>
                <w:rFonts w:hint="eastAsia"/>
                <w:sz w:val="24"/>
                <w:szCs w:val="24"/>
                <w:lang w:val="en-US" w:eastAsia="zh-CN"/>
              </w:rPr>
            </w:pPr>
            <w:r>
              <w:rPr>
                <w:rFonts w:hint="eastAsia"/>
                <w:sz w:val="24"/>
                <w:szCs w:val="24"/>
                <w:lang w:val="en-US" w:eastAsia="zh-CN"/>
              </w:rPr>
              <w:t>切制：将净制后的中药切割成小的片状物，厚度1-2mm，制成饮片，此工序产生噪声和废边角料。</w:t>
            </w:r>
          </w:p>
          <w:p w14:paraId="50B60A29">
            <w:pPr>
              <w:keepNext w:val="0"/>
              <w:keepLines w:val="0"/>
              <w:pageBreakBefore w:val="0"/>
              <w:widowControl w:val="0"/>
              <w:kinsoku/>
              <w:wordWrap w:val="0"/>
              <w:overflowPunct/>
              <w:topLinePunct w:val="0"/>
              <w:autoSpaceDE/>
              <w:autoSpaceDN/>
              <w:bidi w:val="0"/>
              <w:adjustRightInd/>
              <w:snapToGrid/>
              <w:textAlignment w:val="auto"/>
              <w:rPr>
                <w:rFonts w:hint="eastAsia"/>
                <w:sz w:val="24"/>
                <w:szCs w:val="24"/>
                <w:lang w:val="en-US" w:eastAsia="zh-CN"/>
              </w:rPr>
            </w:pPr>
            <w:r>
              <w:rPr>
                <w:rFonts w:hint="eastAsia"/>
                <w:sz w:val="24"/>
                <w:szCs w:val="24"/>
                <w:lang w:val="en-US" w:eastAsia="zh-CN"/>
              </w:rPr>
              <w:t>干燥：将炮制后的中药饮片进行干燥，去掉多余的水份以利于保存。一般采用烘干的方法。</w:t>
            </w:r>
          </w:p>
          <w:p w14:paraId="3316CCB4">
            <w:pPr>
              <w:keepNext w:val="0"/>
              <w:keepLines w:val="0"/>
              <w:pageBreakBefore w:val="0"/>
              <w:widowControl w:val="0"/>
              <w:kinsoku/>
              <w:wordWrap w:val="0"/>
              <w:overflowPunct/>
              <w:topLinePunct w:val="0"/>
              <w:autoSpaceDE/>
              <w:autoSpaceDN/>
              <w:bidi w:val="0"/>
              <w:adjustRightInd/>
              <w:snapToGrid/>
              <w:textAlignment w:val="auto"/>
              <w:rPr>
                <w:rFonts w:hint="eastAsia"/>
                <w:sz w:val="24"/>
                <w:szCs w:val="24"/>
                <w:lang w:val="en-US" w:eastAsia="zh-CN"/>
              </w:rPr>
            </w:pPr>
            <w:r>
              <w:rPr>
                <w:rFonts w:hint="eastAsia"/>
                <w:sz w:val="24"/>
                <w:szCs w:val="24"/>
                <w:lang w:val="en-US" w:eastAsia="zh-CN"/>
              </w:rPr>
              <w:t>炮制：取净药材，照各品种炮制项下的规定，加入液体辅料拌匀（清蒸除外），置适宜的容器内，加热蒸透或至规定的程度时，取出，干燥。将精选后的中药根据不同的药材，加入辅料蒸制。</w:t>
            </w:r>
          </w:p>
          <w:p w14:paraId="7E1EEAE5">
            <w:pPr>
              <w:keepNext w:val="0"/>
              <w:keepLines w:val="0"/>
              <w:pageBreakBefore w:val="0"/>
              <w:widowControl w:val="0"/>
              <w:kinsoku/>
              <w:wordWrap w:val="0"/>
              <w:overflowPunct/>
              <w:topLinePunct w:val="0"/>
              <w:autoSpaceDE/>
              <w:autoSpaceDN/>
              <w:bidi w:val="0"/>
              <w:adjustRightInd/>
              <w:snapToGrid/>
              <w:textAlignment w:val="auto"/>
              <w:rPr>
                <w:rFonts w:hint="eastAsia"/>
                <w:sz w:val="24"/>
                <w:szCs w:val="24"/>
                <w:lang w:val="en-US" w:eastAsia="zh-CN"/>
              </w:rPr>
            </w:pPr>
            <w:r>
              <w:rPr>
                <w:rFonts w:hint="eastAsia"/>
                <w:sz w:val="24"/>
                <w:szCs w:val="24"/>
                <w:lang w:val="en-US" w:eastAsia="zh-CN"/>
              </w:rPr>
              <w:t>成品检验：对炮制后的成品按照标准要求进行逐项检测。</w:t>
            </w:r>
          </w:p>
          <w:p w14:paraId="5A98854A">
            <w:pPr>
              <w:keepNext w:val="0"/>
              <w:keepLines w:val="0"/>
              <w:pageBreakBefore w:val="0"/>
              <w:widowControl w:val="0"/>
              <w:kinsoku/>
              <w:wordWrap w:val="0"/>
              <w:overflowPunct/>
              <w:topLinePunct w:val="0"/>
              <w:autoSpaceDE/>
              <w:autoSpaceDN/>
              <w:bidi w:val="0"/>
              <w:adjustRightInd/>
              <w:snapToGrid/>
              <w:textAlignment w:val="auto"/>
              <w:rPr>
                <w:rFonts w:hint="eastAsia"/>
                <w:sz w:val="24"/>
                <w:szCs w:val="24"/>
                <w:lang w:val="en-US" w:eastAsia="zh-CN"/>
              </w:rPr>
            </w:pPr>
            <w:r>
              <w:rPr>
                <w:rFonts w:hint="eastAsia"/>
                <w:sz w:val="24"/>
                <w:szCs w:val="24"/>
                <w:lang w:val="en-US" w:eastAsia="zh-CN"/>
              </w:rPr>
              <w:t>入库：将合格产品放入成品库，一定数量后转移至销售库。</w:t>
            </w:r>
          </w:p>
          <w:p w14:paraId="273CD52E">
            <w:pPr>
              <w:pStyle w:val="18"/>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eastAsia="宋体" w:cs="Times New Roman"/>
                <w:b/>
                <w:bCs/>
                <w:sz w:val="24"/>
                <w:szCs w:val="24"/>
                <w:highlight w:val="none"/>
              </w:rPr>
            </w:pPr>
            <w:r>
              <w:rPr>
                <w:rFonts w:hint="eastAsia" w:ascii="Times New Roman" w:hAnsi="Times New Roman" w:eastAsia="宋体" w:cs="Times New Roman"/>
                <w:b/>
                <w:bCs/>
                <w:sz w:val="24"/>
                <w:szCs w:val="24"/>
                <w:lang w:val="en-US" w:eastAsia="zh-CN"/>
              </w:rPr>
              <w:t>2.</w:t>
            </w:r>
            <w:r>
              <w:rPr>
                <w:rFonts w:hint="eastAsia" w:cs="Times New Roman"/>
                <w:b/>
                <w:bCs/>
                <w:sz w:val="24"/>
                <w:szCs w:val="24"/>
                <w:lang w:val="en-US" w:eastAsia="zh-CN"/>
              </w:rPr>
              <w:t>1</w:t>
            </w:r>
            <w:r>
              <w:rPr>
                <w:rFonts w:hint="eastAsia" w:ascii="Times New Roman" w:hAnsi="Times New Roman" w:eastAsia="宋体" w:cs="Times New Roman"/>
                <w:b/>
                <w:bCs/>
                <w:sz w:val="24"/>
                <w:szCs w:val="24"/>
                <w:lang w:val="en-US" w:eastAsia="zh-CN"/>
              </w:rPr>
              <w:t>.</w:t>
            </w:r>
            <w:r>
              <w:rPr>
                <w:rFonts w:hint="eastAsia" w:cs="Times New Roman"/>
                <w:b/>
                <w:bCs/>
                <w:sz w:val="24"/>
                <w:szCs w:val="24"/>
                <w:lang w:val="en-US" w:eastAsia="zh-CN"/>
              </w:rPr>
              <w:t>3</w:t>
            </w:r>
            <w:r>
              <w:rPr>
                <w:rFonts w:hint="eastAsia" w:ascii="Times New Roman" w:hAnsi="Times New Roman" w:eastAsia="宋体" w:cs="Times New Roman"/>
                <w:b/>
                <w:bCs/>
                <w:sz w:val="24"/>
                <w:szCs w:val="24"/>
                <w:highlight w:val="none"/>
              </w:rPr>
              <w:t>发酵生产工艺流程</w:t>
            </w:r>
          </w:p>
          <w:p w14:paraId="5172D894">
            <w:pPr>
              <w:rPr>
                <w:rFonts w:hint="eastAsia" w:ascii="Times New Roman" w:hAnsi="Times New Roman" w:eastAsia="宋体" w:cs="Times New Roman"/>
                <w:b/>
                <w:bCs/>
                <w:sz w:val="24"/>
                <w:szCs w:val="24"/>
                <w:highlight w:val="none"/>
              </w:rPr>
            </w:pPr>
          </w:p>
          <w:p w14:paraId="031A2B76">
            <w:pPr>
              <w:pStyle w:val="19"/>
              <w:rPr>
                <w:rFonts w:hint="eastAsia" w:ascii="Times New Roman" w:hAnsi="Times New Roman" w:eastAsia="宋体" w:cs="Times New Roman"/>
                <w:b/>
                <w:bCs/>
                <w:sz w:val="24"/>
                <w:szCs w:val="24"/>
                <w:highlight w:val="none"/>
              </w:rPr>
            </w:pPr>
          </w:p>
          <w:p w14:paraId="305076C4">
            <w:pPr>
              <w:rPr>
                <w:rFonts w:hint="eastAsia" w:ascii="Times New Roman" w:hAnsi="Times New Roman" w:eastAsia="宋体" w:cs="Times New Roman"/>
                <w:b/>
                <w:bCs/>
                <w:sz w:val="24"/>
                <w:szCs w:val="24"/>
                <w:highlight w:val="none"/>
              </w:rPr>
            </w:pPr>
          </w:p>
          <w:p w14:paraId="0AFFD59E">
            <w:pPr>
              <w:pStyle w:val="19"/>
              <w:rPr>
                <w:rFonts w:hint="eastAsia" w:ascii="Times New Roman" w:hAnsi="Times New Roman" w:eastAsia="宋体" w:cs="Times New Roman"/>
                <w:b/>
                <w:bCs/>
                <w:sz w:val="24"/>
                <w:szCs w:val="24"/>
                <w:highlight w:val="none"/>
              </w:rPr>
            </w:pPr>
          </w:p>
          <w:p w14:paraId="721DDA67">
            <w:pPr>
              <w:rPr>
                <w:rFonts w:hint="eastAsia" w:ascii="Times New Roman" w:hAnsi="Times New Roman" w:eastAsia="宋体" w:cs="Times New Roman"/>
                <w:b/>
                <w:bCs/>
                <w:sz w:val="24"/>
                <w:szCs w:val="24"/>
                <w:highlight w:val="none"/>
              </w:rPr>
            </w:pPr>
          </w:p>
          <w:p w14:paraId="65541DB8">
            <w:pPr>
              <w:pStyle w:val="19"/>
              <w:rPr>
                <w:rFonts w:hint="eastAsia" w:ascii="Times New Roman" w:hAnsi="Times New Roman" w:eastAsia="宋体" w:cs="Times New Roman"/>
                <w:b/>
                <w:bCs/>
                <w:sz w:val="24"/>
                <w:szCs w:val="24"/>
                <w:highlight w:val="none"/>
              </w:rPr>
            </w:pPr>
          </w:p>
          <w:p w14:paraId="760AE16F">
            <w:pPr>
              <w:rPr>
                <w:rFonts w:hint="eastAsia" w:ascii="Times New Roman" w:hAnsi="Times New Roman" w:eastAsia="宋体" w:cs="Times New Roman"/>
                <w:b/>
                <w:bCs/>
                <w:sz w:val="24"/>
                <w:szCs w:val="24"/>
                <w:highlight w:val="none"/>
              </w:rPr>
            </w:pPr>
          </w:p>
          <w:p w14:paraId="20B3881A">
            <w:pPr>
              <w:pStyle w:val="19"/>
              <w:rPr>
                <w:rFonts w:hint="eastAsia" w:ascii="Times New Roman" w:hAnsi="Times New Roman" w:eastAsia="宋体" w:cs="Times New Roman"/>
                <w:b/>
                <w:bCs/>
                <w:sz w:val="24"/>
                <w:szCs w:val="24"/>
                <w:highlight w:val="none"/>
              </w:rPr>
            </w:pPr>
          </w:p>
          <w:p w14:paraId="4F7AD706">
            <w:pPr>
              <w:rPr>
                <w:rFonts w:hint="eastAsia" w:ascii="Times New Roman" w:hAnsi="Times New Roman" w:eastAsia="宋体" w:cs="Times New Roman"/>
                <w:b/>
                <w:bCs/>
                <w:sz w:val="24"/>
                <w:szCs w:val="24"/>
                <w:highlight w:val="none"/>
              </w:rPr>
            </w:pPr>
          </w:p>
          <w:p w14:paraId="47913400">
            <w:pPr>
              <w:pStyle w:val="19"/>
              <w:rPr>
                <w:rFonts w:hint="eastAsia" w:ascii="Times New Roman" w:hAnsi="Times New Roman" w:eastAsia="宋体" w:cs="Times New Roman"/>
                <w:b/>
                <w:bCs/>
                <w:sz w:val="24"/>
                <w:szCs w:val="24"/>
                <w:highlight w:val="none"/>
              </w:rPr>
            </w:pPr>
          </w:p>
          <w:p w14:paraId="6A199F6F">
            <w:pPr>
              <w:rPr>
                <w:rFonts w:hint="eastAsia" w:ascii="Times New Roman" w:hAnsi="Times New Roman" w:eastAsia="宋体" w:cs="Times New Roman"/>
                <w:b/>
                <w:bCs/>
                <w:sz w:val="24"/>
                <w:szCs w:val="24"/>
                <w:highlight w:val="none"/>
              </w:rPr>
            </w:pPr>
          </w:p>
          <w:p w14:paraId="14B7E97A">
            <w:pPr>
              <w:pStyle w:val="19"/>
              <w:rPr>
                <w:rFonts w:hint="eastAsia"/>
              </w:rPr>
            </w:pPr>
          </w:p>
          <w:p w14:paraId="68FDF0C0">
            <w:pPr>
              <w:keepNext w:val="0"/>
              <w:keepLines w:val="0"/>
              <w:pageBreakBefore w:val="0"/>
              <w:widowControl w:val="0"/>
              <w:kinsoku/>
              <w:wordWrap w:val="0"/>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object>
                <v:shape id="_x0000_i1036" o:spt="75" type="#_x0000_t75" style="height:467.5pt;width:226pt;" o:ole="t" filled="f" o:preferrelative="t" stroked="f" coordsize="21600,21600">
                  <v:path/>
                  <v:fill on="f" focussize="0,0"/>
                  <v:stroke on="f"/>
                  <v:imagedata r:id="rId48" o:title=""/>
                  <o:lock v:ext="edit" aspectratio="f"/>
                  <w10:wrap type="none"/>
                  <w10:anchorlock/>
                </v:shape>
                <o:OLEObject Type="Embed" ProgID="Visio.Drawing.15" ShapeID="_x0000_i1036" DrawAspect="Content" ObjectID="_1468075736" r:id="rId47">
                  <o:LockedField>false</o:LockedField>
                </o:OLEObject>
              </w:object>
            </w:r>
          </w:p>
          <w:p w14:paraId="043E8F16">
            <w:pPr>
              <w:keepNext w:val="0"/>
              <w:keepLines w:val="0"/>
              <w:pageBreakBefore w:val="0"/>
              <w:widowControl w:val="0"/>
              <w:numPr>
                <w:ilvl w:val="0"/>
                <w:numId w:val="6"/>
              </w:numPr>
              <w:kinsoku/>
              <w:wordWrap w:val="0"/>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发酵类生产工艺流程</w:t>
            </w:r>
            <w:r>
              <w:rPr>
                <w:rFonts w:hint="default" w:ascii="Times New Roman" w:hAnsi="Times New Roman" w:eastAsia="宋体" w:cs="Times New Roman"/>
                <w:b/>
                <w:bCs/>
                <w:sz w:val="21"/>
                <w:szCs w:val="21"/>
                <w:highlight w:val="none"/>
                <w:lang w:val="en-US" w:eastAsia="zh-CN"/>
              </w:rPr>
              <w:t>中药饮片生产工艺</w:t>
            </w:r>
            <w:r>
              <w:rPr>
                <w:rFonts w:hint="eastAsia" w:ascii="Times New Roman" w:hAnsi="Times New Roman" w:eastAsia="宋体" w:cs="Times New Roman"/>
                <w:b/>
                <w:bCs/>
                <w:sz w:val="21"/>
                <w:szCs w:val="21"/>
                <w:highlight w:val="none"/>
                <w:lang w:val="en-US" w:eastAsia="zh-CN"/>
              </w:rPr>
              <w:t>流程</w:t>
            </w:r>
          </w:p>
          <w:p w14:paraId="57C463FA">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工艺流程简述：</w:t>
            </w:r>
          </w:p>
          <w:p w14:paraId="1BD4A322">
            <w:pPr>
              <w:rPr>
                <w:rFonts w:hint="eastAsia" w:ascii="Times New Roman" w:hAnsi="Times New Roman" w:eastAsia="宋体" w:cs="Times New Roman"/>
                <w:sz w:val="24"/>
                <w:szCs w:val="24"/>
                <w:lang w:val="en-US" w:eastAsia="zh-CN"/>
              </w:rPr>
            </w:pPr>
            <w:r>
              <w:rPr>
                <w:rFonts w:hint="eastAsia" w:cs="Times New Roman"/>
                <w:sz w:val="24"/>
                <w:szCs w:val="24"/>
                <w:lang w:val="en-US" w:eastAsia="zh-CN"/>
              </w:rPr>
              <w:t>净制：</w:t>
            </w:r>
            <w:r>
              <w:rPr>
                <w:rFonts w:hint="eastAsia" w:ascii="Times New Roman" w:hAnsi="Times New Roman" w:eastAsia="宋体" w:cs="Times New Roman"/>
                <w:sz w:val="24"/>
                <w:szCs w:val="24"/>
                <w:lang w:val="en-US" w:eastAsia="zh-CN"/>
              </w:rPr>
              <w:t>把外购的经前处理后的净药材倾置在中药材净制台上进行净制，除去灰屑等杂质，除去残留非药用部分，将净制好的以专用容器盛放，移至净制周转区，挂上状态标志。将精选后的中药用水清洗去除残留灰屑</w:t>
            </w:r>
            <w:r>
              <w:rPr>
                <w:rFonts w:hint="eastAsia" w:cs="Times New Roman"/>
                <w:sz w:val="24"/>
                <w:szCs w:val="24"/>
                <w:lang w:val="en-US" w:eastAsia="zh-CN"/>
              </w:rPr>
              <w:t>。</w:t>
            </w:r>
          </w:p>
          <w:p w14:paraId="34532B2E">
            <w:pPr>
              <w:rPr>
                <w:rFonts w:hint="eastAsia" w:ascii="Times New Roman" w:hAnsi="Times New Roman" w:eastAsia="宋体" w:cs="Times New Roman"/>
                <w:sz w:val="24"/>
                <w:szCs w:val="24"/>
                <w:lang w:val="en-US" w:eastAsia="zh-CN"/>
              </w:rPr>
            </w:pPr>
            <w:r>
              <w:rPr>
                <w:rFonts w:hint="eastAsia" w:cs="Times New Roman"/>
                <w:sz w:val="24"/>
                <w:szCs w:val="24"/>
                <w:lang w:val="en-US" w:eastAsia="zh-CN"/>
              </w:rPr>
              <w:t>粉碎：根据每种中药材的产品需求进行粉碎</w:t>
            </w:r>
            <w:r>
              <w:rPr>
                <w:rFonts w:hint="eastAsia" w:ascii="Times New Roman" w:hAnsi="Times New Roman" w:eastAsia="宋体" w:cs="Times New Roman"/>
                <w:sz w:val="24"/>
                <w:szCs w:val="24"/>
                <w:lang w:val="en-US" w:eastAsia="zh-CN"/>
              </w:rPr>
              <w:t>。</w:t>
            </w:r>
          </w:p>
          <w:p w14:paraId="418A2802">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发酵</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将蒸好的物料均匀的放在不锈钢盘中，每盘数量2-5kg，厚度2-4cm，分层放入恒温箱中，设定恒温箱箱温度为23℃，开始发酵。发酵过程中，每12小时记录一次恒温箱温度，记录温度同时观察发酵情况。发酵至黄衣上遍时（7-8天），取出。</w:t>
            </w:r>
          </w:p>
          <w:p w14:paraId="249501D1">
            <w:pPr>
              <w:rPr>
                <w:rFonts w:hint="eastAsia" w:ascii="Times New Roman" w:hAnsi="Times New Roman" w:eastAsia="宋体" w:cs="Times New Roman"/>
                <w:sz w:val="24"/>
                <w:szCs w:val="24"/>
                <w:lang w:val="en-US" w:eastAsia="zh-CN"/>
              </w:rPr>
            </w:pPr>
            <w:r>
              <w:rPr>
                <w:rFonts w:hint="eastAsia" w:cs="Times New Roman"/>
                <w:sz w:val="24"/>
                <w:szCs w:val="24"/>
                <w:lang w:val="en-US" w:eastAsia="zh-CN"/>
              </w:rPr>
              <w:t>浓缩、干燥：</w:t>
            </w:r>
            <w:r>
              <w:rPr>
                <w:rFonts w:hint="eastAsia" w:ascii="Times New Roman" w:hAnsi="Times New Roman" w:eastAsia="宋体" w:cs="Times New Roman"/>
                <w:sz w:val="24"/>
                <w:szCs w:val="24"/>
                <w:lang w:val="en-US" w:eastAsia="zh-CN"/>
              </w:rPr>
              <w:t>经双联过滤器过滤后送至三效浓缩器中进行浓缩、干燥。</w:t>
            </w:r>
          </w:p>
          <w:p w14:paraId="7105E3D2">
            <w:pPr>
              <w:rPr>
                <w:rFonts w:hint="eastAsia" w:ascii="Times New Roman" w:hAnsi="Times New Roman" w:eastAsia="宋体" w:cs="Times New Roman"/>
                <w:sz w:val="24"/>
                <w:szCs w:val="24"/>
                <w:lang w:val="en-US" w:eastAsia="zh-CN"/>
              </w:rPr>
            </w:pPr>
            <w:r>
              <w:rPr>
                <w:rFonts w:hint="eastAsia" w:cs="Times New Roman"/>
                <w:sz w:val="24"/>
                <w:szCs w:val="24"/>
                <w:lang w:val="en-US" w:eastAsia="zh-CN"/>
              </w:rPr>
              <w:t>混合、制粒：</w:t>
            </w:r>
            <w:r>
              <w:rPr>
                <w:rFonts w:hint="eastAsia" w:ascii="Times New Roman" w:hAnsi="Times New Roman" w:eastAsia="宋体" w:cs="Times New Roman"/>
                <w:sz w:val="24"/>
                <w:szCs w:val="24"/>
                <w:lang w:val="en-US" w:eastAsia="zh-CN"/>
              </w:rPr>
              <w:t>原辅料及配好的浆液一部分在混合制粒机内制得湿颗粒，部分经沸腾制粒机制得干颗粒</w:t>
            </w:r>
            <w:r>
              <w:rPr>
                <w:rFonts w:hint="eastAsia" w:cs="Times New Roman"/>
                <w:sz w:val="24"/>
                <w:szCs w:val="24"/>
                <w:lang w:val="en-US" w:eastAsia="zh-CN"/>
              </w:rPr>
              <w:t>。</w:t>
            </w:r>
          </w:p>
          <w:p w14:paraId="21635FBA">
            <w:pPr>
              <w:rPr>
                <w:rFonts w:hint="eastAsia"/>
                <w:sz w:val="24"/>
                <w:szCs w:val="24"/>
                <w:lang w:val="en-US" w:eastAsia="zh-CN"/>
              </w:rPr>
            </w:pPr>
            <w:r>
              <w:rPr>
                <w:rFonts w:hint="eastAsia" w:ascii="Times New Roman" w:hAnsi="Times New Roman" w:eastAsia="宋体" w:cs="Times New Roman"/>
                <w:sz w:val="24"/>
                <w:szCs w:val="24"/>
                <w:lang w:val="en-US" w:eastAsia="zh-CN"/>
              </w:rPr>
              <w:t>成品检验</w:t>
            </w:r>
            <w:r>
              <w:rPr>
                <w:rFonts w:hint="eastAsia" w:cs="Times New Roman"/>
                <w:sz w:val="24"/>
                <w:szCs w:val="24"/>
                <w:lang w:val="en-US" w:eastAsia="zh-CN"/>
              </w:rPr>
              <w:t>：</w:t>
            </w:r>
            <w:r>
              <w:rPr>
                <w:rFonts w:hint="eastAsia"/>
                <w:sz w:val="24"/>
                <w:szCs w:val="24"/>
                <w:lang w:val="en-US" w:eastAsia="zh-CN"/>
              </w:rPr>
              <w:t>对成品按照标准要求进行逐项检测。</w:t>
            </w:r>
          </w:p>
          <w:p w14:paraId="62062184">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包装</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根据品种的差别，进行包装。</w:t>
            </w:r>
          </w:p>
          <w:p w14:paraId="6218F98F">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入库</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将合格产品放入成品库，一定数量后转移至</w:t>
            </w:r>
            <w:r>
              <w:rPr>
                <w:rFonts w:hint="eastAsia" w:cs="Times New Roman"/>
                <w:sz w:val="24"/>
                <w:szCs w:val="24"/>
                <w:lang w:val="en-US" w:eastAsia="zh-CN"/>
              </w:rPr>
              <w:t>成品</w:t>
            </w:r>
            <w:r>
              <w:rPr>
                <w:rFonts w:hint="eastAsia" w:ascii="Times New Roman" w:hAnsi="Times New Roman" w:eastAsia="宋体" w:cs="Times New Roman"/>
                <w:sz w:val="24"/>
                <w:szCs w:val="24"/>
                <w:lang w:val="en-US" w:eastAsia="zh-CN"/>
              </w:rPr>
              <w:t>库。</w:t>
            </w:r>
          </w:p>
          <w:p w14:paraId="51872C7E">
            <w:pPr>
              <w:pStyle w:val="18"/>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w:t>
            </w:r>
            <w:r>
              <w:rPr>
                <w:rFonts w:hint="eastAsia" w:cs="Times New Roman"/>
                <w:b/>
                <w:bCs/>
                <w:sz w:val="24"/>
                <w:szCs w:val="24"/>
                <w:lang w:val="en-US" w:eastAsia="zh-CN"/>
              </w:rPr>
              <w:t>1</w:t>
            </w:r>
            <w:r>
              <w:rPr>
                <w:rFonts w:hint="eastAsia" w:ascii="Times New Roman" w:hAnsi="Times New Roman" w:eastAsia="宋体" w:cs="Times New Roman"/>
                <w:b/>
                <w:bCs/>
                <w:sz w:val="24"/>
                <w:szCs w:val="24"/>
                <w:lang w:val="en-US" w:eastAsia="zh-CN"/>
              </w:rPr>
              <w:t>.</w:t>
            </w:r>
            <w:r>
              <w:rPr>
                <w:rFonts w:hint="eastAsia" w:cs="Times New Roman"/>
                <w:b/>
                <w:bCs/>
                <w:sz w:val="24"/>
                <w:szCs w:val="24"/>
                <w:lang w:val="en-US" w:eastAsia="zh-CN"/>
              </w:rPr>
              <w:t>4</w:t>
            </w:r>
            <w:r>
              <w:rPr>
                <w:rFonts w:hint="eastAsia" w:ascii="Times New Roman" w:hAnsi="Times New Roman" w:eastAsia="宋体" w:cs="Times New Roman"/>
                <w:b/>
                <w:bCs/>
                <w:sz w:val="24"/>
                <w:szCs w:val="24"/>
                <w:lang w:val="en-US" w:eastAsia="zh-CN"/>
              </w:rPr>
              <w:t>提取生产工艺流程</w:t>
            </w:r>
          </w:p>
          <w:p w14:paraId="10DAC770">
            <w:pPr>
              <w:pStyle w:val="9"/>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项目净药材提取工艺为水提，采用二煎工艺，不使用醇提工艺，水提后进行过滤、浓缩，得到的浸膏送颗粒剂生产车间制粒或送仓库暂存。</w:t>
            </w:r>
          </w:p>
          <w:p w14:paraId="63B57B24">
            <w:pPr>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object>
                <v:shape id="_x0000_i1037" o:spt="75" type="#_x0000_t75" style="height:408pt;width:389pt;" o:ole="t" filled="f" o:preferrelative="t" stroked="f" coordsize="21600,21600">
                  <v:path/>
                  <v:fill on="f" focussize="0,0"/>
                  <v:stroke on="f"/>
                  <v:imagedata r:id="rId50" o:title=""/>
                  <o:lock v:ext="edit" aspectratio="f"/>
                  <w10:wrap type="none"/>
                  <w10:anchorlock/>
                </v:shape>
                <o:OLEObject Type="Embed" ProgID="Visio.Drawing.15" ShapeID="_x0000_i1037" DrawAspect="Content" ObjectID="_1468075737" r:id="rId49">
                  <o:LockedField>false</o:LockedField>
                </o:OLEObject>
              </w:object>
            </w:r>
          </w:p>
          <w:p w14:paraId="27B7EEA3">
            <w:pPr>
              <w:keepNext w:val="0"/>
              <w:keepLines w:val="0"/>
              <w:pageBreakBefore w:val="0"/>
              <w:widowControl w:val="0"/>
              <w:numPr>
                <w:ilvl w:val="0"/>
                <w:numId w:val="6"/>
              </w:numPr>
              <w:kinsoku/>
              <w:wordWrap w:val="0"/>
              <w:overflowPunct/>
              <w:topLinePunct w:val="0"/>
              <w:autoSpaceDE/>
              <w:autoSpaceDN/>
              <w:bidi w:val="0"/>
              <w:adjustRightInd/>
              <w:snapToGrid/>
              <w:ind w:left="425" w:leftChars="0" w:hanging="425"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 xml:space="preserve"> 中药饮片</w:t>
            </w:r>
            <w:r>
              <w:rPr>
                <w:rFonts w:hint="eastAsia" w:ascii="Times New Roman" w:hAnsi="Times New Roman" w:eastAsia="宋体" w:cs="Times New Roman"/>
                <w:b/>
                <w:bCs/>
                <w:sz w:val="21"/>
                <w:szCs w:val="21"/>
                <w:highlight w:val="none"/>
                <w:lang w:val="en-US" w:eastAsia="zh-CN"/>
              </w:rPr>
              <w:t>提取工序</w:t>
            </w:r>
            <w:r>
              <w:rPr>
                <w:rFonts w:hint="default" w:ascii="Times New Roman" w:hAnsi="Times New Roman" w:eastAsia="宋体" w:cs="Times New Roman"/>
                <w:b/>
                <w:bCs/>
                <w:sz w:val="21"/>
                <w:szCs w:val="21"/>
                <w:highlight w:val="none"/>
                <w:lang w:val="en-US" w:eastAsia="zh-CN"/>
              </w:rPr>
              <w:t>生产工艺</w:t>
            </w:r>
            <w:r>
              <w:rPr>
                <w:rFonts w:hint="eastAsia" w:ascii="Times New Roman" w:hAnsi="Times New Roman" w:eastAsia="宋体" w:cs="Times New Roman"/>
                <w:b/>
                <w:bCs/>
                <w:sz w:val="21"/>
                <w:szCs w:val="21"/>
                <w:highlight w:val="none"/>
                <w:lang w:val="en-US" w:eastAsia="zh-CN"/>
              </w:rPr>
              <w:t>流程</w:t>
            </w:r>
          </w:p>
          <w:p w14:paraId="4351875C">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工艺流程简述：</w:t>
            </w:r>
          </w:p>
          <w:p w14:paraId="73D2F39D">
            <w:pPr>
              <w:rPr>
                <w:rFonts w:hint="eastAsia" w:ascii="Times New Roman" w:hAnsi="Times New Roman" w:eastAsia="宋体" w:cs="Times New Roman"/>
                <w:sz w:val="24"/>
                <w:szCs w:val="24"/>
                <w:lang w:val="en-US" w:eastAsia="zh-CN"/>
              </w:rPr>
            </w:pPr>
            <w:r>
              <w:rPr>
                <w:rFonts w:hint="eastAsia" w:cs="Times New Roman"/>
                <w:sz w:val="24"/>
                <w:szCs w:val="24"/>
                <w:lang w:val="en-US" w:eastAsia="zh-CN"/>
              </w:rPr>
              <w:t>煎煮、提取：</w:t>
            </w:r>
            <w:r>
              <w:rPr>
                <w:rFonts w:hint="eastAsia" w:ascii="Times New Roman" w:hAnsi="Times New Roman" w:eastAsia="宋体" w:cs="Times New Roman"/>
                <w:sz w:val="24"/>
                <w:szCs w:val="24"/>
                <w:lang w:val="en-US" w:eastAsia="zh-CN"/>
              </w:rPr>
              <w:t>将中药饮片加入到多功能提取罐中，加入适量的水，然后开蒸汽夹套加温，加至工艺所需温度（100℃），煎煮2h，煎煮产生的水蒸汽经冷凝回流至提取罐内，煎煮过后的药液经罐双联过滤器过滤后，提取液经真空抽送至不锈钢储罐中暂存；同时再在药渣中加入适量的水进行第二次高温煎煮1h后过滤，提取液存至同一个不锈钢储罐中，合并两次提取液，经双联过滤器过滤后送至三效浓缩器中进行浓缩，浓缩液即为清膏，是水及中药饮片溶解出的有效植物成分。清膏暂存待用于产品生产。</w:t>
            </w:r>
          </w:p>
          <w:p w14:paraId="283F4D07">
            <w:pPr>
              <w:keepNext w:val="0"/>
              <w:keepLines w:val="0"/>
              <w:pageBreakBefore w:val="0"/>
              <w:widowControl w:val="0"/>
              <w:kinsoku/>
              <w:wordWrap w:val="0"/>
              <w:overflowPunct/>
              <w:topLinePunct w:val="0"/>
              <w:autoSpaceDE/>
              <w:autoSpaceDN/>
              <w:bidi w:val="0"/>
              <w:adjustRightInd/>
              <w:snapToGrid/>
              <w:textAlignment w:val="auto"/>
              <w:rPr>
                <w:rFonts w:hint="eastAsia"/>
                <w:sz w:val="24"/>
                <w:szCs w:val="24"/>
                <w:lang w:val="en-US" w:eastAsia="zh-CN"/>
              </w:rPr>
            </w:pPr>
            <w:r>
              <w:rPr>
                <w:rFonts w:hint="eastAsia"/>
                <w:sz w:val="24"/>
                <w:szCs w:val="24"/>
                <w:lang w:val="en-US" w:eastAsia="zh-CN"/>
              </w:rPr>
              <w:t>喷雾干燥：项目浓缩后的浸膏需要进行后续干燥，干燥方式为喷雾干燥，喷雾干燥干粉回收率≥99%，干燥介质空气经过初、中效空气过滤器过滤后根据操作指令由鼓风机吸取再经加热器加热通过高效过滤器的热风分配器进入喷雾干燥主塔。液体物料根据操作指令经过泵机，进入高速旋转的离心喷头，在离心力作用下被分散成小雾滴。在喷雾干燥主塔内，小雾滴与热风（140℃）在充分接触，沿其特定路径进行热交换后被干燥成为产品，参数控制：进风温度175℃～185℃，出风温度85℃～110℃，莫诺泵调压90V～130V，然后通过旋风分离器实现分离，固体物料被收集，转入下一步工序，气体介质再经过过滤后被排出。</w:t>
            </w:r>
          </w:p>
          <w:p w14:paraId="7AB10323">
            <w:pPr>
              <w:rPr>
                <w:rFonts w:hint="eastAsia"/>
                <w:sz w:val="24"/>
                <w:szCs w:val="24"/>
                <w:lang w:val="en-US" w:eastAsia="zh-CN"/>
              </w:rPr>
            </w:pPr>
            <w:r>
              <w:rPr>
                <w:rFonts w:hint="eastAsia"/>
                <w:sz w:val="24"/>
                <w:szCs w:val="24"/>
                <w:lang w:val="en-US" w:eastAsia="zh-CN"/>
              </w:rPr>
              <w:t>提取物后续处理：提取后的浸膏/干膏粉按产品规格包装后，外售。</w:t>
            </w:r>
          </w:p>
          <w:p w14:paraId="2A3810BD">
            <w:pPr>
              <w:pStyle w:val="18"/>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w:t>
            </w:r>
            <w:r>
              <w:rPr>
                <w:rFonts w:hint="eastAsia" w:cs="Times New Roman"/>
                <w:b/>
                <w:bCs/>
                <w:sz w:val="24"/>
                <w:szCs w:val="24"/>
                <w:lang w:val="en-US" w:eastAsia="zh-CN"/>
              </w:rPr>
              <w:t>1</w:t>
            </w:r>
            <w:r>
              <w:rPr>
                <w:rFonts w:hint="eastAsia" w:ascii="Times New Roman" w:hAnsi="Times New Roman" w:eastAsia="宋体" w:cs="Times New Roman"/>
                <w:b/>
                <w:bCs/>
                <w:sz w:val="24"/>
                <w:szCs w:val="24"/>
                <w:lang w:val="en-US" w:eastAsia="zh-CN"/>
              </w:rPr>
              <w:t>.</w:t>
            </w:r>
            <w:r>
              <w:rPr>
                <w:rFonts w:hint="eastAsia" w:cs="Times New Roman"/>
                <w:b/>
                <w:bCs/>
                <w:sz w:val="24"/>
                <w:szCs w:val="24"/>
                <w:lang w:val="en-US" w:eastAsia="zh-CN"/>
              </w:rPr>
              <w:t>5</w:t>
            </w:r>
            <w:r>
              <w:rPr>
                <w:rFonts w:hint="eastAsia" w:ascii="Times New Roman" w:hAnsi="Times New Roman" w:eastAsia="宋体" w:cs="Times New Roman"/>
                <w:b/>
                <w:bCs/>
                <w:sz w:val="24"/>
                <w:szCs w:val="24"/>
                <w:lang w:val="en-US" w:eastAsia="zh-CN"/>
              </w:rPr>
              <w:t>丸剂类生产工艺流程</w:t>
            </w:r>
          </w:p>
          <w:p w14:paraId="3A7A0006">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工艺流程简述：</w:t>
            </w:r>
          </w:p>
          <w:p w14:paraId="389E54DC">
            <w:pPr>
              <w:keepNext w:val="0"/>
              <w:keepLines w:val="0"/>
              <w:pageBreakBefore w:val="0"/>
              <w:widowControl w:val="0"/>
              <w:kinsoku/>
              <w:wordWrap w:val="0"/>
              <w:overflowPunct/>
              <w:topLinePunct w:val="0"/>
              <w:autoSpaceDE/>
              <w:autoSpaceDN/>
              <w:bidi w:val="0"/>
              <w:adjustRightInd/>
              <w:snapToGrid/>
              <w:textAlignment w:val="auto"/>
              <w:rPr>
                <w:rFonts w:hint="default"/>
                <w:sz w:val="24"/>
                <w:szCs w:val="24"/>
                <w:lang w:val="en-US" w:eastAsia="zh-CN"/>
              </w:rPr>
            </w:pPr>
            <w:r>
              <w:rPr>
                <w:rFonts w:hint="eastAsia"/>
                <w:sz w:val="24"/>
                <w:szCs w:val="24"/>
                <w:lang w:val="en-US" w:eastAsia="zh-CN"/>
              </w:rPr>
              <w:t>原辅料混合：</w:t>
            </w:r>
            <w:r>
              <w:rPr>
                <w:rFonts w:hint="default"/>
                <w:sz w:val="24"/>
                <w:szCs w:val="24"/>
                <w:lang w:val="en-US" w:eastAsia="zh-CN"/>
              </w:rPr>
              <w:t>使用饮片车间生产的不同粉状药材进行混合，加入煮沸的蜂蜜，拌料和药。</w:t>
            </w:r>
          </w:p>
          <w:p w14:paraId="103E9E0E">
            <w:pPr>
              <w:keepNext w:val="0"/>
              <w:keepLines w:val="0"/>
              <w:pageBreakBefore w:val="0"/>
              <w:widowControl w:val="0"/>
              <w:kinsoku/>
              <w:wordWrap w:val="0"/>
              <w:overflowPunct/>
              <w:topLinePunct w:val="0"/>
              <w:autoSpaceDE/>
              <w:autoSpaceDN/>
              <w:bidi w:val="0"/>
              <w:adjustRightInd/>
              <w:snapToGrid/>
              <w:textAlignment w:val="auto"/>
              <w:rPr>
                <w:rFonts w:hint="default"/>
                <w:sz w:val="24"/>
                <w:szCs w:val="24"/>
                <w:lang w:val="en-US" w:eastAsia="zh-CN"/>
              </w:rPr>
            </w:pPr>
            <w:r>
              <w:rPr>
                <w:rFonts w:hint="default"/>
                <w:sz w:val="24"/>
                <w:szCs w:val="24"/>
                <w:lang w:val="en-US" w:eastAsia="zh-CN"/>
              </w:rPr>
              <w:t>制丸</w:t>
            </w:r>
            <w:r>
              <w:rPr>
                <w:rFonts w:hint="eastAsia"/>
                <w:sz w:val="24"/>
                <w:szCs w:val="24"/>
                <w:lang w:val="en-US" w:eastAsia="zh-CN"/>
              </w:rPr>
              <w:t>：</w:t>
            </w:r>
            <w:r>
              <w:rPr>
                <w:rFonts w:hint="default"/>
                <w:sz w:val="24"/>
                <w:szCs w:val="24"/>
                <w:lang w:val="en-US" w:eastAsia="zh-CN"/>
              </w:rPr>
              <w:t>取混合均匀的药物细粉，加入适量胶黏剂，充分混匀，制成湿度适宜、软硬适度的可塑性软材。</w:t>
            </w:r>
          </w:p>
          <w:p w14:paraId="56AF02CB">
            <w:pPr>
              <w:keepNext w:val="0"/>
              <w:keepLines w:val="0"/>
              <w:pageBreakBefore w:val="0"/>
              <w:widowControl w:val="0"/>
              <w:kinsoku/>
              <w:wordWrap w:val="0"/>
              <w:overflowPunct/>
              <w:topLinePunct w:val="0"/>
              <w:autoSpaceDE/>
              <w:autoSpaceDN/>
              <w:bidi w:val="0"/>
              <w:adjustRightInd/>
              <w:snapToGrid/>
              <w:textAlignment w:val="auto"/>
              <w:rPr>
                <w:rFonts w:hint="default"/>
                <w:sz w:val="24"/>
                <w:szCs w:val="24"/>
                <w:lang w:val="en-US" w:eastAsia="zh-CN"/>
              </w:rPr>
            </w:pPr>
            <w:r>
              <w:rPr>
                <w:rFonts w:hint="eastAsia"/>
                <w:sz w:val="24"/>
                <w:szCs w:val="24"/>
                <w:lang w:val="en-US" w:eastAsia="zh-CN"/>
              </w:rPr>
              <w:t>晾</w:t>
            </w:r>
            <w:r>
              <w:rPr>
                <w:rFonts w:hint="default"/>
                <w:sz w:val="24"/>
                <w:szCs w:val="24"/>
                <w:lang w:val="en-US" w:eastAsia="zh-CN"/>
              </w:rPr>
              <w:t>丸</w:t>
            </w:r>
            <w:r>
              <w:rPr>
                <w:rFonts w:hint="eastAsia"/>
                <w:sz w:val="24"/>
                <w:szCs w:val="24"/>
                <w:lang w:val="en-US" w:eastAsia="zh-CN"/>
              </w:rPr>
              <w:t>：</w:t>
            </w:r>
            <w:r>
              <w:rPr>
                <w:rFonts w:hint="default"/>
                <w:sz w:val="24"/>
                <w:szCs w:val="24"/>
                <w:lang w:val="en-US" w:eastAsia="zh-CN"/>
              </w:rPr>
              <w:t>丸块制好后，应放置一段时间，使蜜等胶黏剂充分润湿药粉。</w:t>
            </w:r>
          </w:p>
          <w:p w14:paraId="5F8A6BA1">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包装</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根据品种的差别，进行包装。</w:t>
            </w:r>
          </w:p>
          <w:p w14:paraId="4D250ADD">
            <w:pP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入库</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将合格产品放入成品库，一定数量后转移至</w:t>
            </w:r>
            <w:r>
              <w:rPr>
                <w:rFonts w:hint="eastAsia" w:cs="Times New Roman"/>
                <w:sz w:val="24"/>
                <w:szCs w:val="24"/>
                <w:lang w:val="en-US" w:eastAsia="zh-CN"/>
              </w:rPr>
              <w:t>成品</w:t>
            </w:r>
            <w:r>
              <w:rPr>
                <w:rFonts w:hint="eastAsia" w:ascii="Times New Roman" w:hAnsi="Times New Roman" w:eastAsia="宋体" w:cs="Times New Roman"/>
                <w:sz w:val="24"/>
                <w:szCs w:val="24"/>
                <w:lang w:val="en-US" w:eastAsia="zh-CN"/>
              </w:rPr>
              <w:t>库。</w:t>
            </w:r>
          </w:p>
          <w:p w14:paraId="4A1FF8FB">
            <w:pPr>
              <w:pStyle w:val="9"/>
              <w:rPr>
                <w:rFonts w:hint="default" w:ascii="Times New Roman" w:hAnsi="Times New Roman" w:eastAsia="宋体" w:cs="Times New Roman"/>
                <w:b/>
                <w:bCs/>
                <w:i w:val="0"/>
                <w:iCs w:val="0"/>
                <w:color w:val="000000"/>
                <w:kern w:val="0"/>
                <w:sz w:val="21"/>
                <w:szCs w:val="21"/>
                <w:u w:val="none"/>
                <w:lang w:val="en-US" w:eastAsia="zh-CN" w:bidi="ar"/>
              </w:rPr>
            </w:pPr>
          </w:p>
          <w:p w14:paraId="2E2B94E4">
            <w:pPr>
              <w:rPr>
                <w:rFonts w:hint="default" w:ascii="Times New Roman" w:hAnsi="Times New Roman" w:eastAsia="宋体" w:cs="Times New Roman"/>
                <w:b/>
                <w:bCs/>
                <w:i w:val="0"/>
                <w:iCs w:val="0"/>
                <w:color w:val="000000"/>
                <w:kern w:val="0"/>
                <w:sz w:val="21"/>
                <w:szCs w:val="21"/>
                <w:u w:val="none"/>
                <w:lang w:val="en-US" w:eastAsia="zh-CN" w:bidi="ar"/>
              </w:rPr>
            </w:pPr>
          </w:p>
          <w:p w14:paraId="70EDFEBC">
            <w:pPr>
              <w:pStyle w:val="19"/>
              <w:rPr>
                <w:rFonts w:hint="default" w:ascii="Times New Roman" w:hAnsi="Times New Roman" w:eastAsia="宋体" w:cs="Times New Roman"/>
                <w:b/>
                <w:bCs/>
                <w:i w:val="0"/>
                <w:iCs w:val="0"/>
                <w:color w:val="000000"/>
                <w:kern w:val="0"/>
                <w:sz w:val="21"/>
                <w:szCs w:val="21"/>
                <w:u w:val="none"/>
                <w:lang w:val="en-US" w:eastAsia="zh-CN" w:bidi="ar"/>
              </w:rPr>
            </w:pPr>
          </w:p>
          <w:p w14:paraId="183BD64F">
            <w:pPr>
              <w:rPr>
                <w:rFonts w:hint="default"/>
                <w:lang w:val="en-US" w:eastAsia="zh-CN"/>
              </w:rPr>
            </w:pPr>
          </w:p>
          <w:p w14:paraId="150CE296">
            <w:pPr>
              <w:keepNext w:val="0"/>
              <w:keepLines w:val="0"/>
              <w:pageBreakBefore w:val="0"/>
              <w:widowControl w:val="0"/>
              <w:kinsoku/>
              <w:wordWrap w:val="0"/>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object>
                <v:shape id="_x0000_i1038" o:spt="75" type="#_x0000_t75" style="height:276.5pt;width:219pt;" o:ole="t" filled="f" o:preferrelative="t" stroked="f" coordsize="21600,21600">
                  <v:path/>
                  <v:fill on="f" focussize="0,0"/>
                  <v:stroke on="f"/>
                  <v:imagedata r:id="rId52" o:title=""/>
                  <o:lock v:ext="edit" aspectratio="f"/>
                  <w10:wrap type="none"/>
                  <w10:anchorlock/>
                </v:shape>
                <o:OLEObject Type="Embed" ProgID="Visio.Drawing.15" ShapeID="_x0000_i1038" DrawAspect="Content" ObjectID="_1468075738" r:id="rId51">
                  <o:LockedField>false</o:LockedField>
                </o:OLEObject>
              </w:object>
            </w:r>
          </w:p>
          <w:p w14:paraId="0296AB14">
            <w:pPr>
              <w:keepNext w:val="0"/>
              <w:keepLines w:val="0"/>
              <w:pageBreakBefore w:val="0"/>
              <w:widowControl w:val="0"/>
              <w:numPr>
                <w:ilvl w:val="0"/>
                <w:numId w:val="6"/>
              </w:numPr>
              <w:kinsoku/>
              <w:wordWrap w:val="0"/>
              <w:overflowPunct/>
              <w:topLinePunct w:val="0"/>
              <w:autoSpaceDE/>
              <w:autoSpaceDN/>
              <w:bidi w:val="0"/>
              <w:adjustRightInd/>
              <w:snapToGrid/>
              <w:ind w:left="425" w:leftChars="0" w:hanging="425" w:firstLineChars="0"/>
              <w:jc w:val="center"/>
              <w:textAlignment w:val="auto"/>
              <w:rPr>
                <w:rFonts w:hint="eastAsia"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丸剂类</w:t>
            </w:r>
            <w:r>
              <w:rPr>
                <w:rFonts w:hint="default" w:ascii="Times New Roman" w:hAnsi="Times New Roman" w:eastAsia="宋体" w:cs="Times New Roman"/>
                <w:b/>
                <w:bCs/>
                <w:sz w:val="21"/>
                <w:szCs w:val="21"/>
                <w:highlight w:val="none"/>
                <w:lang w:val="en-US" w:eastAsia="zh-CN"/>
              </w:rPr>
              <w:t>生产工艺</w:t>
            </w:r>
            <w:r>
              <w:rPr>
                <w:rFonts w:hint="eastAsia" w:ascii="Times New Roman" w:hAnsi="Times New Roman" w:eastAsia="宋体" w:cs="Times New Roman"/>
                <w:b/>
                <w:bCs/>
                <w:sz w:val="21"/>
                <w:szCs w:val="21"/>
                <w:highlight w:val="none"/>
                <w:lang w:val="en-US" w:eastAsia="zh-CN"/>
              </w:rPr>
              <w:t>流程</w:t>
            </w:r>
          </w:p>
          <w:p w14:paraId="65E8F3AA">
            <w:pPr>
              <w:pStyle w:val="9"/>
              <w:ind w:left="0" w:leftChars="0" w:firstLine="0" w:firstLineChars="0"/>
              <w:rPr>
                <w:rFonts w:hint="eastAsia" w:eastAsia="宋体" w:cs="Times New Roman"/>
                <w:b/>
                <w:sz w:val="24"/>
                <w:szCs w:val="24"/>
                <w:lang w:val="en-US" w:eastAsia="zh-CN"/>
              </w:rPr>
            </w:pPr>
            <w:r>
              <w:rPr>
                <w:rFonts w:hint="eastAsia" w:ascii="Times New Roman" w:hAnsi="Times New Roman" w:eastAsia="宋体" w:cs="Times New Roman"/>
                <w:b/>
                <w:bCs/>
                <w:sz w:val="24"/>
                <w:szCs w:val="24"/>
                <w:lang w:val="en-US" w:eastAsia="zh-CN"/>
              </w:rPr>
              <w:t>2.</w:t>
            </w:r>
            <w:r>
              <w:rPr>
                <w:rFonts w:hint="eastAsia" w:cs="Times New Roman"/>
                <w:b/>
                <w:bCs/>
                <w:sz w:val="24"/>
                <w:szCs w:val="24"/>
                <w:lang w:val="en-US" w:eastAsia="zh-CN"/>
              </w:rPr>
              <w:t>1</w:t>
            </w:r>
            <w:r>
              <w:rPr>
                <w:rFonts w:hint="eastAsia" w:ascii="Times New Roman" w:hAnsi="Times New Roman" w:eastAsia="宋体" w:cs="Times New Roman"/>
                <w:b/>
                <w:bCs/>
                <w:sz w:val="24"/>
                <w:szCs w:val="24"/>
                <w:lang w:val="en-US" w:eastAsia="zh-CN"/>
              </w:rPr>
              <w:t>.</w:t>
            </w:r>
            <w:r>
              <w:rPr>
                <w:rFonts w:hint="eastAsia" w:cs="Times New Roman"/>
                <w:b/>
                <w:bCs/>
                <w:sz w:val="24"/>
                <w:szCs w:val="24"/>
                <w:lang w:val="en-US" w:eastAsia="zh-CN"/>
              </w:rPr>
              <w:t>6</w:t>
            </w:r>
            <w:r>
              <w:rPr>
                <w:rFonts w:hint="default" w:ascii="Times New Roman" w:hAnsi="Times New Roman" w:eastAsia="宋体" w:cs="Times New Roman"/>
                <w:b/>
                <w:bCs/>
                <w:i w:val="0"/>
                <w:iCs w:val="0"/>
                <w:color w:val="000000"/>
                <w:kern w:val="0"/>
                <w:sz w:val="24"/>
                <w:szCs w:val="24"/>
                <w:u w:val="none"/>
                <w:lang w:val="en-US" w:eastAsia="zh-CN" w:bidi="ar"/>
              </w:rPr>
              <w:t>口服饮片车间</w:t>
            </w:r>
          </w:p>
          <w:p w14:paraId="5AF4E628">
            <w:pPr>
              <w:rPr>
                <w:rFonts w:hint="eastAsia"/>
                <w:lang w:val="en-US" w:eastAsia="zh-CN"/>
              </w:rPr>
            </w:pPr>
            <w:r>
              <w:rPr>
                <w:rFonts w:hint="eastAsia"/>
                <w:lang w:val="en-US" w:eastAsia="zh-CN"/>
              </w:rPr>
              <w:t>口服中药饮片前处理过程与普通中药饮片相同，口服中药饮片干燥灭菌后，粉碎、过筛、包装工序均在D级洁净区内完成，该段工序主要大气污染物为粉尘，洁净区的生产均在密闭的环境中生产，产生的粉尘均被空调系统的的过滤器进行过滤，对环境污染较小。本项目灭菌时间为0.3-4小时，温度不超过80℃。</w:t>
            </w:r>
          </w:p>
          <w:p w14:paraId="4911527E">
            <w:pPr>
              <w:pStyle w:val="19"/>
              <w:rPr>
                <w:rFonts w:hint="eastAsia"/>
                <w:lang w:val="en-US" w:eastAsia="zh-CN"/>
              </w:rPr>
            </w:pPr>
          </w:p>
          <w:p w14:paraId="3DBBBF58">
            <w:pPr>
              <w:rPr>
                <w:rFonts w:hint="eastAsia"/>
                <w:lang w:val="en-US" w:eastAsia="zh-CN"/>
              </w:rPr>
            </w:pPr>
          </w:p>
          <w:p w14:paraId="2C95B5AC">
            <w:pPr>
              <w:pStyle w:val="19"/>
              <w:rPr>
                <w:rFonts w:hint="eastAsia"/>
                <w:lang w:val="en-US" w:eastAsia="zh-CN"/>
              </w:rPr>
            </w:pPr>
          </w:p>
          <w:p w14:paraId="06471553">
            <w:pPr>
              <w:rPr>
                <w:rFonts w:hint="eastAsia"/>
                <w:lang w:val="en-US" w:eastAsia="zh-CN"/>
              </w:rPr>
            </w:pPr>
          </w:p>
          <w:p w14:paraId="39EC57DF">
            <w:pPr>
              <w:pStyle w:val="19"/>
              <w:rPr>
                <w:rFonts w:hint="eastAsia"/>
                <w:lang w:val="en-US" w:eastAsia="zh-CN"/>
              </w:rPr>
            </w:pPr>
          </w:p>
          <w:p w14:paraId="5A4A1090">
            <w:pPr>
              <w:rPr>
                <w:rFonts w:hint="eastAsia"/>
                <w:lang w:val="en-US" w:eastAsia="zh-CN"/>
              </w:rPr>
            </w:pPr>
          </w:p>
          <w:p w14:paraId="177D7D5C">
            <w:pPr>
              <w:pStyle w:val="19"/>
              <w:rPr>
                <w:rFonts w:hint="eastAsia"/>
                <w:lang w:val="en-US" w:eastAsia="zh-CN"/>
              </w:rPr>
            </w:pPr>
          </w:p>
          <w:p w14:paraId="1E21862C">
            <w:pPr>
              <w:rPr>
                <w:rFonts w:hint="eastAsia"/>
                <w:lang w:val="en-US" w:eastAsia="zh-CN"/>
              </w:rPr>
            </w:pPr>
          </w:p>
          <w:p w14:paraId="625B70FF">
            <w:pPr>
              <w:pStyle w:val="19"/>
              <w:rPr>
                <w:rFonts w:hint="eastAsia"/>
                <w:lang w:val="en-US" w:eastAsia="zh-CN"/>
              </w:rPr>
            </w:pPr>
          </w:p>
          <w:p w14:paraId="685FF019">
            <w:pPr>
              <w:rPr>
                <w:rFonts w:hint="eastAsia"/>
                <w:lang w:val="en-US" w:eastAsia="zh-CN"/>
              </w:rPr>
            </w:pPr>
          </w:p>
          <w:p w14:paraId="742B6E6F">
            <w:pPr>
              <w:keepNext w:val="0"/>
              <w:keepLines w:val="0"/>
              <w:pageBreakBefore w:val="0"/>
              <w:widowControl w:val="0"/>
              <w:kinsoku/>
              <w:wordWrap w:val="0"/>
              <w:overflowPunct/>
              <w:topLinePunct w:val="0"/>
              <w:autoSpaceDE/>
              <w:autoSpaceDN/>
              <w:bidi w:val="0"/>
              <w:adjustRightInd/>
              <w:snapToGrid/>
              <w:ind w:firstLine="0" w:firstLineChars="0"/>
              <w:jc w:val="center"/>
              <w:textAlignment w:val="auto"/>
              <w:rPr>
                <w:rFonts w:hint="eastAsia"/>
                <w:lang w:val="en-US" w:eastAsia="zh-CN"/>
              </w:rPr>
            </w:pPr>
            <w:r>
              <w:rPr>
                <w:rFonts w:hint="eastAsia"/>
                <w:lang w:val="en-US" w:eastAsia="zh-CN"/>
              </w:rPr>
              <w:object>
                <v:shape id="_x0000_i1039" o:spt="75" type="#_x0000_t75" style="height:348.5pt;width:231pt;" o:ole="t" filled="f" o:preferrelative="t" stroked="f" coordsize="21600,21600">
                  <v:path/>
                  <v:fill on="f" focussize="0,0"/>
                  <v:stroke on="f"/>
                  <v:imagedata r:id="rId54" o:title=""/>
                  <o:lock v:ext="edit" aspectratio="f"/>
                  <w10:wrap type="none"/>
                  <w10:anchorlock/>
                </v:shape>
                <o:OLEObject Type="Embed" ProgID="Visio.Drawing.15" ShapeID="_x0000_i1039" DrawAspect="Content" ObjectID="_1468075739" r:id="rId53">
                  <o:LockedField>false</o:LockedField>
                </o:OLEObject>
              </w:object>
            </w:r>
          </w:p>
          <w:p w14:paraId="0C5709BA">
            <w:pPr>
              <w:keepNext w:val="0"/>
              <w:keepLines w:val="0"/>
              <w:pageBreakBefore w:val="0"/>
              <w:widowControl w:val="0"/>
              <w:numPr>
                <w:ilvl w:val="0"/>
                <w:numId w:val="6"/>
              </w:numPr>
              <w:kinsoku/>
              <w:wordWrap w:val="0"/>
              <w:overflowPunct/>
              <w:topLinePunct w:val="0"/>
              <w:autoSpaceDE/>
              <w:autoSpaceDN/>
              <w:bidi w:val="0"/>
              <w:adjustRightInd/>
              <w:snapToGrid/>
              <w:ind w:left="425" w:leftChars="0" w:hanging="425" w:firstLineChars="0"/>
              <w:jc w:val="center"/>
              <w:textAlignment w:val="auto"/>
              <w:rPr>
                <w:rFonts w:hint="eastAsia" w:ascii="Times New Roman" w:hAnsi="Times New Roman" w:eastAsia="宋体" w:cs="Times New Roman"/>
                <w:b/>
                <w:bCs/>
                <w:sz w:val="21"/>
                <w:szCs w:val="21"/>
                <w:highlight w:val="none"/>
                <w:lang w:val="en-US" w:eastAsia="zh-CN"/>
              </w:rPr>
            </w:pPr>
            <w:r>
              <w:rPr>
                <w:rFonts w:hint="eastAsia" w:cs="Times New Roman"/>
                <w:b/>
                <w:bCs/>
                <w:sz w:val="21"/>
                <w:szCs w:val="21"/>
                <w:highlight w:val="none"/>
                <w:lang w:val="en-US" w:eastAsia="zh-CN"/>
              </w:rPr>
              <w:t>口</w:t>
            </w:r>
            <w:r>
              <w:rPr>
                <w:rFonts w:hint="eastAsia" w:ascii="Times New Roman" w:hAnsi="Times New Roman" w:eastAsia="宋体" w:cs="Times New Roman"/>
                <w:b/>
                <w:bCs/>
                <w:sz w:val="21"/>
                <w:szCs w:val="21"/>
                <w:highlight w:val="none"/>
                <w:lang w:val="en-US" w:eastAsia="zh-CN"/>
              </w:rPr>
              <w:t>服类饮片</w:t>
            </w:r>
            <w:r>
              <w:rPr>
                <w:rFonts w:hint="default" w:ascii="Times New Roman" w:hAnsi="Times New Roman" w:eastAsia="宋体" w:cs="Times New Roman"/>
                <w:b/>
                <w:bCs/>
                <w:sz w:val="21"/>
                <w:szCs w:val="21"/>
                <w:highlight w:val="none"/>
                <w:lang w:val="en-US" w:eastAsia="zh-CN"/>
              </w:rPr>
              <w:t>生产工艺</w:t>
            </w:r>
            <w:r>
              <w:rPr>
                <w:rFonts w:hint="eastAsia" w:ascii="Times New Roman" w:hAnsi="Times New Roman" w:eastAsia="宋体" w:cs="Times New Roman"/>
                <w:b/>
                <w:bCs/>
                <w:sz w:val="21"/>
                <w:szCs w:val="21"/>
                <w:highlight w:val="none"/>
                <w:lang w:val="en-US" w:eastAsia="zh-CN"/>
              </w:rPr>
              <w:t>流程</w:t>
            </w:r>
          </w:p>
          <w:p w14:paraId="12F92295">
            <w:pPr>
              <w:pStyle w:val="9"/>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eastAsia="宋体" w:cs="Times New Roman"/>
                <w:b/>
                <w:sz w:val="24"/>
                <w:szCs w:val="24"/>
                <w:lang w:val="en-US" w:eastAsia="zh-CN"/>
              </w:rPr>
            </w:pPr>
            <w:r>
              <w:rPr>
                <w:rFonts w:hint="eastAsia" w:ascii="Times New Roman" w:hAnsi="Times New Roman" w:eastAsia="宋体" w:cs="Times New Roman"/>
                <w:b/>
                <w:bCs/>
                <w:sz w:val="24"/>
                <w:szCs w:val="24"/>
                <w:lang w:val="en-US" w:eastAsia="zh-CN"/>
              </w:rPr>
              <w:t>2.</w:t>
            </w:r>
            <w:r>
              <w:rPr>
                <w:rFonts w:hint="eastAsia" w:cs="Times New Roman"/>
                <w:b/>
                <w:bCs/>
                <w:sz w:val="24"/>
                <w:szCs w:val="24"/>
                <w:lang w:val="en-US" w:eastAsia="zh-CN"/>
              </w:rPr>
              <w:t>1</w:t>
            </w:r>
            <w:r>
              <w:rPr>
                <w:rFonts w:hint="eastAsia" w:ascii="Times New Roman" w:hAnsi="Times New Roman" w:eastAsia="宋体" w:cs="Times New Roman"/>
                <w:b/>
                <w:bCs/>
                <w:sz w:val="24"/>
                <w:szCs w:val="24"/>
                <w:lang w:val="en-US" w:eastAsia="zh-CN"/>
              </w:rPr>
              <w:t>.</w:t>
            </w:r>
            <w:r>
              <w:rPr>
                <w:rFonts w:hint="eastAsia" w:cs="Times New Roman"/>
                <w:b/>
                <w:bCs/>
                <w:sz w:val="24"/>
                <w:szCs w:val="24"/>
                <w:lang w:val="en-US" w:eastAsia="zh-CN"/>
              </w:rPr>
              <w:t>7</w:t>
            </w:r>
            <w:r>
              <w:rPr>
                <w:rFonts w:hint="default" w:ascii="Times New Roman" w:hAnsi="Times New Roman" w:eastAsia="宋体" w:cs="Times New Roman"/>
                <w:b/>
                <w:bCs/>
                <w:i w:val="0"/>
                <w:iCs w:val="0"/>
                <w:color w:val="000000"/>
                <w:kern w:val="0"/>
                <w:sz w:val="24"/>
                <w:szCs w:val="24"/>
                <w:u w:val="none"/>
                <w:lang w:val="en-US" w:eastAsia="zh-CN" w:bidi="ar"/>
              </w:rPr>
              <w:t>保健食品固体制剂车间（片剂、胶囊剂、颗粒剂、粉剂）</w:t>
            </w:r>
          </w:p>
          <w:p w14:paraId="662A7DDA">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eastAsia" w:ascii="Times New Roman" w:hAnsi="Times New Roman" w:eastAsia="宋体" w:cs="Times New Roman"/>
                <w:sz w:val="24"/>
                <w:szCs w:val="24"/>
                <w:lang w:val="en-US" w:eastAsia="zh-CN"/>
              </w:rPr>
            </w:pPr>
            <w:r>
              <w:rPr>
                <w:rFonts w:hint="default"/>
                <w:sz w:val="24"/>
                <w:szCs w:val="24"/>
                <w:lang w:val="en-US" w:eastAsia="zh-CN"/>
              </w:rPr>
              <w:t>本项目主要中成药产品为</w:t>
            </w:r>
            <w:r>
              <w:rPr>
                <w:rFonts w:hint="eastAsia"/>
                <w:sz w:val="24"/>
                <w:szCs w:val="24"/>
                <w:lang w:val="en-US" w:eastAsia="zh-CN"/>
              </w:rPr>
              <w:t>片剂、</w:t>
            </w:r>
            <w:r>
              <w:rPr>
                <w:rFonts w:hint="default"/>
                <w:sz w:val="24"/>
                <w:szCs w:val="24"/>
                <w:lang w:val="en-US" w:eastAsia="zh-CN"/>
              </w:rPr>
              <w:t>颗粒剂和胶囊剂，工艺流程及产污节点见图</w:t>
            </w:r>
            <w:r>
              <w:rPr>
                <w:rFonts w:hint="eastAsia"/>
                <w:sz w:val="24"/>
                <w:szCs w:val="24"/>
                <w:lang w:val="en-US" w:eastAsia="zh-CN"/>
              </w:rPr>
              <w:t>下图</w:t>
            </w:r>
            <w:r>
              <w:rPr>
                <w:rFonts w:hint="default"/>
                <w:sz w:val="24"/>
                <w:szCs w:val="24"/>
                <w:lang w:val="en-US" w:eastAsia="zh-CN"/>
              </w:rPr>
              <w:t>。</w:t>
            </w:r>
            <w:r>
              <w:rPr>
                <w:rFonts w:hint="eastAsia" w:ascii="Times New Roman" w:hAnsi="Times New Roman" w:eastAsia="宋体" w:cs="Times New Roman"/>
                <w:sz w:val="24"/>
                <w:szCs w:val="24"/>
                <w:lang w:val="en-US" w:eastAsia="zh-CN"/>
              </w:rPr>
              <w:t>工艺流程简述：</w:t>
            </w:r>
          </w:p>
          <w:p w14:paraId="4AD8122E">
            <w:pPr>
              <w:pStyle w:val="9"/>
              <w:rPr>
                <w:rFonts w:hint="default"/>
                <w:lang w:val="en-US" w:eastAsia="zh-CN"/>
              </w:rPr>
            </w:pPr>
            <w:r>
              <w:rPr>
                <w:rFonts w:hint="default"/>
                <w:lang w:val="en-US" w:eastAsia="zh-CN"/>
              </w:rPr>
              <w:t>原辅料的处理</w:t>
            </w:r>
            <w:r>
              <w:rPr>
                <w:rFonts w:hint="eastAsia"/>
                <w:lang w:val="en-US" w:eastAsia="zh-CN"/>
              </w:rPr>
              <w:t>：</w:t>
            </w:r>
            <w:r>
              <w:rPr>
                <w:rFonts w:hint="default"/>
                <w:lang w:val="en-US" w:eastAsia="zh-CN"/>
              </w:rPr>
              <w:t>来自仓库的原辅料进入生产区的贮料间暂存，需粉碎的在前处理车间粉碎，然后分别或共同过筛，不需要粉碎，过筛的净药材直接按配方称量后进入混合制粒工序。</w:t>
            </w:r>
          </w:p>
          <w:p w14:paraId="00821BED">
            <w:pPr>
              <w:rPr>
                <w:rFonts w:hint="default"/>
                <w:lang w:val="en-US" w:eastAsia="zh-CN"/>
              </w:rPr>
            </w:pPr>
            <w:r>
              <w:rPr>
                <w:rFonts w:hint="default"/>
                <w:lang w:val="en-US" w:eastAsia="zh-CN"/>
              </w:rPr>
              <w:t>混合制粒、干燥</w:t>
            </w:r>
            <w:r>
              <w:rPr>
                <w:rFonts w:hint="eastAsia"/>
                <w:lang w:val="en-US" w:eastAsia="zh-CN"/>
              </w:rPr>
              <w:t>：</w:t>
            </w:r>
            <w:r>
              <w:rPr>
                <w:rFonts w:hint="default"/>
                <w:lang w:val="en-US" w:eastAsia="zh-CN"/>
              </w:rPr>
              <w:t>来自上工序的原辅料及配好的浆液一部分在混合制粒机内制得湿颗粒，部分经沸腾制粒机制得干颗粒，另一部分用喷雾制粒法得到干颗粒。混合制粒机内制得湿颗粒还必须经烘干，得到干颗粒，然后送至下工序。</w:t>
            </w:r>
          </w:p>
          <w:p w14:paraId="47636B71">
            <w:pPr>
              <w:rPr>
                <w:rFonts w:hint="default"/>
                <w:lang w:val="en-US" w:eastAsia="zh-CN"/>
              </w:rPr>
            </w:pPr>
            <w:r>
              <w:rPr>
                <w:rFonts w:hint="default"/>
                <w:lang w:val="en-US" w:eastAsia="zh-CN"/>
              </w:rPr>
              <w:t>整粒总混</w:t>
            </w:r>
            <w:r>
              <w:rPr>
                <w:rFonts w:hint="eastAsia"/>
                <w:lang w:val="en-US" w:eastAsia="zh-CN"/>
              </w:rPr>
              <w:t>：</w:t>
            </w:r>
            <w:r>
              <w:rPr>
                <w:rFonts w:hint="default"/>
                <w:lang w:val="en-US" w:eastAsia="zh-CN"/>
              </w:rPr>
              <w:t>干颗粒经整粒后送至多维混合机混合后进入颗粒中转，再分别进入各剂型内包或成型间。</w:t>
            </w:r>
          </w:p>
          <w:p w14:paraId="7AB26780">
            <w:pPr>
              <w:rPr>
                <w:rFonts w:hint="default"/>
                <w:lang w:val="en-US" w:eastAsia="zh-CN"/>
              </w:rPr>
            </w:pPr>
            <w:r>
              <w:rPr>
                <w:rFonts w:hint="default"/>
                <w:lang w:val="en-US" w:eastAsia="zh-CN"/>
              </w:rPr>
              <w:t>颗粒剂外包装</w:t>
            </w:r>
            <w:r>
              <w:rPr>
                <w:rFonts w:hint="eastAsia"/>
                <w:lang w:val="en-US" w:eastAsia="zh-CN"/>
              </w:rPr>
              <w:t>：</w:t>
            </w:r>
            <w:r>
              <w:rPr>
                <w:rFonts w:hint="default"/>
                <w:lang w:val="en-US" w:eastAsia="zh-CN"/>
              </w:rPr>
              <w:t>来自整粒总混的颗粒在颗粒包装机内进行，内外装后经传递窗传至外包装间进行外包、装箱、捆扎、因批号，经检验合格后送成品库贮存。</w:t>
            </w:r>
          </w:p>
          <w:p w14:paraId="7817F41B">
            <w:pPr>
              <w:rPr>
                <w:rFonts w:hint="default"/>
                <w:lang w:val="en-US" w:eastAsia="zh-CN"/>
              </w:rPr>
            </w:pPr>
            <w:r>
              <w:rPr>
                <w:rFonts w:hint="default"/>
                <w:lang w:val="en-US" w:eastAsia="zh-CN"/>
              </w:rPr>
              <w:t>胶囊充填及内、外包装</w:t>
            </w:r>
            <w:r>
              <w:rPr>
                <w:rFonts w:hint="eastAsia"/>
                <w:lang w:val="en-US" w:eastAsia="zh-CN"/>
              </w:rPr>
              <w:t>：</w:t>
            </w:r>
            <w:r>
              <w:rPr>
                <w:rFonts w:hint="default"/>
                <w:lang w:val="en-US" w:eastAsia="zh-CN"/>
              </w:rPr>
              <w:t>来自整粒总混间的颗粒加入充填机内，再加入空囊壳，制得成品，经抛光后进行铝塑包装，再经传递窗传至外包装间再外包、装盒、装箱，并经封箱、捆扎后经检验合格入成品库贮存。</w:t>
            </w:r>
          </w:p>
          <w:p w14:paraId="0B9CBD7D">
            <w:pPr>
              <w:pStyle w:val="9"/>
              <w:keepNext w:val="0"/>
              <w:keepLines w:val="0"/>
              <w:pageBreakBefore w:val="0"/>
              <w:widowControl w:val="0"/>
              <w:kinsoku/>
              <w:wordWrap w:val="0"/>
              <w:overflowPunct/>
              <w:topLinePunct w:val="0"/>
              <w:autoSpaceDE/>
              <w:autoSpaceDN/>
              <w:bidi w:val="0"/>
              <w:adjustRightInd/>
              <w:snapToGrid/>
              <w:ind w:firstLine="0" w:firstLineChars="0"/>
              <w:jc w:val="center"/>
              <w:textAlignment w:val="auto"/>
              <w:rPr>
                <w:rFonts w:hint="default"/>
                <w:lang w:val="en-US" w:eastAsia="zh-CN"/>
              </w:rPr>
            </w:pPr>
            <w:r>
              <w:drawing>
                <wp:inline distT="0" distB="0" distL="114300" distR="114300">
                  <wp:extent cx="4774565" cy="6113145"/>
                  <wp:effectExtent l="0" t="0" r="635" b="825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5"/>
                          <a:stretch>
                            <a:fillRect/>
                          </a:stretch>
                        </pic:blipFill>
                        <pic:spPr>
                          <a:xfrm>
                            <a:off x="0" y="0"/>
                            <a:ext cx="4774565" cy="6113145"/>
                          </a:xfrm>
                          <a:prstGeom prst="rect">
                            <a:avLst/>
                          </a:prstGeom>
                          <a:noFill/>
                          <a:ln>
                            <a:noFill/>
                          </a:ln>
                        </pic:spPr>
                      </pic:pic>
                    </a:graphicData>
                  </a:graphic>
                </wp:inline>
              </w:drawing>
            </w:r>
          </w:p>
          <w:p w14:paraId="12FD3D98">
            <w:pPr>
              <w:keepNext w:val="0"/>
              <w:keepLines w:val="0"/>
              <w:pageBreakBefore w:val="0"/>
              <w:widowControl w:val="0"/>
              <w:numPr>
                <w:ilvl w:val="0"/>
                <w:numId w:val="6"/>
              </w:numPr>
              <w:kinsoku/>
              <w:wordWrap w:val="0"/>
              <w:overflowPunct/>
              <w:topLinePunct w:val="0"/>
              <w:autoSpaceDE/>
              <w:autoSpaceDN/>
              <w:bidi w:val="0"/>
              <w:adjustRightInd/>
              <w:snapToGrid/>
              <w:ind w:left="425" w:leftChars="0" w:hanging="425" w:firstLineChars="0"/>
              <w:jc w:val="center"/>
              <w:textAlignment w:val="auto"/>
              <w:rPr>
                <w:rFonts w:hint="eastAsia"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保健食品固体制剂</w:t>
            </w:r>
            <w:r>
              <w:rPr>
                <w:rFonts w:hint="default" w:ascii="Times New Roman" w:hAnsi="Times New Roman" w:eastAsia="宋体" w:cs="Times New Roman"/>
                <w:b/>
                <w:bCs/>
                <w:sz w:val="21"/>
                <w:szCs w:val="21"/>
                <w:highlight w:val="none"/>
                <w:lang w:val="en-US" w:eastAsia="zh-CN"/>
              </w:rPr>
              <w:t>生产工艺</w:t>
            </w:r>
            <w:r>
              <w:rPr>
                <w:rFonts w:hint="eastAsia" w:ascii="Times New Roman" w:hAnsi="Times New Roman" w:eastAsia="宋体" w:cs="Times New Roman"/>
                <w:b/>
                <w:bCs/>
                <w:sz w:val="21"/>
                <w:szCs w:val="21"/>
                <w:highlight w:val="none"/>
                <w:lang w:val="en-US" w:eastAsia="zh-CN"/>
              </w:rPr>
              <w:t>流程</w:t>
            </w:r>
          </w:p>
          <w:p w14:paraId="31CD42AF">
            <w:pPr>
              <w:pStyle w:val="18"/>
              <w:ind w:left="0" w:leftChars="0" w:firstLine="0" w:firstLineChars="0"/>
              <w:rPr>
                <w:rFonts w:hint="default" w:ascii="Times New Roman" w:hAnsi="Times New Roman" w:eastAsia="宋体" w:cs="Times New Roman"/>
                <w:b/>
                <w:bCs/>
                <w:sz w:val="24"/>
                <w:szCs w:val="24"/>
                <w:u w:val="single"/>
                <w:lang w:val="en-US" w:eastAsia="zh-CN"/>
              </w:rPr>
            </w:pPr>
            <w:r>
              <w:rPr>
                <w:rFonts w:hint="eastAsia" w:ascii="Times New Roman" w:hAnsi="Times New Roman" w:eastAsia="宋体" w:cs="Times New Roman"/>
                <w:b/>
                <w:bCs/>
                <w:sz w:val="24"/>
                <w:szCs w:val="24"/>
                <w:u w:val="single"/>
                <w:lang w:val="en-US" w:eastAsia="zh-CN"/>
              </w:rPr>
              <w:t>2.</w:t>
            </w:r>
            <w:r>
              <w:rPr>
                <w:rFonts w:hint="eastAsia" w:cs="Times New Roman"/>
                <w:b/>
                <w:bCs/>
                <w:sz w:val="24"/>
                <w:szCs w:val="24"/>
                <w:u w:val="single"/>
                <w:lang w:val="en-US" w:eastAsia="zh-CN"/>
              </w:rPr>
              <w:t>1</w:t>
            </w:r>
            <w:r>
              <w:rPr>
                <w:rFonts w:hint="eastAsia" w:ascii="Times New Roman" w:hAnsi="Times New Roman" w:eastAsia="宋体" w:cs="Times New Roman"/>
                <w:b/>
                <w:bCs/>
                <w:sz w:val="24"/>
                <w:szCs w:val="24"/>
                <w:u w:val="single"/>
                <w:lang w:val="en-US" w:eastAsia="zh-CN"/>
              </w:rPr>
              <w:t>.</w:t>
            </w:r>
            <w:r>
              <w:rPr>
                <w:rFonts w:hint="eastAsia" w:cs="Times New Roman"/>
                <w:b/>
                <w:bCs/>
                <w:sz w:val="24"/>
                <w:szCs w:val="24"/>
                <w:u w:val="single"/>
                <w:lang w:val="en-US" w:eastAsia="zh-CN"/>
              </w:rPr>
              <w:t>8</w:t>
            </w:r>
            <w:r>
              <w:rPr>
                <w:rFonts w:hint="default" w:ascii="Times New Roman" w:hAnsi="Times New Roman" w:eastAsia="宋体" w:cs="Times New Roman"/>
                <w:b/>
                <w:bCs/>
                <w:sz w:val="24"/>
                <w:szCs w:val="24"/>
                <w:u w:val="single"/>
                <w:lang w:val="en-US" w:eastAsia="zh-CN"/>
              </w:rPr>
              <w:t>质检</w:t>
            </w:r>
            <w:r>
              <w:rPr>
                <w:rFonts w:hint="eastAsia" w:cs="Times New Roman"/>
                <w:b/>
                <w:bCs/>
                <w:sz w:val="24"/>
                <w:szCs w:val="24"/>
                <w:u w:val="single"/>
                <w:lang w:val="en-US" w:eastAsia="zh-CN"/>
              </w:rPr>
              <w:t>工序</w:t>
            </w:r>
            <w:r>
              <w:rPr>
                <w:rFonts w:hint="default" w:ascii="Times New Roman" w:hAnsi="Times New Roman" w:eastAsia="宋体" w:cs="Times New Roman"/>
                <w:b/>
                <w:bCs/>
                <w:sz w:val="24"/>
                <w:szCs w:val="24"/>
                <w:u w:val="single"/>
                <w:lang w:val="en-US" w:eastAsia="zh-CN"/>
              </w:rPr>
              <w:t>流程及产污分析</w:t>
            </w:r>
          </w:p>
          <w:p w14:paraId="400C0A65">
            <w:pPr>
              <w:pStyle w:val="9"/>
              <w:rPr>
                <w:rFonts w:hint="default"/>
                <w:b/>
                <w:bCs/>
                <w:sz w:val="24"/>
                <w:szCs w:val="24"/>
                <w:u w:val="single"/>
                <w:lang w:val="en-US" w:eastAsia="zh-CN"/>
              </w:rPr>
            </w:pPr>
            <w:r>
              <w:rPr>
                <w:rFonts w:hint="default"/>
                <w:b/>
                <w:bCs/>
                <w:sz w:val="24"/>
                <w:szCs w:val="24"/>
                <w:u w:val="single"/>
                <w:lang w:val="en-US" w:eastAsia="zh-CN"/>
              </w:rPr>
              <w:t>中药材购进之后，首先要进行抽检，合格后，才能投料生产；生产后的中药饮片也要进行检验，合格后才能进行销售。</w:t>
            </w:r>
          </w:p>
          <w:p w14:paraId="1E735A72">
            <w:pPr>
              <w:pStyle w:val="9"/>
              <w:rPr>
                <w:rFonts w:hint="default"/>
                <w:b/>
                <w:bCs/>
                <w:sz w:val="24"/>
                <w:szCs w:val="24"/>
                <w:u w:val="single"/>
                <w:lang w:val="en-US" w:eastAsia="zh-CN"/>
              </w:rPr>
            </w:pPr>
            <w:r>
              <w:rPr>
                <w:rFonts w:hint="default"/>
                <w:b/>
                <w:bCs/>
                <w:sz w:val="24"/>
                <w:szCs w:val="24"/>
                <w:u w:val="single"/>
                <w:lang w:val="en-US" w:eastAsia="zh-CN"/>
              </w:rPr>
              <w:t>中药材及中药饮片的检验项目主要包括性状、显微鉴定、薄层鉴定、水分、灰分、二氧化硫、浸出物、含量等项目的检测，其具体的检测项目根据品种的情况而定。本项目质检室不开展P3、P4生物安全实验，不涉及转基因实验，不涉及严重恶臭物质实验。</w:t>
            </w:r>
          </w:p>
          <w:p w14:paraId="369B92CE">
            <w:pPr>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eastAsia="宋体"/>
                <w:b/>
                <w:bCs/>
                <w:color w:val="auto"/>
                <w:u w:val="single"/>
                <w:lang w:eastAsia="zh-CN"/>
              </w:rPr>
            </w:pPr>
            <w:r>
              <w:rPr>
                <w:rFonts w:hint="eastAsia"/>
                <w:b/>
                <w:bCs/>
                <w:color w:val="auto"/>
                <w:u w:val="single"/>
                <w:lang w:val="en-US" w:eastAsia="zh-CN"/>
              </w:rPr>
              <w:t>2.2物料平衡</w:t>
            </w:r>
          </w:p>
          <w:p w14:paraId="2E50E46F">
            <w:pPr>
              <w:rPr>
                <w:rFonts w:hint="default" w:ascii="Times New Roman" w:hAnsi="Times New Roman" w:eastAsia="宋体" w:cs="Times New Roman"/>
                <w:b/>
                <w:bCs/>
                <w:u w:val="single"/>
                <w:lang w:val="en-US" w:eastAsia="zh-CN"/>
              </w:rPr>
            </w:pPr>
            <w:r>
              <w:rPr>
                <w:rFonts w:hint="eastAsia" w:ascii="Times New Roman" w:hAnsi="Times New Roman" w:eastAsia="宋体" w:cs="Times New Roman"/>
                <w:b/>
                <w:bCs/>
                <w:u w:val="single"/>
                <w:lang w:val="en-US" w:eastAsia="zh-CN"/>
              </w:rPr>
              <w:t>本项目</w:t>
            </w:r>
            <w:r>
              <w:rPr>
                <w:rFonts w:hint="eastAsia" w:cs="Times New Roman"/>
                <w:b/>
                <w:bCs/>
                <w:u w:val="single"/>
                <w:lang w:val="en-US" w:eastAsia="zh-CN"/>
              </w:rPr>
              <w:t>中药饮片生产总物料平衡情况以及毒性饮片物料平衡情况见下表，本报告中物料平衡中不包括质检工序、污水处理站和职工办公生活。</w:t>
            </w:r>
          </w:p>
          <w:p w14:paraId="7D359F19">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425" w:leftChars="0" w:hanging="425" w:firstLineChars="0"/>
              <w:jc w:val="center"/>
              <w:textAlignment w:val="auto"/>
              <w:rPr>
                <w:rFonts w:hint="eastAsia" w:ascii="Times New Roman" w:hAnsi="Times New Roman" w:eastAsia="宋体" w:cs="Times New Roman"/>
                <w:b/>
                <w:bCs/>
                <w:color w:val="000000" w:themeColor="text1"/>
                <w:sz w:val="21"/>
                <w:szCs w:val="21"/>
                <w:u w:val="single"/>
                <w:lang w:val="en-US" w:eastAsia="zh-CN"/>
                <w14:textFill>
                  <w14:solidFill>
                    <w14:schemeClr w14:val="tx1"/>
                  </w14:solidFill>
                </w14:textFill>
              </w:rPr>
            </w:pPr>
            <w:r>
              <w:rPr>
                <w:rFonts w:hint="eastAsia" w:cs="Times New Roman"/>
                <w:b/>
                <w:bCs/>
                <w:color w:val="000000" w:themeColor="text1"/>
                <w:sz w:val="21"/>
                <w:szCs w:val="21"/>
                <w:u w:val="single"/>
                <w:lang w:val="en-US" w:eastAsia="zh-CN"/>
                <w14:textFill>
                  <w14:solidFill>
                    <w14:schemeClr w14:val="tx1"/>
                  </w14:solidFill>
                </w14:textFill>
              </w:rPr>
              <w:t>项目总物料平衡</w:t>
            </w:r>
            <w:r>
              <w:rPr>
                <w:rFonts w:hint="eastAsia" w:ascii="Times New Roman" w:hAnsi="Times New Roman" w:eastAsia="宋体" w:cs="Times New Roman"/>
                <w:b/>
                <w:bCs/>
                <w:color w:val="000000" w:themeColor="text1"/>
                <w:sz w:val="21"/>
                <w:szCs w:val="21"/>
                <w:u w:val="single"/>
                <w:lang w:val="en-US" w:eastAsia="zh-CN"/>
                <w14:textFill>
                  <w14:solidFill>
                    <w14:schemeClr w14:val="tx1"/>
                  </w14:solidFill>
                </w14:textFill>
              </w:rPr>
              <w:t>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1"/>
              <w:gridCol w:w="2013"/>
              <w:gridCol w:w="1613"/>
              <w:gridCol w:w="714"/>
              <w:gridCol w:w="1996"/>
              <w:gridCol w:w="1582"/>
            </w:tblGrid>
            <w:tr w14:paraId="3F9C0A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98" w:type="pct"/>
                  <w:gridSpan w:val="3"/>
                  <w:tcBorders>
                    <w:tl2br w:val="nil"/>
                    <w:tr2bl w:val="nil"/>
                  </w:tcBorders>
                  <w:noWrap w:val="0"/>
                  <w:vAlign w:val="center"/>
                </w:tcPr>
                <w:p w14:paraId="25726CED">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ascii="Times New Roman" w:hAnsi="Times New Roman" w:cs="Times New Roman"/>
                      <w:b/>
                      <w:bCs/>
                      <w:sz w:val="21"/>
                      <w:szCs w:val="21"/>
                      <w:u w:val="single"/>
                    </w:rPr>
                  </w:pPr>
                  <w:r>
                    <w:rPr>
                      <w:rFonts w:hint="eastAsia" w:cs="Times New Roman"/>
                      <w:b/>
                      <w:bCs/>
                      <w:sz w:val="21"/>
                      <w:szCs w:val="21"/>
                      <w:u w:val="single"/>
                      <w:lang w:val="en-US" w:eastAsia="zh-CN"/>
                    </w:rPr>
                    <w:t>输入原料</w:t>
                  </w:r>
                </w:p>
              </w:tc>
              <w:tc>
                <w:tcPr>
                  <w:tcW w:w="2501" w:type="pct"/>
                  <w:gridSpan w:val="3"/>
                  <w:tcBorders>
                    <w:tl2br w:val="nil"/>
                    <w:tr2bl w:val="nil"/>
                  </w:tcBorders>
                  <w:noWrap w:val="0"/>
                  <w:vAlign w:val="center"/>
                </w:tcPr>
                <w:p w14:paraId="0205B349">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ascii="Times New Roman" w:hAnsi="Times New Roman" w:cs="Times New Roman"/>
                      <w:b/>
                      <w:bCs/>
                      <w:sz w:val="21"/>
                      <w:szCs w:val="21"/>
                      <w:u w:val="single"/>
                    </w:rPr>
                  </w:pPr>
                  <w:r>
                    <w:rPr>
                      <w:rFonts w:hint="eastAsia" w:cs="Times New Roman"/>
                      <w:b/>
                      <w:bCs/>
                      <w:sz w:val="21"/>
                      <w:szCs w:val="21"/>
                      <w:u w:val="single"/>
                      <w:lang w:val="en-US" w:eastAsia="zh-CN"/>
                    </w:rPr>
                    <w:t>输出原料</w:t>
                  </w:r>
                </w:p>
              </w:tc>
            </w:tr>
            <w:tr w14:paraId="6C070E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1558" w:type="pct"/>
                  <w:gridSpan w:val="2"/>
                  <w:tcBorders>
                    <w:tl2br w:val="nil"/>
                    <w:tr2bl w:val="nil"/>
                  </w:tcBorders>
                  <w:shd w:val="clear" w:color="auto" w:fill="auto"/>
                  <w:noWrap w:val="0"/>
                  <w:vAlign w:val="center"/>
                </w:tcPr>
                <w:p w14:paraId="4FD43199">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ascii="Times New Roman" w:hAnsi="Times New Roman" w:eastAsia="宋体" w:cs="Times New Roman"/>
                      <w:b/>
                      <w:bCs/>
                      <w:kern w:val="2"/>
                      <w:sz w:val="21"/>
                      <w:szCs w:val="21"/>
                      <w:u w:val="single"/>
                      <w:lang w:val="en-US" w:eastAsia="zh-CN" w:bidi="ar-SA"/>
                    </w:rPr>
                  </w:pPr>
                  <w:r>
                    <w:rPr>
                      <w:rFonts w:hint="eastAsia" w:cs="Times New Roman"/>
                      <w:b/>
                      <w:bCs/>
                      <w:kern w:val="2"/>
                      <w:sz w:val="21"/>
                      <w:szCs w:val="21"/>
                      <w:u w:val="single"/>
                      <w:lang w:val="en-US" w:eastAsia="zh-CN" w:bidi="ar-SA"/>
                    </w:rPr>
                    <w:t>名称</w:t>
                  </w:r>
                </w:p>
              </w:tc>
              <w:tc>
                <w:tcPr>
                  <w:tcW w:w="939" w:type="pct"/>
                  <w:tcBorders>
                    <w:tl2br w:val="nil"/>
                    <w:tr2bl w:val="nil"/>
                  </w:tcBorders>
                  <w:shd w:val="clear" w:color="auto" w:fill="auto"/>
                  <w:noWrap w:val="0"/>
                  <w:vAlign w:val="center"/>
                </w:tcPr>
                <w:p w14:paraId="089A7CCF">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ascii="Times New Roman" w:hAnsi="Times New Roman" w:eastAsia="宋体" w:cs="Times New Roman"/>
                      <w:b/>
                      <w:bCs/>
                      <w:kern w:val="2"/>
                      <w:sz w:val="21"/>
                      <w:szCs w:val="21"/>
                      <w:u w:val="single"/>
                      <w:lang w:val="en-US" w:eastAsia="zh-CN" w:bidi="ar-SA"/>
                    </w:rPr>
                  </w:pPr>
                  <w:r>
                    <w:rPr>
                      <w:rFonts w:hint="eastAsia" w:cs="Times New Roman"/>
                      <w:b/>
                      <w:bCs/>
                      <w:kern w:val="2"/>
                      <w:sz w:val="21"/>
                      <w:szCs w:val="21"/>
                      <w:u w:val="single"/>
                      <w:lang w:val="en-US" w:eastAsia="zh-CN" w:bidi="ar-SA"/>
                    </w:rPr>
                    <w:t>数量（t/a）</w:t>
                  </w:r>
                </w:p>
              </w:tc>
              <w:tc>
                <w:tcPr>
                  <w:tcW w:w="1579" w:type="pct"/>
                  <w:gridSpan w:val="2"/>
                  <w:tcBorders>
                    <w:tl2br w:val="nil"/>
                    <w:tr2bl w:val="nil"/>
                  </w:tcBorders>
                  <w:shd w:val="clear" w:color="auto" w:fill="auto"/>
                  <w:noWrap w:val="0"/>
                  <w:vAlign w:val="center"/>
                </w:tcPr>
                <w:p w14:paraId="0A7C3461">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ascii="Times New Roman" w:hAnsi="Times New Roman" w:eastAsia="宋体" w:cs="Times New Roman"/>
                      <w:b/>
                      <w:bCs/>
                      <w:kern w:val="2"/>
                      <w:sz w:val="21"/>
                      <w:szCs w:val="21"/>
                      <w:u w:val="single"/>
                      <w:lang w:val="en-US" w:eastAsia="zh-CN" w:bidi="ar-SA"/>
                    </w:rPr>
                  </w:pPr>
                  <w:r>
                    <w:rPr>
                      <w:rFonts w:hint="eastAsia" w:cs="Times New Roman"/>
                      <w:b/>
                      <w:bCs/>
                      <w:kern w:val="2"/>
                      <w:sz w:val="21"/>
                      <w:szCs w:val="21"/>
                      <w:u w:val="single"/>
                      <w:lang w:val="en-US" w:eastAsia="zh-CN" w:bidi="ar-SA"/>
                    </w:rPr>
                    <w:t>名称</w:t>
                  </w:r>
                </w:p>
              </w:tc>
              <w:tc>
                <w:tcPr>
                  <w:tcW w:w="922" w:type="pct"/>
                  <w:tcBorders>
                    <w:tl2br w:val="nil"/>
                    <w:tr2bl w:val="nil"/>
                  </w:tcBorders>
                  <w:shd w:val="clear" w:color="auto" w:fill="auto"/>
                  <w:noWrap w:val="0"/>
                  <w:vAlign w:val="center"/>
                </w:tcPr>
                <w:p w14:paraId="31967840">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eastAsia" w:ascii="Times New Roman" w:hAnsi="Times New Roman" w:eastAsia="宋体" w:cs="Times New Roman"/>
                      <w:b/>
                      <w:bCs/>
                      <w:kern w:val="2"/>
                      <w:sz w:val="21"/>
                      <w:szCs w:val="21"/>
                      <w:u w:val="single"/>
                      <w:lang w:val="en-US" w:eastAsia="zh-CN" w:bidi="ar-SA"/>
                    </w:rPr>
                  </w:pPr>
                  <w:r>
                    <w:rPr>
                      <w:rFonts w:hint="eastAsia" w:cs="Times New Roman"/>
                      <w:b/>
                      <w:bCs/>
                      <w:kern w:val="2"/>
                      <w:sz w:val="21"/>
                      <w:szCs w:val="21"/>
                      <w:u w:val="single"/>
                      <w:lang w:val="en-US" w:eastAsia="zh-CN" w:bidi="ar-SA"/>
                    </w:rPr>
                    <w:t>数量（t/a）</w:t>
                  </w:r>
                </w:p>
              </w:tc>
            </w:tr>
            <w:tr w14:paraId="0C845E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385" w:type="pct"/>
                  <w:vMerge w:val="restart"/>
                  <w:tcBorders>
                    <w:tl2br w:val="nil"/>
                    <w:tr2bl w:val="nil"/>
                  </w:tcBorders>
                  <w:shd w:val="clear" w:color="auto" w:fill="auto"/>
                  <w:noWrap w:val="0"/>
                  <w:vAlign w:val="center"/>
                </w:tcPr>
                <w:p w14:paraId="56DA5366">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ascii="Times New Roman" w:hAnsi="Times New Roman" w:eastAsia="宋体" w:cs="Times New Roman"/>
                      <w:b/>
                      <w:bCs/>
                      <w:kern w:val="2"/>
                      <w:sz w:val="21"/>
                      <w:szCs w:val="21"/>
                      <w:u w:val="single"/>
                      <w:lang w:val="en-US" w:eastAsia="zh-CN" w:bidi="ar-SA"/>
                    </w:rPr>
                  </w:pPr>
                  <w:r>
                    <w:rPr>
                      <w:rFonts w:hint="eastAsia" w:cs="Times New Roman"/>
                      <w:b/>
                      <w:bCs/>
                      <w:kern w:val="2"/>
                      <w:sz w:val="21"/>
                      <w:szCs w:val="21"/>
                      <w:u w:val="single"/>
                      <w:lang w:val="en-US" w:eastAsia="zh-CN" w:bidi="ar-SA"/>
                    </w:rPr>
                    <w:t>中药原材料</w:t>
                  </w:r>
                </w:p>
              </w:tc>
              <w:tc>
                <w:tcPr>
                  <w:tcW w:w="1172" w:type="pct"/>
                  <w:tcBorders>
                    <w:tl2br w:val="nil"/>
                    <w:tr2bl w:val="nil"/>
                  </w:tcBorders>
                  <w:shd w:val="clear" w:color="auto" w:fill="auto"/>
                  <w:noWrap w:val="0"/>
                  <w:vAlign w:val="center"/>
                </w:tcPr>
                <w:p w14:paraId="0364C9E2">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cs="Times New Roman"/>
                      <w:b/>
                      <w:bCs/>
                      <w:sz w:val="21"/>
                      <w:szCs w:val="21"/>
                      <w:u w:val="single"/>
                      <w:lang w:val="en-US" w:eastAsia="zh-CN"/>
                    </w:rPr>
                  </w:pPr>
                  <w:r>
                    <w:rPr>
                      <w:rFonts w:hint="eastAsia" w:cs="Times New Roman"/>
                      <w:b/>
                      <w:bCs/>
                      <w:sz w:val="21"/>
                      <w:szCs w:val="21"/>
                      <w:u w:val="single"/>
                      <w:lang w:val="en-US" w:eastAsia="zh-CN"/>
                    </w:rPr>
                    <w:t>普通中药材</w:t>
                  </w:r>
                </w:p>
              </w:tc>
              <w:tc>
                <w:tcPr>
                  <w:tcW w:w="939" w:type="pct"/>
                  <w:tcBorders>
                    <w:tl2br w:val="nil"/>
                    <w:tr2bl w:val="nil"/>
                  </w:tcBorders>
                  <w:shd w:val="clear" w:color="auto" w:fill="auto"/>
                  <w:noWrap w:val="0"/>
                  <w:vAlign w:val="center"/>
                </w:tcPr>
                <w:p w14:paraId="11011F0D">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cs="Times New Roman"/>
                      <w:b/>
                      <w:bCs/>
                      <w:sz w:val="21"/>
                      <w:szCs w:val="21"/>
                      <w:u w:val="single"/>
                      <w:lang w:val="en-US" w:eastAsia="zh-CN"/>
                    </w:rPr>
                  </w:pPr>
                  <w:r>
                    <w:rPr>
                      <w:rFonts w:hint="eastAsia" w:cs="Times New Roman"/>
                      <w:b/>
                      <w:bCs/>
                      <w:sz w:val="21"/>
                      <w:szCs w:val="21"/>
                      <w:u w:val="single"/>
                      <w:lang w:val="en-US" w:eastAsia="zh-CN"/>
                    </w:rPr>
                    <w:t>3000</w:t>
                  </w:r>
                </w:p>
              </w:tc>
              <w:tc>
                <w:tcPr>
                  <w:tcW w:w="416" w:type="pct"/>
                  <w:vMerge w:val="restart"/>
                  <w:tcBorders>
                    <w:tl2br w:val="nil"/>
                    <w:tr2bl w:val="nil"/>
                  </w:tcBorders>
                  <w:shd w:val="clear" w:color="auto" w:fill="auto"/>
                  <w:noWrap w:val="0"/>
                  <w:vAlign w:val="center"/>
                </w:tcPr>
                <w:p w14:paraId="0B9314B6">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ascii="Times New Roman" w:hAnsi="Times New Roman" w:eastAsia="宋体" w:cs="Times New Roman"/>
                      <w:b/>
                      <w:bCs/>
                      <w:kern w:val="2"/>
                      <w:sz w:val="21"/>
                      <w:szCs w:val="21"/>
                      <w:u w:val="single"/>
                      <w:lang w:val="en-US" w:eastAsia="zh-CN" w:bidi="ar-SA"/>
                    </w:rPr>
                  </w:pPr>
                  <w:r>
                    <w:rPr>
                      <w:rFonts w:hint="eastAsia" w:cs="Times New Roman"/>
                      <w:b/>
                      <w:bCs/>
                      <w:kern w:val="2"/>
                      <w:sz w:val="21"/>
                      <w:szCs w:val="21"/>
                      <w:u w:val="single"/>
                      <w:lang w:val="en-US" w:eastAsia="zh-CN" w:bidi="ar-SA"/>
                    </w:rPr>
                    <w:t>中药饮片成品</w:t>
                  </w:r>
                </w:p>
              </w:tc>
              <w:tc>
                <w:tcPr>
                  <w:tcW w:w="1163" w:type="pct"/>
                  <w:tcBorders>
                    <w:tl2br w:val="nil"/>
                    <w:tr2bl w:val="nil"/>
                  </w:tcBorders>
                  <w:shd w:val="clear" w:color="auto" w:fill="auto"/>
                  <w:noWrap w:val="0"/>
                  <w:vAlign w:val="center"/>
                </w:tcPr>
                <w:p w14:paraId="2B80714C">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cs="Times New Roman"/>
                      <w:b/>
                      <w:bCs/>
                      <w:kern w:val="2"/>
                      <w:sz w:val="21"/>
                      <w:szCs w:val="21"/>
                      <w:u w:val="single"/>
                      <w:lang w:val="en-US" w:eastAsia="zh-CN" w:bidi="ar-SA"/>
                    </w:rPr>
                  </w:pPr>
                  <w:r>
                    <w:rPr>
                      <w:rFonts w:hint="eastAsia" w:cs="Times New Roman"/>
                      <w:b/>
                      <w:bCs/>
                      <w:kern w:val="2"/>
                      <w:sz w:val="21"/>
                      <w:szCs w:val="21"/>
                      <w:u w:val="single"/>
                      <w:lang w:val="en-US" w:eastAsia="zh-CN" w:bidi="ar-SA"/>
                    </w:rPr>
                    <w:t>普通中药饮片</w:t>
                  </w:r>
                </w:p>
              </w:tc>
              <w:tc>
                <w:tcPr>
                  <w:tcW w:w="922" w:type="pct"/>
                  <w:tcBorders>
                    <w:tl2br w:val="nil"/>
                    <w:tr2bl w:val="nil"/>
                  </w:tcBorders>
                  <w:shd w:val="clear" w:color="auto" w:fill="auto"/>
                  <w:noWrap w:val="0"/>
                  <w:vAlign w:val="center"/>
                </w:tcPr>
                <w:p w14:paraId="3750887A">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ascii="Times New Roman" w:hAnsi="Times New Roman" w:eastAsia="宋体" w:cs="Times New Roman"/>
                      <w:b/>
                      <w:bCs/>
                      <w:kern w:val="2"/>
                      <w:sz w:val="21"/>
                      <w:szCs w:val="21"/>
                      <w:u w:val="single"/>
                      <w:lang w:val="en-US" w:eastAsia="zh-CN" w:bidi="ar-SA"/>
                    </w:rPr>
                  </w:pPr>
                  <w:r>
                    <w:rPr>
                      <w:rFonts w:hint="eastAsia" w:cs="Times New Roman"/>
                      <w:b/>
                      <w:bCs/>
                      <w:kern w:val="2"/>
                      <w:sz w:val="21"/>
                      <w:szCs w:val="21"/>
                      <w:u w:val="single"/>
                      <w:lang w:val="en-US" w:eastAsia="zh-CN" w:bidi="ar-SA"/>
                    </w:rPr>
                    <w:t>1500</w:t>
                  </w:r>
                </w:p>
              </w:tc>
            </w:tr>
            <w:tr w14:paraId="3F5BA9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385" w:type="pct"/>
                  <w:vMerge w:val="continue"/>
                  <w:tcBorders>
                    <w:tl2br w:val="nil"/>
                    <w:tr2bl w:val="nil"/>
                  </w:tcBorders>
                  <w:shd w:val="clear" w:color="auto" w:fill="auto"/>
                  <w:noWrap w:val="0"/>
                  <w:vAlign w:val="center"/>
                </w:tcPr>
                <w:p w14:paraId="4A1A4A9E">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b/>
                      <w:bCs/>
                      <w:u w:val="single"/>
                    </w:rPr>
                  </w:pPr>
                </w:p>
              </w:tc>
              <w:tc>
                <w:tcPr>
                  <w:tcW w:w="1172" w:type="pct"/>
                  <w:tcBorders>
                    <w:tl2br w:val="nil"/>
                    <w:tr2bl w:val="nil"/>
                  </w:tcBorders>
                  <w:shd w:val="clear" w:color="auto" w:fill="auto"/>
                  <w:noWrap w:val="0"/>
                  <w:vAlign w:val="center"/>
                </w:tcPr>
                <w:p w14:paraId="490607A4">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eastAsia" w:cs="Times New Roman"/>
                      <w:b/>
                      <w:bCs/>
                      <w:sz w:val="21"/>
                      <w:szCs w:val="21"/>
                      <w:u w:val="single"/>
                      <w:lang w:val="en-US" w:eastAsia="zh-CN"/>
                    </w:rPr>
                  </w:pPr>
                  <w:r>
                    <w:rPr>
                      <w:rFonts w:hint="eastAsia" w:cs="Times New Roman"/>
                      <w:b/>
                      <w:bCs/>
                      <w:sz w:val="21"/>
                      <w:szCs w:val="21"/>
                      <w:u w:val="single"/>
                      <w:lang w:val="en-US" w:eastAsia="zh-CN"/>
                    </w:rPr>
                    <w:t>毒性中药材</w:t>
                  </w:r>
                </w:p>
              </w:tc>
              <w:tc>
                <w:tcPr>
                  <w:tcW w:w="939" w:type="pct"/>
                  <w:tcBorders>
                    <w:tl2br w:val="nil"/>
                    <w:tr2bl w:val="nil"/>
                  </w:tcBorders>
                  <w:shd w:val="clear" w:color="auto" w:fill="auto"/>
                  <w:noWrap w:val="0"/>
                  <w:vAlign w:val="center"/>
                </w:tcPr>
                <w:p w14:paraId="1F4E2849">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cs="Times New Roman"/>
                      <w:b/>
                      <w:bCs/>
                      <w:sz w:val="21"/>
                      <w:szCs w:val="21"/>
                      <w:u w:val="single"/>
                      <w:lang w:val="en-US" w:eastAsia="zh-CN"/>
                    </w:rPr>
                  </w:pPr>
                  <w:r>
                    <w:rPr>
                      <w:rFonts w:hint="eastAsia" w:cs="Times New Roman"/>
                      <w:b/>
                      <w:bCs/>
                      <w:sz w:val="21"/>
                      <w:szCs w:val="21"/>
                      <w:u w:val="single"/>
                      <w:lang w:val="en-US" w:eastAsia="zh-CN"/>
                    </w:rPr>
                    <w:t>160</w:t>
                  </w:r>
                </w:p>
              </w:tc>
              <w:tc>
                <w:tcPr>
                  <w:tcW w:w="416" w:type="pct"/>
                  <w:vMerge w:val="continue"/>
                  <w:tcBorders>
                    <w:tl2br w:val="nil"/>
                    <w:tr2bl w:val="nil"/>
                  </w:tcBorders>
                  <w:shd w:val="clear" w:color="auto" w:fill="auto"/>
                  <w:noWrap w:val="0"/>
                  <w:vAlign w:val="center"/>
                </w:tcPr>
                <w:p w14:paraId="65F5FDFD">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b/>
                      <w:bCs/>
                      <w:u w:val="single"/>
                    </w:rPr>
                  </w:pPr>
                </w:p>
              </w:tc>
              <w:tc>
                <w:tcPr>
                  <w:tcW w:w="1163" w:type="pct"/>
                  <w:tcBorders>
                    <w:tl2br w:val="nil"/>
                    <w:tr2bl w:val="nil"/>
                  </w:tcBorders>
                  <w:shd w:val="clear" w:color="auto" w:fill="auto"/>
                  <w:noWrap w:val="0"/>
                  <w:vAlign w:val="center"/>
                </w:tcPr>
                <w:p w14:paraId="31F96442">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cs="Times New Roman"/>
                      <w:b/>
                      <w:bCs/>
                      <w:kern w:val="2"/>
                      <w:sz w:val="21"/>
                      <w:szCs w:val="21"/>
                      <w:u w:val="single"/>
                      <w:lang w:val="en-US" w:eastAsia="zh-CN" w:bidi="ar-SA"/>
                    </w:rPr>
                  </w:pPr>
                  <w:r>
                    <w:rPr>
                      <w:rFonts w:hint="eastAsia" w:cs="Times New Roman"/>
                      <w:b/>
                      <w:bCs/>
                      <w:kern w:val="2"/>
                      <w:sz w:val="21"/>
                      <w:szCs w:val="21"/>
                      <w:u w:val="single"/>
                      <w:lang w:val="en-US" w:eastAsia="zh-CN" w:bidi="ar-SA"/>
                    </w:rPr>
                    <w:t>毒性中药饮片</w:t>
                  </w:r>
                </w:p>
              </w:tc>
              <w:tc>
                <w:tcPr>
                  <w:tcW w:w="922" w:type="pct"/>
                  <w:tcBorders>
                    <w:tl2br w:val="nil"/>
                    <w:tr2bl w:val="nil"/>
                  </w:tcBorders>
                  <w:shd w:val="clear" w:color="auto" w:fill="auto"/>
                  <w:noWrap w:val="0"/>
                  <w:vAlign w:val="center"/>
                </w:tcPr>
                <w:p w14:paraId="42D0F676">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cs="Times New Roman"/>
                      <w:b/>
                      <w:bCs/>
                      <w:kern w:val="2"/>
                      <w:sz w:val="21"/>
                      <w:szCs w:val="21"/>
                      <w:u w:val="single"/>
                      <w:lang w:val="en-US" w:eastAsia="zh-CN" w:bidi="ar-SA"/>
                    </w:rPr>
                  </w:pPr>
                  <w:r>
                    <w:rPr>
                      <w:rFonts w:hint="eastAsia" w:cs="Times New Roman"/>
                      <w:b/>
                      <w:bCs/>
                      <w:kern w:val="2"/>
                      <w:sz w:val="21"/>
                      <w:szCs w:val="21"/>
                      <w:u w:val="single"/>
                      <w:lang w:val="en-US" w:eastAsia="zh-CN" w:bidi="ar-SA"/>
                    </w:rPr>
                    <w:t>150</w:t>
                  </w:r>
                </w:p>
              </w:tc>
            </w:tr>
            <w:tr w14:paraId="1A3CC9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385" w:type="pct"/>
                  <w:vMerge w:val="continue"/>
                  <w:tcBorders>
                    <w:tl2br w:val="nil"/>
                    <w:tr2bl w:val="nil"/>
                  </w:tcBorders>
                  <w:shd w:val="clear" w:color="auto" w:fill="auto"/>
                  <w:noWrap w:val="0"/>
                  <w:vAlign w:val="center"/>
                </w:tcPr>
                <w:p w14:paraId="71B0E439">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eastAsia" w:cs="Times New Roman"/>
                      <w:b/>
                      <w:bCs/>
                      <w:kern w:val="2"/>
                      <w:sz w:val="21"/>
                      <w:szCs w:val="21"/>
                      <w:u w:val="single"/>
                      <w:lang w:val="en-US" w:eastAsia="zh-CN" w:bidi="ar-SA"/>
                    </w:rPr>
                  </w:pPr>
                </w:p>
              </w:tc>
              <w:tc>
                <w:tcPr>
                  <w:tcW w:w="1172" w:type="pct"/>
                  <w:tcBorders>
                    <w:tl2br w:val="nil"/>
                    <w:tr2bl w:val="nil"/>
                  </w:tcBorders>
                  <w:shd w:val="clear" w:color="auto" w:fill="auto"/>
                  <w:noWrap w:val="0"/>
                  <w:vAlign w:val="center"/>
                </w:tcPr>
                <w:p w14:paraId="40841313">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cs="Times New Roman"/>
                      <w:b/>
                      <w:bCs/>
                      <w:sz w:val="21"/>
                      <w:szCs w:val="21"/>
                      <w:u w:val="single"/>
                      <w:lang w:val="en-US" w:eastAsia="zh-CN"/>
                    </w:rPr>
                  </w:pPr>
                  <w:r>
                    <w:rPr>
                      <w:rFonts w:hint="eastAsia" w:cs="Times New Roman"/>
                      <w:b/>
                      <w:bCs/>
                      <w:sz w:val="21"/>
                      <w:szCs w:val="21"/>
                      <w:u w:val="single"/>
                      <w:lang w:val="en-US" w:eastAsia="zh-CN"/>
                    </w:rPr>
                    <w:t>口服产品中药材</w:t>
                  </w:r>
                </w:p>
              </w:tc>
              <w:tc>
                <w:tcPr>
                  <w:tcW w:w="939" w:type="pct"/>
                  <w:tcBorders>
                    <w:tl2br w:val="nil"/>
                    <w:tr2bl w:val="nil"/>
                  </w:tcBorders>
                  <w:shd w:val="clear" w:color="auto" w:fill="auto"/>
                  <w:noWrap w:val="0"/>
                  <w:vAlign w:val="center"/>
                </w:tcPr>
                <w:p w14:paraId="6BE4CD54">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cs="Times New Roman"/>
                      <w:b/>
                      <w:bCs/>
                      <w:sz w:val="21"/>
                      <w:szCs w:val="21"/>
                      <w:u w:val="single"/>
                      <w:lang w:val="en-US" w:eastAsia="zh-CN"/>
                    </w:rPr>
                  </w:pPr>
                  <w:r>
                    <w:rPr>
                      <w:rFonts w:hint="eastAsia" w:cs="Times New Roman"/>
                      <w:b/>
                      <w:bCs/>
                      <w:sz w:val="21"/>
                      <w:szCs w:val="21"/>
                      <w:u w:val="single"/>
                      <w:lang w:val="en-US" w:eastAsia="zh-CN"/>
                    </w:rPr>
                    <w:t>11</w:t>
                  </w:r>
                </w:p>
              </w:tc>
              <w:tc>
                <w:tcPr>
                  <w:tcW w:w="416" w:type="pct"/>
                  <w:vMerge w:val="continue"/>
                  <w:tcBorders>
                    <w:tl2br w:val="nil"/>
                    <w:tr2bl w:val="nil"/>
                  </w:tcBorders>
                  <w:shd w:val="clear" w:color="auto" w:fill="auto"/>
                  <w:noWrap w:val="0"/>
                  <w:vAlign w:val="center"/>
                </w:tcPr>
                <w:p w14:paraId="5B32608B">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eastAsia" w:cs="Times New Roman"/>
                      <w:b/>
                      <w:bCs/>
                      <w:kern w:val="2"/>
                      <w:sz w:val="21"/>
                      <w:szCs w:val="21"/>
                      <w:u w:val="single"/>
                      <w:lang w:val="en-US" w:eastAsia="zh-CN" w:bidi="ar-SA"/>
                    </w:rPr>
                  </w:pPr>
                </w:p>
              </w:tc>
              <w:tc>
                <w:tcPr>
                  <w:tcW w:w="1163" w:type="pct"/>
                  <w:tcBorders>
                    <w:tl2br w:val="nil"/>
                    <w:tr2bl w:val="nil"/>
                  </w:tcBorders>
                  <w:shd w:val="clear" w:color="auto" w:fill="auto"/>
                  <w:noWrap w:val="0"/>
                  <w:vAlign w:val="center"/>
                </w:tcPr>
                <w:p w14:paraId="0FC2059C">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cs="Times New Roman"/>
                      <w:b/>
                      <w:bCs/>
                      <w:kern w:val="2"/>
                      <w:sz w:val="21"/>
                      <w:szCs w:val="21"/>
                      <w:u w:val="single"/>
                      <w:lang w:val="en-US" w:eastAsia="zh-CN" w:bidi="ar-SA"/>
                    </w:rPr>
                  </w:pPr>
                  <w:r>
                    <w:rPr>
                      <w:rFonts w:hint="eastAsia" w:cs="Times New Roman"/>
                      <w:b/>
                      <w:bCs/>
                      <w:kern w:val="2"/>
                      <w:sz w:val="21"/>
                      <w:szCs w:val="21"/>
                      <w:u w:val="single"/>
                      <w:lang w:val="en-US" w:eastAsia="zh-CN" w:bidi="ar-SA"/>
                    </w:rPr>
                    <w:t>口服中药饮片</w:t>
                  </w:r>
                </w:p>
              </w:tc>
              <w:tc>
                <w:tcPr>
                  <w:tcW w:w="922" w:type="pct"/>
                  <w:tcBorders>
                    <w:tl2br w:val="nil"/>
                    <w:tr2bl w:val="nil"/>
                  </w:tcBorders>
                  <w:shd w:val="clear" w:color="auto" w:fill="auto"/>
                  <w:noWrap w:val="0"/>
                  <w:vAlign w:val="center"/>
                </w:tcPr>
                <w:p w14:paraId="200A4D8A">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cs="Times New Roman"/>
                      <w:b/>
                      <w:bCs/>
                      <w:kern w:val="2"/>
                      <w:sz w:val="21"/>
                      <w:szCs w:val="21"/>
                      <w:u w:val="single"/>
                      <w:lang w:val="en-US" w:eastAsia="zh-CN" w:bidi="ar-SA"/>
                    </w:rPr>
                  </w:pPr>
                  <w:r>
                    <w:rPr>
                      <w:rFonts w:hint="eastAsia" w:cs="Times New Roman"/>
                      <w:b/>
                      <w:bCs/>
                      <w:kern w:val="2"/>
                      <w:sz w:val="21"/>
                      <w:szCs w:val="21"/>
                      <w:u w:val="single"/>
                      <w:lang w:val="en-US" w:eastAsia="zh-CN" w:bidi="ar-SA"/>
                    </w:rPr>
                    <w:t>10</w:t>
                  </w:r>
                </w:p>
              </w:tc>
            </w:tr>
            <w:tr w14:paraId="6AB11C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385" w:type="pct"/>
                  <w:vMerge w:val="continue"/>
                  <w:tcBorders>
                    <w:tl2br w:val="nil"/>
                    <w:tr2bl w:val="nil"/>
                  </w:tcBorders>
                  <w:shd w:val="clear" w:color="auto" w:fill="auto"/>
                  <w:noWrap w:val="0"/>
                  <w:vAlign w:val="center"/>
                </w:tcPr>
                <w:p w14:paraId="791B39CD">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eastAsia" w:cs="Times New Roman"/>
                      <w:b/>
                      <w:bCs/>
                      <w:kern w:val="2"/>
                      <w:sz w:val="21"/>
                      <w:szCs w:val="21"/>
                      <w:u w:val="single"/>
                      <w:lang w:val="en-US" w:eastAsia="zh-CN" w:bidi="ar-SA"/>
                    </w:rPr>
                  </w:pPr>
                </w:p>
              </w:tc>
              <w:tc>
                <w:tcPr>
                  <w:tcW w:w="1172" w:type="pct"/>
                  <w:tcBorders>
                    <w:tl2br w:val="nil"/>
                    <w:tr2bl w:val="nil"/>
                  </w:tcBorders>
                  <w:shd w:val="clear" w:color="auto" w:fill="auto"/>
                  <w:noWrap w:val="0"/>
                  <w:vAlign w:val="center"/>
                </w:tcPr>
                <w:p w14:paraId="64693B91">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cs="Times New Roman"/>
                      <w:b/>
                      <w:bCs/>
                      <w:sz w:val="21"/>
                      <w:szCs w:val="21"/>
                      <w:u w:val="single"/>
                      <w:lang w:val="en-US" w:eastAsia="zh-CN"/>
                    </w:rPr>
                  </w:pPr>
                  <w:r>
                    <w:rPr>
                      <w:rFonts w:hint="eastAsia" w:cs="Times New Roman"/>
                      <w:b/>
                      <w:bCs/>
                      <w:sz w:val="21"/>
                      <w:szCs w:val="21"/>
                      <w:u w:val="single"/>
                      <w:lang w:val="en-US" w:eastAsia="zh-CN"/>
                    </w:rPr>
                    <w:t>保健食品类中药材</w:t>
                  </w:r>
                </w:p>
              </w:tc>
              <w:tc>
                <w:tcPr>
                  <w:tcW w:w="939" w:type="pct"/>
                  <w:tcBorders>
                    <w:tl2br w:val="nil"/>
                    <w:tr2bl w:val="nil"/>
                  </w:tcBorders>
                  <w:shd w:val="clear" w:color="auto" w:fill="auto"/>
                  <w:noWrap w:val="0"/>
                  <w:vAlign w:val="center"/>
                </w:tcPr>
                <w:p w14:paraId="177C0DCC">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cs="Times New Roman"/>
                      <w:b/>
                      <w:bCs/>
                      <w:sz w:val="21"/>
                      <w:szCs w:val="21"/>
                      <w:u w:val="single"/>
                      <w:lang w:val="en-US" w:eastAsia="zh-CN"/>
                    </w:rPr>
                  </w:pPr>
                  <w:r>
                    <w:rPr>
                      <w:rFonts w:hint="eastAsia" w:cs="Times New Roman"/>
                      <w:b/>
                      <w:bCs/>
                      <w:sz w:val="21"/>
                      <w:szCs w:val="21"/>
                      <w:u w:val="single"/>
                      <w:lang w:val="en-US" w:eastAsia="zh-CN"/>
                    </w:rPr>
                    <w:t>2000</w:t>
                  </w:r>
                </w:p>
              </w:tc>
              <w:tc>
                <w:tcPr>
                  <w:tcW w:w="416" w:type="pct"/>
                  <w:vMerge w:val="continue"/>
                  <w:tcBorders>
                    <w:tl2br w:val="nil"/>
                    <w:tr2bl w:val="nil"/>
                  </w:tcBorders>
                  <w:shd w:val="clear" w:color="auto" w:fill="auto"/>
                  <w:noWrap w:val="0"/>
                  <w:vAlign w:val="center"/>
                </w:tcPr>
                <w:p w14:paraId="7F780AF9">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eastAsia" w:cs="Times New Roman"/>
                      <w:b/>
                      <w:bCs/>
                      <w:kern w:val="2"/>
                      <w:sz w:val="21"/>
                      <w:szCs w:val="21"/>
                      <w:u w:val="single"/>
                      <w:lang w:val="en-US" w:eastAsia="zh-CN" w:bidi="ar-SA"/>
                    </w:rPr>
                  </w:pPr>
                </w:p>
              </w:tc>
              <w:tc>
                <w:tcPr>
                  <w:tcW w:w="1163" w:type="pct"/>
                  <w:tcBorders>
                    <w:tl2br w:val="nil"/>
                    <w:tr2bl w:val="nil"/>
                  </w:tcBorders>
                  <w:shd w:val="clear" w:color="auto" w:fill="auto"/>
                  <w:noWrap w:val="0"/>
                  <w:vAlign w:val="center"/>
                </w:tcPr>
                <w:p w14:paraId="5CC84F75">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cs="Times New Roman"/>
                      <w:b/>
                      <w:bCs/>
                      <w:kern w:val="2"/>
                      <w:sz w:val="21"/>
                      <w:szCs w:val="21"/>
                      <w:u w:val="single"/>
                      <w:lang w:val="en-US" w:eastAsia="zh-CN" w:bidi="ar-SA"/>
                    </w:rPr>
                  </w:pPr>
                  <w:r>
                    <w:rPr>
                      <w:rFonts w:hint="eastAsia" w:cs="Times New Roman"/>
                      <w:b/>
                      <w:bCs/>
                      <w:kern w:val="2"/>
                      <w:sz w:val="21"/>
                      <w:szCs w:val="21"/>
                      <w:u w:val="single"/>
                      <w:lang w:val="en-US" w:eastAsia="zh-CN" w:bidi="ar-SA"/>
                    </w:rPr>
                    <w:t>保健食品类</w:t>
                  </w:r>
                </w:p>
              </w:tc>
              <w:tc>
                <w:tcPr>
                  <w:tcW w:w="922" w:type="pct"/>
                  <w:tcBorders>
                    <w:tl2br w:val="nil"/>
                    <w:tr2bl w:val="nil"/>
                  </w:tcBorders>
                  <w:shd w:val="clear" w:color="auto" w:fill="auto"/>
                  <w:noWrap w:val="0"/>
                  <w:vAlign w:val="center"/>
                </w:tcPr>
                <w:p w14:paraId="502B5EE6">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cs="Times New Roman"/>
                      <w:b/>
                      <w:bCs/>
                      <w:kern w:val="2"/>
                      <w:sz w:val="21"/>
                      <w:szCs w:val="21"/>
                      <w:u w:val="single"/>
                      <w:lang w:val="en-US" w:eastAsia="zh-CN" w:bidi="ar-SA"/>
                    </w:rPr>
                  </w:pPr>
                  <w:r>
                    <w:rPr>
                      <w:rFonts w:hint="eastAsia" w:cs="Times New Roman"/>
                      <w:b/>
                      <w:bCs/>
                      <w:kern w:val="2"/>
                      <w:sz w:val="21"/>
                      <w:szCs w:val="21"/>
                      <w:u w:val="single"/>
                      <w:lang w:val="en-US" w:eastAsia="zh-CN" w:bidi="ar-SA"/>
                    </w:rPr>
                    <w:t>2000</w:t>
                  </w:r>
                </w:p>
              </w:tc>
            </w:tr>
            <w:tr w14:paraId="149280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558" w:type="pct"/>
                  <w:gridSpan w:val="2"/>
                  <w:tcBorders>
                    <w:tl2br w:val="nil"/>
                    <w:tr2bl w:val="nil"/>
                  </w:tcBorders>
                  <w:noWrap w:val="0"/>
                  <w:vAlign w:val="center"/>
                </w:tcPr>
                <w:p w14:paraId="5F5A9689">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ascii="Times New Roman" w:hAnsi="Times New Roman" w:eastAsia="宋体" w:cs="Times New Roman"/>
                      <w:b/>
                      <w:bCs/>
                      <w:sz w:val="21"/>
                      <w:szCs w:val="21"/>
                      <w:u w:val="single"/>
                      <w:lang w:val="en-US" w:eastAsia="zh-CN"/>
                    </w:rPr>
                  </w:pPr>
                  <w:r>
                    <w:rPr>
                      <w:rFonts w:hint="eastAsia" w:cs="Times New Roman"/>
                      <w:b/>
                      <w:bCs/>
                      <w:sz w:val="21"/>
                      <w:szCs w:val="21"/>
                      <w:u w:val="single"/>
                      <w:lang w:val="en-US" w:eastAsia="zh-CN"/>
                    </w:rPr>
                    <w:t>所有辅料（醋、盐、黄酒、麦麸、糊精、预胶化淀粉等）</w:t>
                  </w:r>
                </w:p>
              </w:tc>
              <w:tc>
                <w:tcPr>
                  <w:tcW w:w="939" w:type="pct"/>
                  <w:tcBorders>
                    <w:tl2br w:val="nil"/>
                    <w:tr2bl w:val="nil"/>
                  </w:tcBorders>
                  <w:noWrap w:val="0"/>
                  <w:vAlign w:val="center"/>
                </w:tcPr>
                <w:p w14:paraId="66207B85">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eastAsia="宋体" w:cs="Times New Roman"/>
                      <w:b/>
                      <w:bCs/>
                      <w:sz w:val="21"/>
                      <w:szCs w:val="21"/>
                      <w:u w:val="single"/>
                      <w:lang w:val="en-US" w:eastAsia="zh-CN"/>
                    </w:rPr>
                  </w:pPr>
                  <w:r>
                    <w:rPr>
                      <w:rFonts w:hint="eastAsia" w:cs="Times New Roman"/>
                      <w:b/>
                      <w:bCs/>
                      <w:sz w:val="21"/>
                      <w:szCs w:val="21"/>
                      <w:u w:val="single"/>
                      <w:lang w:val="en-US" w:eastAsia="zh-CN"/>
                    </w:rPr>
                    <w:t>2040</w:t>
                  </w:r>
                </w:p>
              </w:tc>
              <w:tc>
                <w:tcPr>
                  <w:tcW w:w="1579" w:type="pct"/>
                  <w:gridSpan w:val="2"/>
                  <w:tcBorders>
                    <w:tl2br w:val="nil"/>
                    <w:tr2bl w:val="nil"/>
                  </w:tcBorders>
                  <w:noWrap w:val="0"/>
                  <w:vAlign w:val="center"/>
                </w:tcPr>
                <w:p w14:paraId="604BCCD9">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ascii="Times New Roman" w:hAnsi="Times New Roman" w:eastAsia="宋体" w:cs="Times New Roman"/>
                      <w:b/>
                      <w:bCs/>
                      <w:kern w:val="2"/>
                      <w:sz w:val="21"/>
                      <w:szCs w:val="21"/>
                      <w:u w:val="single"/>
                      <w:lang w:val="en-US" w:eastAsia="zh-CN" w:bidi="ar-SA"/>
                    </w:rPr>
                  </w:pPr>
                  <w:r>
                    <w:rPr>
                      <w:rFonts w:hint="default" w:ascii="Times New Roman" w:hAnsi="Times New Roman" w:eastAsia="宋体" w:cs="Times New Roman"/>
                      <w:b/>
                      <w:bCs/>
                      <w:kern w:val="2"/>
                      <w:sz w:val="21"/>
                      <w:szCs w:val="21"/>
                      <w:u w:val="single"/>
                      <w:lang w:val="en-US" w:eastAsia="zh-CN" w:bidi="ar-SA"/>
                    </w:rPr>
                    <w:t>废药材及碎屑</w:t>
                  </w:r>
                </w:p>
              </w:tc>
              <w:tc>
                <w:tcPr>
                  <w:tcW w:w="922" w:type="pct"/>
                  <w:tcBorders>
                    <w:tl2br w:val="nil"/>
                    <w:tr2bl w:val="nil"/>
                  </w:tcBorders>
                  <w:noWrap w:val="0"/>
                  <w:vAlign w:val="center"/>
                </w:tcPr>
                <w:p w14:paraId="3E1BEBDA">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ascii="Times New Roman" w:hAnsi="Times New Roman" w:cs="Times New Roman"/>
                      <w:b/>
                      <w:bCs/>
                      <w:kern w:val="2"/>
                      <w:sz w:val="21"/>
                      <w:szCs w:val="21"/>
                      <w:u w:val="single"/>
                      <w:lang w:val="en-US" w:eastAsia="zh-CN" w:bidi="ar-SA"/>
                    </w:rPr>
                  </w:pPr>
                  <w:r>
                    <w:rPr>
                      <w:rFonts w:hint="eastAsia" w:cs="Times New Roman"/>
                      <w:b/>
                      <w:bCs/>
                      <w:kern w:val="2"/>
                      <w:sz w:val="21"/>
                      <w:szCs w:val="21"/>
                      <w:u w:val="single"/>
                      <w:lang w:val="en-US" w:eastAsia="zh-CN" w:bidi="ar-SA"/>
                    </w:rPr>
                    <w:t>94.8</w:t>
                  </w:r>
                </w:p>
              </w:tc>
            </w:tr>
            <w:tr w14:paraId="3B9530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1558" w:type="pct"/>
                  <w:gridSpan w:val="2"/>
                  <w:tcBorders>
                    <w:tl2br w:val="nil"/>
                    <w:tr2bl w:val="nil"/>
                  </w:tcBorders>
                  <w:shd w:val="clear" w:color="auto" w:fill="auto"/>
                  <w:noWrap w:val="0"/>
                  <w:vAlign w:val="center"/>
                </w:tcPr>
                <w:p w14:paraId="1C344355">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ascii="Times New Roman" w:hAnsi="Times New Roman" w:eastAsia="宋体" w:cs="Times New Roman"/>
                      <w:b/>
                      <w:bCs/>
                      <w:kern w:val="2"/>
                      <w:sz w:val="21"/>
                      <w:szCs w:val="21"/>
                      <w:u w:val="single"/>
                      <w:lang w:val="en-US" w:eastAsia="zh-CN" w:bidi="ar-SA"/>
                    </w:rPr>
                  </w:pPr>
                  <w:r>
                    <w:rPr>
                      <w:rFonts w:hint="eastAsia" w:cs="Times New Roman"/>
                      <w:b/>
                      <w:bCs/>
                      <w:kern w:val="2"/>
                      <w:sz w:val="21"/>
                      <w:szCs w:val="21"/>
                      <w:u w:val="single"/>
                      <w:lang w:val="en-US" w:eastAsia="zh-CN" w:bidi="ar-SA"/>
                    </w:rPr>
                    <w:t>新鲜水</w:t>
                  </w:r>
                </w:p>
              </w:tc>
              <w:tc>
                <w:tcPr>
                  <w:tcW w:w="939" w:type="pct"/>
                  <w:tcBorders>
                    <w:tl2br w:val="nil"/>
                    <w:tr2bl w:val="nil"/>
                  </w:tcBorders>
                  <w:shd w:val="clear" w:color="auto" w:fill="auto"/>
                  <w:noWrap w:val="0"/>
                  <w:vAlign w:val="center"/>
                </w:tcPr>
                <w:p w14:paraId="6297E1DE">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ascii="Times New Roman" w:hAnsi="Times New Roman" w:eastAsia="宋体" w:cs="Times New Roman"/>
                      <w:b/>
                      <w:bCs/>
                      <w:kern w:val="2"/>
                      <w:sz w:val="21"/>
                      <w:szCs w:val="21"/>
                      <w:u w:val="single"/>
                      <w:lang w:val="en-US" w:eastAsia="zh-CN" w:bidi="ar-SA"/>
                    </w:rPr>
                  </w:pPr>
                  <w:r>
                    <w:rPr>
                      <w:rFonts w:hint="eastAsia" w:cs="Times New Roman"/>
                      <w:b/>
                      <w:bCs/>
                      <w:kern w:val="2"/>
                      <w:sz w:val="21"/>
                      <w:szCs w:val="21"/>
                      <w:u w:val="single"/>
                      <w:lang w:val="en-US" w:eastAsia="zh-CN" w:bidi="ar-SA"/>
                    </w:rPr>
                    <w:t>103385.65</w:t>
                  </w:r>
                </w:p>
              </w:tc>
              <w:tc>
                <w:tcPr>
                  <w:tcW w:w="1579" w:type="pct"/>
                  <w:gridSpan w:val="2"/>
                  <w:tcBorders>
                    <w:tl2br w:val="nil"/>
                    <w:tr2bl w:val="nil"/>
                  </w:tcBorders>
                  <w:shd w:val="clear" w:color="auto" w:fill="auto"/>
                  <w:noWrap w:val="0"/>
                  <w:vAlign w:val="center"/>
                </w:tcPr>
                <w:p w14:paraId="4EF6D31A">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ascii="Times New Roman" w:hAnsi="Times New Roman" w:eastAsia="宋体" w:cs="Times New Roman"/>
                      <w:b/>
                      <w:bCs/>
                      <w:kern w:val="2"/>
                      <w:sz w:val="21"/>
                      <w:szCs w:val="21"/>
                      <w:u w:val="single"/>
                      <w:lang w:val="en-US" w:eastAsia="zh-CN" w:bidi="ar-SA"/>
                    </w:rPr>
                  </w:pPr>
                  <w:r>
                    <w:rPr>
                      <w:rFonts w:hint="eastAsia" w:cs="Times New Roman"/>
                      <w:b/>
                      <w:bCs/>
                      <w:kern w:val="2"/>
                      <w:sz w:val="21"/>
                      <w:szCs w:val="21"/>
                      <w:u w:val="single"/>
                      <w:lang w:val="en-US" w:eastAsia="zh-CN" w:bidi="ar-SA"/>
                    </w:rPr>
                    <w:t>药渣</w:t>
                  </w:r>
                </w:p>
              </w:tc>
              <w:tc>
                <w:tcPr>
                  <w:tcW w:w="922" w:type="pct"/>
                  <w:tcBorders>
                    <w:tl2br w:val="nil"/>
                    <w:tr2bl w:val="nil"/>
                  </w:tcBorders>
                  <w:shd w:val="clear" w:color="auto" w:fill="auto"/>
                  <w:noWrap w:val="0"/>
                  <w:vAlign w:val="center"/>
                </w:tcPr>
                <w:p w14:paraId="3C3486F9">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ascii="Times New Roman" w:hAnsi="Times New Roman" w:eastAsia="宋体" w:cs="Times New Roman"/>
                      <w:b/>
                      <w:bCs/>
                      <w:kern w:val="2"/>
                      <w:sz w:val="21"/>
                      <w:szCs w:val="21"/>
                      <w:u w:val="single"/>
                      <w:lang w:val="en-US" w:eastAsia="zh-CN" w:bidi="ar-SA"/>
                    </w:rPr>
                  </w:pPr>
                  <w:r>
                    <w:rPr>
                      <w:rFonts w:hint="eastAsia" w:cs="Times New Roman"/>
                      <w:b/>
                      <w:bCs/>
                      <w:kern w:val="2"/>
                      <w:sz w:val="21"/>
                      <w:szCs w:val="21"/>
                      <w:u w:val="single"/>
                      <w:lang w:val="en-US" w:eastAsia="zh-CN" w:bidi="ar-SA"/>
                    </w:rPr>
                    <w:t>964</w:t>
                  </w:r>
                </w:p>
              </w:tc>
            </w:tr>
            <w:tr w14:paraId="5A9CAD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1558" w:type="pct"/>
                  <w:gridSpan w:val="2"/>
                  <w:tcBorders>
                    <w:tl2br w:val="nil"/>
                    <w:tr2bl w:val="nil"/>
                  </w:tcBorders>
                  <w:shd w:val="clear" w:color="auto" w:fill="auto"/>
                  <w:noWrap w:val="0"/>
                  <w:vAlign w:val="center"/>
                </w:tcPr>
                <w:p w14:paraId="517AA2D6">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eastAsia" w:cs="Times New Roman"/>
                      <w:b/>
                      <w:bCs/>
                      <w:kern w:val="2"/>
                      <w:sz w:val="21"/>
                      <w:szCs w:val="21"/>
                      <w:u w:val="single"/>
                      <w:lang w:val="en-US" w:eastAsia="zh-CN" w:bidi="ar-SA"/>
                    </w:rPr>
                  </w:pPr>
                </w:p>
              </w:tc>
              <w:tc>
                <w:tcPr>
                  <w:tcW w:w="939" w:type="pct"/>
                  <w:tcBorders>
                    <w:tl2br w:val="nil"/>
                    <w:tr2bl w:val="nil"/>
                  </w:tcBorders>
                  <w:shd w:val="clear" w:color="auto" w:fill="auto"/>
                  <w:noWrap w:val="0"/>
                  <w:vAlign w:val="center"/>
                </w:tcPr>
                <w:p w14:paraId="43B1790F">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eastAsia" w:cs="Times New Roman"/>
                      <w:b/>
                      <w:bCs/>
                      <w:kern w:val="2"/>
                      <w:sz w:val="21"/>
                      <w:szCs w:val="21"/>
                      <w:u w:val="single"/>
                      <w:lang w:val="en-US" w:eastAsia="zh-CN" w:bidi="ar-SA"/>
                    </w:rPr>
                  </w:pPr>
                </w:p>
              </w:tc>
              <w:tc>
                <w:tcPr>
                  <w:tcW w:w="1579" w:type="pct"/>
                  <w:gridSpan w:val="2"/>
                  <w:tcBorders>
                    <w:tl2br w:val="nil"/>
                    <w:tr2bl w:val="nil"/>
                  </w:tcBorders>
                  <w:shd w:val="clear" w:color="auto" w:fill="auto"/>
                  <w:noWrap w:val="0"/>
                  <w:vAlign w:val="center"/>
                </w:tcPr>
                <w:p w14:paraId="60057C0D">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ascii="Times New Roman" w:hAnsi="Times New Roman" w:eastAsia="宋体" w:cs="Times New Roman"/>
                      <w:b/>
                      <w:bCs/>
                      <w:kern w:val="2"/>
                      <w:sz w:val="21"/>
                      <w:szCs w:val="21"/>
                      <w:u w:val="single"/>
                      <w:lang w:val="en-US" w:eastAsia="zh-CN" w:bidi="ar-SA"/>
                    </w:rPr>
                  </w:pPr>
                  <w:r>
                    <w:rPr>
                      <w:rFonts w:hint="eastAsia" w:cs="Times New Roman"/>
                      <w:b/>
                      <w:bCs/>
                      <w:kern w:val="2"/>
                      <w:sz w:val="21"/>
                      <w:szCs w:val="21"/>
                      <w:u w:val="single"/>
                      <w:lang w:val="en-US" w:eastAsia="zh-CN" w:bidi="ar-SA"/>
                    </w:rPr>
                    <w:t>除尘器</w:t>
                  </w:r>
                  <w:r>
                    <w:rPr>
                      <w:rFonts w:hint="default" w:ascii="Times New Roman" w:hAnsi="Times New Roman" w:eastAsia="宋体" w:cs="Times New Roman"/>
                      <w:b/>
                      <w:bCs/>
                      <w:kern w:val="2"/>
                      <w:sz w:val="21"/>
                      <w:szCs w:val="21"/>
                      <w:u w:val="single"/>
                      <w:lang w:val="en-US" w:eastAsia="zh-CN" w:bidi="ar-SA"/>
                    </w:rPr>
                    <w:t>收尘灰</w:t>
                  </w:r>
                </w:p>
              </w:tc>
              <w:tc>
                <w:tcPr>
                  <w:tcW w:w="922" w:type="pct"/>
                  <w:tcBorders>
                    <w:tl2br w:val="nil"/>
                    <w:tr2bl w:val="nil"/>
                  </w:tcBorders>
                  <w:shd w:val="clear" w:color="auto" w:fill="auto"/>
                  <w:noWrap w:val="0"/>
                  <w:vAlign w:val="center"/>
                </w:tcPr>
                <w:p w14:paraId="5D52796D">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ascii="Times New Roman" w:hAnsi="Times New Roman" w:eastAsia="宋体" w:cs="Times New Roman"/>
                      <w:b/>
                      <w:bCs/>
                      <w:kern w:val="2"/>
                      <w:sz w:val="21"/>
                      <w:szCs w:val="21"/>
                      <w:u w:val="single"/>
                      <w:lang w:val="en-US" w:eastAsia="zh-CN" w:bidi="ar-SA"/>
                    </w:rPr>
                  </w:pPr>
                  <w:r>
                    <w:rPr>
                      <w:rFonts w:hint="eastAsia" w:cs="Times New Roman"/>
                      <w:b/>
                      <w:bCs/>
                      <w:kern w:val="2"/>
                      <w:sz w:val="21"/>
                      <w:szCs w:val="21"/>
                      <w:u w:val="single"/>
                      <w:lang w:val="en-US" w:eastAsia="zh-CN" w:bidi="ar-SA"/>
                    </w:rPr>
                    <w:t>9.2739</w:t>
                  </w:r>
                </w:p>
              </w:tc>
            </w:tr>
            <w:tr w14:paraId="41A3BA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1558" w:type="pct"/>
                  <w:gridSpan w:val="2"/>
                  <w:tcBorders>
                    <w:tl2br w:val="nil"/>
                    <w:tr2bl w:val="nil"/>
                  </w:tcBorders>
                  <w:noWrap w:val="0"/>
                  <w:vAlign w:val="center"/>
                </w:tcPr>
                <w:p w14:paraId="3B75A2A7">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ascii="Times New Roman" w:hAnsi="Times New Roman" w:cs="Times New Roman"/>
                      <w:b/>
                      <w:bCs/>
                      <w:kern w:val="2"/>
                      <w:sz w:val="21"/>
                      <w:szCs w:val="21"/>
                      <w:u w:val="single"/>
                      <w:lang w:val="en-US" w:eastAsia="zh-CN" w:bidi="ar-SA"/>
                    </w:rPr>
                  </w:pPr>
                </w:p>
              </w:tc>
              <w:tc>
                <w:tcPr>
                  <w:tcW w:w="939" w:type="pct"/>
                  <w:tcBorders>
                    <w:tl2br w:val="nil"/>
                    <w:tr2bl w:val="nil"/>
                  </w:tcBorders>
                  <w:noWrap w:val="0"/>
                  <w:vAlign w:val="center"/>
                </w:tcPr>
                <w:p w14:paraId="4BBAD461">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ascii="Times New Roman" w:hAnsi="Times New Roman" w:cs="Times New Roman"/>
                      <w:b/>
                      <w:bCs/>
                      <w:sz w:val="21"/>
                      <w:szCs w:val="21"/>
                      <w:u w:val="single"/>
                      <w:lang w:val="en-US" w:eastAsia="zh-CN"/>
                    </w:rPr>
                  </w:pPr>
                </w:p>
              </w:tc>
              <w:tc>
                <w:tcPr>
                  <w:tcW w:w="1579" w:type="pct"/>
                  <w:gridSpan w:val="2"/>
                  <w:tcBorders>
                    <w:tl2br w:val="nil"/>
                    <w:tr2bl w:val="nil"/>
                  </w:tcBorders>
                  <w:noWrap w:val="0"/>
                  <w:vAlign w:val="center"/>
                </w:tcPr>
                <w:p w14:paraId="4277BFC6">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ascii="Times New Roman" w:hAnsi="Times New Roman" w:cs="Times New Roman"/>
                      <w:b/>
                      <w:bCs/>
                      <w:kern w:val="2"/>
                      <w:sz w:val="21"/>
                      <w:szCs w:val="21"/>
                      <w:u w:val="single"/>
                      <w:lang w:val="en-US" w:eastAsia="zh-CN" w:bidi="ar-SA"/>
                    </w:rPr>
                  </w:pPr>
                  <w:r>
                    <w:rPr>
                      <w:rFonts w:hint="eastAsia" w:cs="Times New Roman"/>
                      <w:b/>
                      <w:bCs/>
                      <w:kern w:val="2"/>
                      <w:sz w:val="21"/>
                      <w:szCs w:val="21"/>
                      <w:u w:val="single"/>
                      <w:lang w:val="en-US" w:eastAsia="zh-CN" w:bidi="ar-SA"/>
                    </w:rPr>
                    <w:t>有组织废气带走</w:t>
                  </w:r>
                </w:p>
              </w:tc>
              <w:tc>
                <w:tcPr>
                  <w:tcW w:w="922" w:type="pct"/>
                  <w:tcBorders>
                    <w:tl2br w:val="nil"/>
                    <w:tr2bl w:val="nil"/>
                  </w:tcBorders>
                  <w:noWrap w:val="0"/>
                  <w:vAlign w:val="center"/>
                </w:tcPr>
                <w:p w14:paraId="22DACC7F">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ascii="Times New Roman" w:hAnsi="Times New Roman" w:cs="Times New Roman"/>
                      <w:b/>
                      <w:bCs/>
                      <w:kern w:val="2"/>
                      <w:sz w:val="21"/>
                      <w:szCs w:val="21"/>
                      <w:u w:val="single"/>
                      <w:lang w:val="en-US" w:eastAsia="zh-CN" w:bidi="ar-SA"/>
                    </w:rPr>
                  </w:pPr>
                  <w:r>
                    <w:rPr>
                      <w:rFonts w:hint="eastAsia" w:cs="Times New Roman"/>
                      <w:b/>
                      <w:bCs/>
                      <w:kern w:val="2"/>
                      <w:sz w:val="21"/>
                      <w:szCs w:val="21"/>
                      <w:u w:val="single"/>
                      <w:lang w:val="en-US" w:eastAsia="zh-CN" w:bidi="ar-SA"/>
                    </w:rPr>
                    <w:t>0.1361</w:t>
                  </w:r>
                </w:p>
              </w:tc>
            </w:tr>
            <w:tr w14:paraId="0CD521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1558" w:type="pct"/>
                  <w:gridSpan w:val="2"/>
                  <w:tcBorders>
                    <w:tl2br w:val="nil"/>
                    <w:tr2bl w:val="nil"/>
                  </w:tcBorders>
                  <w:noWrap w:val="0"/>
                  <w:vAlign w:val="center"/>
                </w:tcPr>
                <w:p w14:paraId="4E252720">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ascii="Times New Roman" w:hAnsi="Times New Roman" w:cs="Times New Roman"/>
                      <w:b/>
                      <w:bCs/>
                      <w:sz w:val="21"/>
                      <w:szCs w:val="21"/>
                      <w:u w:val="single"/>
                      <w:lang w:val="en-US" w:eastAsia="zh-CN"/>
                    </w:rPr>
                  </w:pPr>
                </w:p>
              </w:tc>
              <w:tc>
                <w:tcPr>
                  <w:tcW w:w="939" w:type="pct"/>
                  <w:tcBorders>
                    <w:tl2br w:val="nil"/>
                    <w:tr2bl w:val="nil"/>
                  </w:tcBorders>
                  <w:noWrap w:val="0"/>
                  <w:vAlign w:val="center"/>
                </w:tcPr>
                <w:p w14:paraId="60CCB52F">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ascii="Times New Roman" w:hAnsi="Times New Roman" w:cs="Times New Roman"/>
                      <w:b/>
                      <w:bCs/>
                      <w:sz w:val="21"/>
                      <w:szCs w:val="21"/>
                      <w:u w:val="single"/>
                      <w:lang w:val="en-US" w:eastAsia="zh-CN"/>
                    </w:rPr>
                  </w:pPr>
                </w:p>
              </w:tc>
              <w:tc>
                <w:tcPr>
                  <w:tcW w:w="1579" w:type="pct"/>
                  <w:gridSpan w:val="2"/>
                  <w:tcBorders>
                    <w:tl2br w:val="nil"/>
                    <w:tr2bl w:val="nil"/>
                  </w:tcBorders>
                  <w:noWrap w:val="0"/>
                  <w:vAlign w:val="center"/>
                </w:tcPr>
                <w:p w14:paraId="5D540321">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ascii="Times New Roman" w:hAnsi="Times New Roman" w:eastAsia="宋体" w:cs="Times New Roman"/>
                      <w:b/>
                      <w:bCs/>
                      <w:sz w:val="21"/>
                      <w:szCs w:val="21"/>
                      <w:u w:val="single"/>
                      <w:lang w:val="en-US" w:eastAsia="zh-CN"/>
                    </w:rPr>
                  </w:pPr>
                  <w:r>
                    <w:rPr>
                      <w:rFonts w:hint="eastAsia" w:cs="Times New Roman"/>
                      <w:b/>
                      <w:bCs/>
                      <w:sz w:val="21"/>
                      <w:szCs w:val="21"/>
                      <w:u w:val="single"/>
                      <w:lang w:val="en-US" w:eastAsia="zh-CN"/>
                    </w:rPr>
                    <w:t>无组织排放粉尘</w:t>
                  </w:r>
                </w:p>
              </w:tc>
              <w:tc>
                <w:tcPr>
                  <w:tcW w:w="922" w:type="pct"/>
                  <w:tcBorders>
                    <w:tl2br w:val="nil"/>
                    <w:tr2bl w:val="nil"/>
                  </w:tcBorders>
                  <w:noWrap w:val="0"/>
                  <w:vAlign w:val="center"/>
                </w:tcPr>
                <w:p w14:paraId="57493293">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ascii="Times New Roman" w:hAnsi="Times New Roman" w:eastAsia="宋体" w:cs="Times New Roman"/>
                      <w:b/>
                      <w:bCs/>
                      <w:sz w:val="21"/>
                      <w:szCs w:val="21"/>
                      <w:u w:val="single"/>
                      <w:lang w:val="en-US" w:eastAsia="zh-CN"/>
                    </w:rPr>
                  </w:pPr>
                  <w:r>
                    <w:rPr>
                      <w:rFonts w:hint="eastAsia" w:cs="Times New Roman"/>
                      <w:b/>
                      <w:bCs/>
                      <w:sz w:val="21"/>
                      <w:szCs w:val="21"/>
                      <w:u w:val="single"/>
                      <w:lang w:val="en-US" w:eastAsia="zh-CN"/>
                    </w:rPr>
                    <w:t>0.4400</w:t>
                  </w:r>
                </w:p>
              </w:tc>
            </w:tr>
            <w:tr w14:paraId="11F283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1558" w:type="pct"/>
                  <w:gridSpan w:val="2"/>
                  <w:tcBorders>
                    <w:tl2br w:val="nil"/>
                    <w:tr2bl w:val="nil"/>
                  </w:tcBorders>
                  <w:noWrap w:val="0"/>
                  <w:vAlign w:val="center"/>
                </w:tcPr>
                <w:p w14:paraId="7443013B">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ascii="Times New Roman" w:hAnsi="Times New Roman" w:cs="Times New Roman"/>
                      <w:b/>
                      <w:bCs/>
                      <w:sz w:val="21"/>
                      <w:szCs w:val="21"/>
                      <w:u w:val="single"/>
                      <w:lang w:val="en-US" w:eastAsia="zh-CN"/>
                    </w:rPr>
                  </w:pPr>
                </w:p>
              </w:tc>
              <w:tc>
                <w:tcPr>
                  <w:tcW w:w="939" w:type="pct"/>
                  <w:tcBorders>
                    <w:tl2br w:val="nil"/>
                    <w:tr2bl w:val="nil"/>
                  </w:tcBorders>
                  <w:noWrap w:val="0"/>
                  <w:vAlign w:val="center"/>
                </w:tcPr>
                <w:p w14:paraId="7AAEF9CE">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ascii="Times New Roman" w:hAnsi="Times New Roman" w:cs="Times New Roman"/>
                      <w:b/>
                      <w:bCs/>
                      <w:sz w:val="21"/>
                      <w:szCs w:val="21"/>
                      <w:u w:val="single"/>
                      <w:lang w:val="en-US" w:eastAsia="zh-CN"/>
                    </w:rPr>
                  </w:pPr>
                </w:p>
              </w:tc>
              <w:tc>
                <w:tcPr>
                  <w:tcW w:w="1579" w:type="pct"/>
                  <w:gridSpan w:val="2"/>
                  <w:tcBorders>
                    <w:tl2br w:val="nil"/>
                    <w:tr2bl w:val="nil"/>
                  </w:tcBorders>
                  <w:noWrap w:val="0"/>
                  <w:vAlign w:val="center"/>
                </w:tcPr>
                <w:p w14:paraId="3C5D4D7D">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ascii="Times New Roman" w:hAnsi="Times New Roman" w:cs="Times New Roman"/>
                      <w:b/>
                      <w:bCs/>
                      <w:sz w:val="21"/>
                      <w:szCs w:val="21"/>
                      <w:u w:val="single"/>
                      <w:lang w:val="en-US" w:eastAsia="zh-CN"/>
                    </w:rPr>
                  </w:pPr>
                  <w:r>
                    <w:rPr>
                      <w:rFonts w:hint="eastAsia" w:cs="Times New Roman"/>
                      <w:b/>
                      <w:bCs/>
                      <w:sz w:val="21"/>
                      <w:szCs w:val="21"/>
                      <w:u w:val="single"/>
                      <w:lang w:val="en-US" w:eastAsia="zh-CN"/>
                    </w:rPr>
                    <w:t>废水带走</w:t>
                  </w:r>
                </w:p>
              </w:tc>
              <w:tc>
                <w:tcPr>
                  <w:tcW w:w="922" w:type="pct"/>
                  <w:tcBorders>
                    <w:tl2br w:val="nil"/>
                    <w:tr2bl w:val="nil"/>
                  </w:tcBorders>
                  <w:noWrap w:val="0"/>
                  <w:vAlign w:val="center"/>
                </w:tcPr>
                <w:p w14:paraId="76D6BB66">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ascii="Times New Roman" w:hAnsi="Times New Roman" w:cs="Times New Roman"/>
                      <w:b/>
                      <w:bCs/>
                      <w:sz w:val="21"/>
                      <w:szCs w:val="21"/>
                      <w:u w:val="single"/>
                      <w:lang w:val="en-US" w:eastAsia="zh-CN"/>
                    </w:rPr>
                  </w:pPr>
                  <w:r>
                    <w:rPr>
                      <w:rFonts w:hint="default" w:ascii="Times New Roman" w:hAnsi="Times New Roman" w:cs="Times New Roman"/>
                      <w:b/>
                      <w:bCs/>
                      <w:sz w:val="21"/>
                      <w:szCs w:val="21"/>
                      <w:u w:val="single"/>
                      <w:lang w:val="en-US" w:eastAsia="zh-CN"/>
                    </w:rPr>
                    <w:t>56184.92</w:t>
                  </w:r>
                </w:p>
              </w:tc>
            </w:tr>
            <w:tr w14:paraId="283A32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1558" w:type="pct"/>
                  <w:gridSpan w:val="2"/>
                  <w:tcBorders>
                    <w:tl2br w:val="nil"/>
                    <w:tr2bl w:val="nil"/>
                  </w:tcBorders>
                  <w:noWrap w:val="0"/>
                  <w:vAlign w:val="center"/>
                </w:tcPr>
                <w:p w14:paraId="73E59831">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ascii="Times New Roman" w:hAnsi="Times New Roman" w:cs="Times New Roman"/>
                      <w:b/>
                      <w:bCs/>
                      <w:sz w:val="21"/>
                      <w:szCs w:val="21"/>
                      <w:u w:val="single"/>
                      <w:lang w:val="en-US" w:eastAsia="zh-CN"/>
                    </w:rPr>
                  </w:pPr>
                </w:p>
              </w:tc>
              <w:tc>
                <w:tcPr>
                  <w:tcW w:w="939" w:type="pct"/>
                  <w:tcBorders>
                    <w:tl2br w:val="nil"/>
                    <w:tr2bl w:val="nil"/>
                  </w:tcBorders>
                  <w:noWrap w:val="0"/>
                  <w:vAlign w:val="center"/>
                </w:tcPr>
                <w:p w14:paraId="6114B728">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ascii="Times New Roman" w:hAnsi="Times New Roman" w:cs="Times New Roman"/>
                      <w:b/>
                      <w:bCs/>
                      <w:sz w:val="21"/>
                      <w:szCs w:val="21"/>
                      <w:u w:val="single"/>
                      <w:lang w:val="en-US" w:eastAsia="zh-CN"/>
                    </w:rPr>
                  </w:pPr>
                </w:p>
              </w:tc>
              <w:tc>
                <w:tcPr>
                  <w:tcW w:w="1579" w:type="pct"/>
                  <w:gridSpan w:val="2"/>
                  <w:tcBorders>
                    <w:tl2br w:val="nil"/>
                    <w:tr2bl w:val="nil"/>
                  </w:tcBorders>
                  <w:noWrap w:val="0"/>
                  <w:vAlign w:val="center"/>
                </w:tcPr>
                <w:p w14:paraId="02A866EA">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cs="Times New Roman"/>
                      <w:b/>
                      <w:bCs/>
                      <w:sz w:val="21"/>
                      <w:szCs w:val="21"/>
                      <w:u w:val="single"/>
                      <w:lang w:val="en-US" w:eastAsia="zh-CN"/>
                    </w:rPr>
                  </w:pPr>
                  <w:r>
                    <w:rPr>
                      <w:rFonts w:hint="eastAsia" w:cs="Times New Roman"/>
                      <w:b/>
                      <w:bCs/>
                      <w:sz w:val="21"/>
                      <w:szCs w:val="21"/>
                      <w:u w:val="single"/>
                      <w:lang w:val="en-US" w:eastAsia="zh-CN"/>
                    </w:rPr>
                    <w:t>其他损耗</w:t>
                  </w:r>
                </w:p>
              </w:tc>
              <w:tc>
                <w:tcPr>
                  <w:tcW w:w="922" w:type="pct"/>
                  <w:tcBorders>
                    <w:tl2br w:val="nil"/>
                    <w:tr2bl w:val="nil"/>
                  </w:tcBorders>
                  <w:noWrap w:val="0"/>
                  <w:vAlign w:val="center"/>
                </w:tcPr>
                <w:p w14:paraId="078FE3E5">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ascii="Times New Roman" w:hAnsi="Times New Roman" w:cs="Times New Roman"/>
                      <w:b/>
                      <w:bCs/>
                      <w:sz w:val="21"/>
                      <w:szCs w:val="21"/>
                      <w:u w:val="single"/>
                      <w:lang w:val="en-US" w:eastAsia="zh-CN"/>
                    </w:rPr>
                  </w:pPr>
                  <w:r>
                    <w:rPr>
                      <w:rFonts w:hint="eastAsia" w:cs="Times New Roman"/>
                      <w:b/>
                      <w:bCs/>
                      <w:sz w:val="21"/>
                      <w:szCs w:val="21"/>
                      <w:u w:val="single"/>
                      <w:lang w:val="en-US" w:eastAsia="zh-CN"/>
                    </w:rPr>
                    <w:t>49683.08</w:t>
                  </w:r>
                </w:p>
              </w:tc>
            </w:tr>
            <w:tr w14:paraId="6EF970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1558" w:type="pct"/>
                  <w:gridSpan w:val="2"/>
                  <w:tcBorders>
                    <w:tl2br w:val="nil"/>
                    <w:tr2bl w:val="nil"/>
                  </w:tcBorders>
                  <w:noWrap w:val="0"/>
                  <w:vAlign w:val="center"/>
                </w:tcPr>
                <w:p w14:paraId="716E0543">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ascii="Times New Roman" w:hAnsi="Times New Roman" w:cs="Times New Roman"/>
                      <w:b/>
                      <w:bCs/>
                      <w:sz w:val="21"/>
                      <w:szCs w:val="21"/>
                      <w:u w:val="single"/>
                      <w:lang w:val="en-US" w:eastAsia="zh-CN"/>
                    </w:rPr>
                  </w:pPr>
                  <w:r>
                    <w:rPr>
                      <w:rFonts w:hint="eastAsia" w:cs="Times New Roman"/>
                      <w:b/>
                      <w:bCs/>
                      <w:sz w:val="21"/>
                      <w:szCs w:val="21"/>
                      <w:u w:val="single"/>
                      <w:lang w:val="en-US" w:eastAsia="zh-CN"/>
                    </w:rPr>
                    <w:t>合计</w:t>
                  </w:r>
                </w:p>
              </w:tc>
              <w:tc>
                <w:tcPr>
                  <w:tcW w:w="939" w:type="pct"/>
                  <w:tcBorders>
                    <w:tl2br w:val="nil"/>
                    <w:tr2bl w:val="nil"/>
                  </w:tcBorders>
                  <w:noWrap w:val="0"/>
                  <w:vAlign w:val="center"/>
                </w:tcPr>
                <w:p w14:paraId="7373641A">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ascii="Times New Roman" w:hAnsi="Times New Roman" w:cs="Times New Roman"/>
                      <w:b/>
                      <w:bCs/>
                      <w:sz w:val="21"/>
                      <w:szCs w:val="21"/>
                      <w:u w:val="single"/>
                      <w:lang w:val="en-US" w:eastAsia="zh-CN"/>
                    </w:rPr>
                  </w:pPr>
                  <w:r>
                    <w:rPr>
                      <w:rFonts w:hint="eastAsia" w:cs="Times New Roman"/>
                      <w:b/>
                      <w:bCs/>
                      <w:sz w:val="21"/>
                      <w:szCs w:val="21"/>
                      <w:u w:val="single"/>
                      <w:lang w:val="en-US" w:eastAsia="zh-CN"/>
                    </w:rPr>
                    <w:t>110596.65</w:t>
                  </w:r>
                </w:p>
              </w:tc>
              <w:tc>
                <w:tcPr>
                  <w:tcW w:w="1579" w:type="pct"/>
                  <w:gridSpan w:val="2"/>
                  <w:tcBorders>
                    <w:tl2br w:val="nil"/>
                    <w:tr2bl w:val="nil"/>
                  </w:tcBorders>
                  <w:noWrap w:val="0"/>
                  <w:vAlign w:val="center"/>
                </w:tcPr>
                <w:p w14:paraId="1095C896">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cs="Times New Roman"/>
                      <w:b/>
                      <w:bCs/>
                      <w:sz w:val="21"/>
                      <w:szCs w:val="21"/>
                      <w:u w:val="single"/>
                      <w:lang w:val="en-US" w:eastAsia="zh-CN"/>
                    </w:rPr>
                  </w:pPr>
                  <w:r>
                    <w:rPr>
                      <w:rFonts w:hint="eastAsia" w:cs="Times New Roman"/>
                      <w:b/>
                      <w:bCs/>
                      <w:sz w:val="21"/>
                      <w:szCs w:val="21"/>
                      <w:u w:val="single"/>
                      <w:lang w:val="en-US" w:eastAsia="zh-CN"/>
                    </w:rPr>
                    <w:t>合计</w:t>
                  </w:r>
                </w:p>
              </w:tc>
              <w:tc>
                <w:tcPr>
                  <w:tcW w:w="922" w:type="pct"/>
                  <w:tcBorders>
                    <w:tl2br w:val="nil"/>
                    <w:tr2bl w:val="nil"/>
                  </w:tcBorders>
                  <w:noWrap w:val="0"/>
                  <w:vAlign w:val="center"/>
                </w:tcPr>
                <w:p w14:paraId="64FD4750">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ascii="Times New Roman" w:hAnsi="Times New Roman" w:cs="Times New Roman"/>
                      <w:b/>
                      <w:bCs/>
                      <w:sz w:val="21"/>
                      <w:szCs w:val="21"/>
                      <w:u w:val="single"/>
                      <w:lang w:val="en-US" w:eastAsia="zh-CN"/>
                    </w:rPr>
                  </w:pPr>
                  <w:r>
                    <w:rPr>
                      <w:rFonts w:hint="eastAsia" w:cs="Times New Roman"/>
                      <w:b/>
                      <w:bCs/>
                      <w:sz w:val="21"/>
                      <w:szCs w:val="21"/>
                      <w:u w:val="single"/>
                      <w:lang w:val="en-US" w:eastAsia="zh-CN"/>
                    </w:rPr>
                    <w:t>110596.65</w:t>
                  </w:r>
                </w:p>
              </w:tc>
            </w:tr>
          </w:tbl>
          <w:p w14:paraId="32DAEEC7">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425" w:leftChars="0" w:hanging="425" w:firstLineChars="0"/>
              <w:jc w:val="center"/>
              <w:textAlignment w:val="auto"/>
              <w:rPr>
                <w:rFonts w:hint="eastAsia" w:ascii="Times New Roman" w:hAnsi="Times New Roman" w:eastAsia="宋体" w:cs="Times New Roman"/>
                <w:b/>
                <w:bCs/>
                <w:color w:val="000000" w:themeColor="text1"/>
                <w:sz w:val="21"/>
                <w:szCs w:val="21"/>
                <w:u w:val="single"/>
                <w:lang w:val="en-US" w:eastAsia="zh-CN"/>
                <w14:textFill>
                  <w14:solidFill>
                    <w14:schemeClr w14:val="tx1"/>
                  </w14:solidFill>
                </w14:textFill>
              </w:rPr>
            </w:pPr>
            <w:r>
              <w:rPr>
                <w:rFonts w:hint="eastAsia" w:cs="Times New Roman"/>
                <w:b/>
                <w:bCs/>
                <w:color w:val="000000" w:themeColor="text1"/>
                <w:sz w:val="21"/>
                <w:szCs w:val="21"/>
                <w:u w:val="single"/>
                <w:lang w:val="en-US" w:eastAsia="zh-CN"/>
                <w14:textFill>
                  <w14:solidFill>
                    <w14:schemeClr w14:val="tx1"/>
                  </w14:solidFill>
                </w14:textFill>
              </w:rPr>
              <w:t>项目毒性饮片物料平衡</w:t>
            </w:r>
            <w:r>
              <w:rPr>
                <w:rFonts w:hint="eastAsia" w:ascii="Times New Roman" w:hAnsi="Times New Roman" w:eastAsia="宋体" w:cs="Times New Roman"/>
                <w:b/>
                <w:bCs/>
                <w:color w:val="000000" w:themeColor="text1"/>
                <w:sz w:val="21"/>
                <w:szCs w:val="21"/>
                <w:u w:val="single"/>
                <w:lang w:val="en-US" w:eastAsia="zh-CN"/>
                <w14:textFill>
                  <w14:solidFill>
                    <w14:schemeClr w14:val="tx1"/>
                  </w14:solidFill>
                </w14:textFill>
              </w:rPr>
              <w:t>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41"/>
              <w:gridCol w:w="2144"/>
              <w:gridCol w:w="2144"/>
              <w:gridCol w:w="2150"/>
            </w:tblGrid>
            <w:tr w14:paraId="645889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97" w:type="pct"/>
                  <w:gridSpan w:val="2"/>
                  <w:tcBorders>
                    <w:tl2br w:val="nil"/>
                    <w:tr2bl w:val="nil"/>
                  </w:tcBorders>
                  <w:noWrap w:val="0"/>
                  <w:vAlign w:val="center"/>
                </w:tcPr>
                <w:p w14:paraId="298C3829">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sz w:val="21"/>
                      <w:szCs w:val="21"/>
                      <w:u w:val="single"/>
                    </w:rPr>
                  </w:pPr>
                  <w:r>
                    <w:rPr>
                      <w:rFonts w:hint="eastAsia" w:cs="Times New Roman"/>
                      <w:b/>
                      <w:bCs/>
                      <w:sz w:val="21"/>
                      <w:szCs w:val="21"/>
                      <w:u w:val="single"/>
                      <w:lang w:val="en-US" w:eastAsia="zh-CN"/>
                    </w:rPr>
                    <w:t>输入原料</w:t>
                  </w:r>
                </w:p>
              </w:tc>
              <w:tc>
                <w:tcPr>
                  <w:tcW w:w="2502" w:type="pct"/>
                  <w:gridSpan w:val="2"/>
                  <w:tcBorders>
                    <w:tl2br w:val="nil"/>
                    <w:tr2bl w:val="nil"/>
                  </w:tcBorders>
                  <w:noWrap w:val="0"/>
                  <w:vAlign w:val="center"/>
                </w:tcPr>
                <w:p w14:paraId="3F7B6A77">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sz w:val="21"/>
                      <w:szCs w:val="21"/>
                      <w:u w:val="single"/>
                    </w:rPr>
                  </w:pPr>
                  <w:r>
                    <w:rPr>
                      <w:rFonts w:hint="eastAsia" w:cs="Times New Roman"/>
                      <w:b/>
                      <w:bCs/>
                      <w:sz w:val="21"/>
                      <w:szCs w:val="21"/>
                      <w:u w:val="single"/>
                      <w:lang w:val="en-US" w:eastAsia="zh-CN"/>
                    </w:rPr>
                    <w:t>输出原料</w:t>
                  </w:r>
                </w:p>
              </w:tc>
            </w:tr>
            <w:tr w14:paraId="3A8310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248" w:type="pct"/>
                  <w:tcBorders>
                    <w:tl2br w:val="nil"/>
                    <w:tr2bl w:val="nil"/>
                  </w:tcBorders>
                  <w:shd w:val="clear" w:color="auto" w:fill="auto"/>
                  <w:noWrap w:val="0"/>
                  <w:vAlign w:val="center"/>
                </w:tcPr>
                <w:p w14:paraId="0471BDD8">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kern w:val="2"/>
                      <w:sz w:val="21"/>
                      <w:szCs w:val="21"/>
                      <w:u w:val="single"/>
                      <w:lang w:val="en-US" w:eastAsia="zh-CN" w:bidi="ar-SA"/>
                    </w:rPr>
                  </w:pPr>
                  <w:r>
                    <w:rPr>
                      <w:rFonts w:hint="eastAsia" w:cs="Times New Roman"/>
                      <w:b/>
                      <w:bCs/>
                      <w:kern w:val="2"/>
                      <w:sz w:val="21"/>
                      <w:szCs w:val="21"/>
                      <w:u w:val="single"/>
                      <w:lang w:val="en-US" w:eastAsia="zh-CN" w:bidi="ar-SA"/>
                    </w:rPr>
                    <w:t>名称</w:t>
                  </w:r>
                </w:p>
              </w:tc>
              <w:tc>
                <w:tcPr>
                  <w:tcW w:w="1248" w:type="pct"/>
                  <w:tcBorders>
                    <w:tl2br w:val="nil"/>
                    <w:tr2bl w:val="nil"/>
                  </w:tcBorders>
                  <w:shd w:val="clear" w:color="auto" w:fill="auto"/>
                  <w:noWrap w:val="0"/>
                  <w:vAlign w:val="center"/>
                </w:tcPr>
                <w:p w14:paraId="419C47F6">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kern w:val="2"/>
                      <w:sz w:val="21"/>
                      <w:szCs w:val="21"/>
                      <w:u w:val="single"/>
                      <w:lang w:val="en-US" w:eastAsia="zh-CN" w:bidi="ar-SA"/>
                    </w:rPr>
                  </w:pPr>
                  <w:r>
                    <w:rPr>
                      <w:rFonts w:hint="eastAsia" w:cs="Times New Roman"/>
                      <w:b/>
                      <w:bCs/>
                      <w:kern w:val="2"/>
                      <w:sz w:val="21"/>
                      <w:szCs w:val="21"/>
                      <w:u w:val="single"/>
                      <w:lang w:val="en-US" w:eastAsia="zh-CN" w:bidi="ar-SA"/>
                    </w:rPr>
                    <w:t>数量（t/a）</w:t>
                  </w:r>
                </w:p>
              </w:tc>
              <w:tc>
                <w:tcPr>
                  <w:tcW w:w="1249" w:type="pct"/>
                  <w:tcBorders>
                    <w:tl2br w:val="nil"/>
                    <w:tr2bl w:val="nil"/>
                  </w:tcBorders>
                  <w:shd w:val="clear" w:color="auto" w:fill="auto"/>
                  <w:noWrap w:val="0"/>
                  <w:vAlign w:val="center"/>
                </w:tcPr>
                <w:p w14:paraId="7B32248A">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kern w:val="2"/>
                      <w:sz w:val="21"/>
                      <w:szCs w:val="21"/>
                      <w:u w:val="single"/>
                      <w:lang w:val="en-US" w:eastAsia="zh-CN" w:bidi="ar-SA"/>
                    </w:rPr>
                  </w:pPr>
                  <w:r>
                    <w:rPr>
                      <w:rFonts w:hint="eastAsia" w:cs="Times New Roman"/>
                      <w:b/>
                      <w:bCs/>
                      <w:kern w:val="2"/>
                      <w:sz w:val="21"/>
                      <w:szCs w:val="21"/>
                      <w:u w:val="single"/>
                      <w:lang w:val="en-US" w:eastAsia="zh-CN" w:bidi="ar-SA"/>
                    </w:rPr>
                    <w:t>名称</w:t>
                  </w:r>
                </w:p>
              </w:tc>
              <w:tc>
                <w:tcPr>
                  <w:tcW w:w="1252" w:type="pct"/>
                  <w:tcBorders>
                    <w:tl2br w:val="nil"/>
                    <w:tr2bl w:val="nil"/>
                  </w:tcBorders>
                  <w:shd w:val="clear" w:color="auto" w:fill="auto"/>
                  <w:noWrap w:val="0"/>
                  <w:vAlign w:val="center"/>
                </w:tcPr>
                <w:p w14:paraId="08298DD0">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bCs/>
                      <w:kern w:val="2"/>
                      <w:sz w:val="21"/>
                      <w:szCs w:val="21"/>
                      <w:u w:val="single"/>
                      <w:lang w:val="en-US" w:eastAsia="zh-CN" w:bidi="ar-SA"/>
                    </w:rPr>
                  </w:pPr>
                  <w:r>
                    <w:rPr>
                      <w:rFonts w:hint="eastAsia" w:cs="Times New Roman"/>
                      <w:b/>
                      <w:bCs/>
                      <w:kern w:val="2"/>
                      <w:sz w:val="21"/>
                      <w:szCs w:val="21"/>
                      <w:u w:val="single"/>
                      <w:lang w:val="en-US" w:eastAsia="zh-CN" w:bidi="ar-SA"/>
                    </w:rPr>
                    <w:t>数量（t/a）</w:t>
                  </w:r>
                </w:p>
              </w:tc>
            </w:tr>
            <w:tr w14:paraId="0E1200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1248" w:type="pct"/>
                  <w:tcBorders>
                    <w:tl2br w:val="nil"/>
                    <w:tr2bl w:val="nil"/>
                  </w:tcBorders>
                  <w:shd w:val="clear" w:color="auto" w:fill="auto"/>
                  <w:noWrap w:val="0"/>
                  <w:vAlign w:val="center"/>
                </w:tcPr>
                <w:p w14:paraId="18519C6B">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kern w:val="2"/>
                      <w:sz w:val="21"/>
                      <w:szCs w:val="21"/>
                      <w:u w:val="single"/>
                      <w:lang w:val="en-US" w:eastAsia="zh-CN" w:bidi="ar-SA"/>
                    </w:rPr>
                  </w:pPr>
                  <w:r>
                    <w:rPr>
                      <w:rFonts w:hint="eastAsia" w:cs="Times New Roman"/>
                      <w:b/>
                      <w:bCs/>
                      <w:kern w:val="2"/>
                      <w:sz w:val="21"/>
                      <w:szCs w:val="21"/>
                      <w:u w:val="single"/>
                      <w:lang w:val="en-US" w:eastAsia="zh-CN" w:bidi="ar-SA"/>
                    </w:rPr>
                    <w:t>毒性中药原材料</w:t>
                  </w:r>
                </w:p>
              </w:tc>
              <w:tc>
                <w:tcPr>
                  <w:tcW w:w="1248" w:type="pct"/>
                  <w:tcBorders>
                    <w:tl2br w:val="nil"/>
                    <w:tr2bl w:val="nil"/>
                  </w:tcBorders>
                  <w:shd w:val="clear" w:color="auto" w:fill="auto"/>
                  <w:noWrap w:val="0"/>
                  <w:vAlign w:val="center"/>
                </w:tcPr>
                <w:p w14:paraId="30173BC9">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kern w:val="2"/>
                      <w:sz w:val="21"/>
                      <w:szCs w:val="21"/>
                      <w:u w:val="single"/>
                      <w:lang w:val="en-US" w:eastAsia="zh-CN" w:bidi="ar-SA"/>
                    </w:rPr>
                  </w:pPr>
                  <w:r>
                    <w:rPr>
                      <w:rFonts w:hint="eastAsia" w:cs="Times New Roman"/>
                      <w:b/>
                      <w:bCs/>
                      <w:kern w:val="2"/>
                      <w:sz w:val="21"/>
                      <w:szCs w:val="21"/>
                      <w:u w:val="single"/>
                      <w:lang w:val="en-US" w:eastAsia="zh-CN" w:bidi="ar-SA"/>
                    </w:rPr>
                    <w:t>160</w:t>
                  </w:r>
                </w:p>
              </w:tc>
              <w:tc>
                <w:tcPr>
                  <w:tcW w:w="1249" w:type="pct"/>
                  <w:tcBorders>
                    <w:tl2br w:val="nil"/>
                    <w:tr2bl w:val="nil"/>
                  </w:tcBorders>
                  <w:shd w:val="clear" w:color="auto" w:fill="auto"/>
                  <w:noWrap w:val="0"/>
                  <w:vAlign w:val="center"/>
                </w:tcPr>
                <w:p w14:paraId="1E5D371E">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bCs/>
                      <w:kern w:val="2"/>
                      <w:sz w:val="21"/>
                      <w:szCs w:val="21"/>
                      <w:u w:val="single"/>
                      <w:lang w:val="en-US" w:eastAsia="zh-CN" w:bidi="ar-SA"/>
                    </w:rPr>
                  </w:pPr>
                  <w:r>
                    <w:rPr>
                      <w:rFonts w:hint="eastAsia" w:cs="Times New Roman"/>
                      <w:b/>
                      <w:bCs/>
                      <w:kern w:val="2"/>
                      <w:sz w:val="21"/>
                      <w:szCs w:val="21"/>
                      <w:u w:val="single"/>
                      <w:lang w:val="en-US" w:eastAsia="zh-CN" w:bidi="ar-SA"/>
                    </w:rPr>
                    <w:t>毒性中药饮片</w:t>
                  </w:r>
                </w:p>
              </w:tc>
              <w:tc>
                <w:tcPr>
                  <w:tcW w:w="1252" w:type="pct"/>
                  <w:tcBorders>
                    <w:tl2br w:val="nil"/>
                    <w:tr2bl w:val="nil"/>
                  </w:tcBorders>
                  <w:shd w:val="clear" w:color="auto" w:fill="auto"/>
                  <w:noWrap w:val="0"/>
                  <w:vAlign w:val="center"/>
                </w:tcPr>
                <w:p w14:paraId="0A762722">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bCs/>
                      <w:kern w:val="2"/>
                      <w:sz w:val="21"/>
                      <w:szCs w:val="21"/>
                      <w:u w:val="single"/>
                      <w:lang w:val="en-US" w:eastAsia="zh-CN" w:bidi="ar-SA"/>
                    </w:rPr>
                  </w:pPr>
                  <w:r>
                    <w:rPr>
                      <w:rFonts w:hint="eastAsia" w:cs="Times New Roman"/>
                      <w:b/>
                      <w:bCs/>
                      <w:kern w:val="2"/>
                      <w:sz w:val="21"/>
                      <w:szCs w:val="21"/>
                      <w:u w:val="single"/>
                      <w:lang w:val="en-US" w:eastAsia="zh-CN" w:bidi="ar-SA"/>
                    </w:rPr>
                    <w:t>150</w:t>
                  </w:r>
                </w:p>
              </w:tc>
            </w:tr>
            <w:tr w14:paraId="641A19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1248" w:type="pct"/>
                  <w:tcBorders>
                    <w:tl2br w:val="nil"/>
                    <w:tr2bl w:val="nil"/>
                  </w:tcBorders>
                  <w:noWrap w:val="0"/>
                  <w:vAlign w:val="center"/>
                </w:tcPr>
                <w:p w14:paraId="53249624">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z w:val="21"/>
                      <w:szCs w:val="21"/>
                      <w:u w:val="single"/>
                      <w:lang w:val="en-US" w:eastAsia="zh-CN"/>
                    </w:rPr>
                  </w:pPr>
                  <w:r>
                    <w:rPr>
                      <w:rFonts w:hint="eastAsia" w:cs="Times New Roman"/>
                      <w:b/>
                      <w:bCs/>
                      <w:sz w:val="21"/>
                      <w:szCs w:val="21"/>
                      <w:u w:val="single"/>
                      <w:lang w:val="en-US" w:eastAsia="zh-CN"/>
                    </w:rPr>
                    <w:t>辅料</w:t>
                  </w:r>
                </w:p>
              </w:tc>
              <w:tc>
                <w:tcPr>
                  <w:tcW w:w="1248" w:type="pct"/>
                  <w:tcBorders>
                    <w:tl2br w:val="nil"/>
                    <w:tr2bl w:val="nil"/>
                  </w:tcBorders>
                  <w:noWrap w:val="0"/>
                  <w:vAlign w:val="center"/>
                </w:tcPr>
                <w:p w14:paraId="67B9CBE9">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b/>
                      <w:bCs/>
                      <w:sz w:val="21"/>
                      <w:szCs w:val="21"/>
                      <w:u w:val="single"/>
                      <w:lang w:val="en-US" w:eastAsia="zh-CN"/>
                    </w:rPr>
                  </w:pPr>
                  <w:r>
                    <w:rPr>
                      <w:rFonts w:hint="eastAsia" w:cs="Times New Roman"/>
                      <w:b/>
                      <w:bCs/>
                      <w:sz w:val="21"/>
                      <w:szCs w:val="21"/>
                      <w:u w:val="single"/>
                      <w:lang w:val="en-US" w:eastAsia="zh-CN"/>
                    </w:rPr>
                    <w:t>2</w:t>
                  </w:r>
                </w:p>
              </w:tc>
              <w:tc>
                <w:tcPr>
                  <w:tcW w:w="1249" w:type="pct"/>
                  <w:tcBorders>
                    <w:tl2br w:val="nil"/>
                    <w:tr2bl w:val="nil"/>
                  </w:tcBorders>
                  <w:shd w:val="clear" w:color="auto" w:fill="auto"/>
                  <w:noWrap w:val="0"/>
                  <w:vAlign w:val="center"/>
                </w:tcPr>
                <w:p w14:paraId="591B96E7">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ascii="Times New Roman" w:hAnsi="Times New Roman" w:eastAsia="宋体" w:cs="Times New Roman"/>
                      <w:b/>
                      <w:bCs/>
                      <w:kern w:val="2"/>
                      <w:sz w:val="21"/>
                      <w:szCs w:val="21"/>
                      <w:u w:val="single"/>
                      <w:lang w:val="en-US" w:eastAsia="zh-CN" w:bidi="ar-SA"/>
                    </w:rPr>
                  </w:pPr>
                  <w:r>
                    <w:rPr>
                      <w:rFonts w:hint="default" w:ascii="Times New Roman" w:hAnsi="Times New Roman" w:eastAsia="宋体" w:cs="Times New Roman"/>
                      <w:b/>
                      <w:bCs/>
                      <w:kern w:val="2"/>
                      <w:sz w:val="21"/>
                      <w:szCs w:val="21"/>
                      <w:u w:val="single"/>
                      <w:lang w:val="en-US" w:eastAsia="zh-CN" w:bidi="ar-SA"/>
                    </w:rPr>
                    <w:t>废药材及碎屑</w:t>
                  </w:r>
                </w:p>
              </w:tc>
              <w:tc>
                <w:tcPr>
                  <w:tcW w:w="1252" w:type="pct"/>
                  <w:tcBorders>
                    <w:tl2br w:val="nil"/>
                    <w:tr2bl w:val="nil"/>
                  </w:tcBorders>
                  <w:noWrap w:val="0"/>
                  <w:vAlign w:val="center"/>
                </w:tcPr>
                <w:p w14:paraId="26823B8A">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kern w:val="2"/>
                      <w:sz w:val="21"/>
                      <w:szCs w:val="21"/>
                      <w:u w:val="single"/>
                      <w:lang w:val="en-US" w:eastAsia="zh-CN" w:bidi="ar-SA"/>
                    </w:rPr>
                  </w:pPr>
                  <w:r>
                    <w:rPr>
                      <w:rFonts w:hint="eastAsia" w:cs="Times New Roman"/>
                      <w:b/>
                      <w:bCs/>
                      <w:kern w:val="2"/>
                      <w:sz w:val="21"/>
                      <w:szCs w:val="21"/>
                      <w:u w:val="single"/>
                      <w:lang w:val="en-US" w:eastAsia="zh-CN" w:bidi="ar-SA"/>
                    </w:rPr>
                    <w:t>4.8</w:t>
                  </w:r>
                </w:p>
              </w:tc>
            </w:tr>
            <w:tr w14:paraId="5AB4B1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1248" w:type="pct"/>
                  <w:tcBorders>
                    <w:tl2br w:val="nil"/>
                    <w:tr2bl w:val="nil"/>
                  </w:tcBorders>
                  <w:shd w:val="clear" w:color="auto" w:fill="auto"/>
                  <w:noWrap w:val="0"/>
                  <w:vAlign w:val="center"/>
                </w:tcPr>
                <w:p w14:paraId="76318157">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kern w:val="2"/>
                      <w:sz w:val="21"/>
                      <w:szCs w:val="21"/>
                      <w:u w:val="single"/>
                      <w:lang w:val="en-US" w:eastAsia="zh-CN" w:bidi="ar-SA"/>
                    </w:rPr>
                  </w:pPr>
                  <w:r>
                    <w:rPr>
                      <w:rFonts w:hint="eastAsia" w:cs="Times New Roman"/>
                      <w:b/>
                      <w:bCs/>
                      <w:kern w:val="2"/>
                      <w:sz w:val="21"/>
                      <w:szCs w:val="21"/>
                      <w:u w:val="single"/>
                      <w:lang w:val="en-US" w:eastAsia="zh-CN" w:bidi="ar-SA"/>
                    </w:rPr>
                    <w:t>新鲜水</w:t>
                  </w:r>
                </w:p>
              </w:tc>
              <w:tc>
                <w:tcPr>
                  <w:tcW w:w="1248" w:type="pct"/>
                  <w:tcBorders>
                    <w:tl2br w:val="nil"/>
                    <w:tr2bl w:val="nil"/>
                  </w:tcBorders>
                  <w:shd w:val="clear" w:color="auto" w:fill="auto"/>
                  <w:noWrap w:val="0"/>
                  <w:vAlign w:val="center"/>
                </w:tcPr>
                <w:p w14:paraId="2E2EFB28">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kern w:val="2"/>
                      <w:sz w:val="21"/>
                      <w:szCs w:val="21"/>
                      <w:u w:val="single"/>
                      <w:lang w:val="en-US" w:eastAsia="zh-CN" w:bidi="ar-SA"/>
                    </w:rPr>
                  </w:pPr>
                  <w:r>
                    <w:rPr>
                      <w:rFonts w:hint="eastAsia" w:cs="Times New Roman"/>
                      <w:b/>
                      <w:bCs/>
                      <w:kern w:val="2"/>
                      <w:sz w:val="21"/>
                      <w:szCs w:val="21"/>
                      <w:u w:val="single"/>
                      <w:lang w:val="en-US" w:eastAsia="zh-CN" w:bidi="ar-SA"/>
                    </w:rPr>
                    <w:t>9190.78</w:t>
                  </w:r>
                </w:p>
              </w:tc>
              <w:tc>
                <w:tcPr>
                  <w:tcW w:w="1249" w:type="pct"/>
                  <w:tcBorders>
                    <w:tl2br w:val="nil"/>
                    <w:tr2bl w:val="nil"/>
                  </w:tcBorders>
                  <w:shd w:val="clear" w:color="auto" w:fill="auto"/>
                  <w:noWrap w:val="0"/>
                  <w:vAlign w:val="center"/>
                </w:tcPr>
                <w:p w14:paraId="6CA0314F">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ascii="Times New Roman" w:hAnsi="Times New Roman" w:eastAsia="宋体" w:cs="Times New Roman"/>
                      <w:b/>
                      <w:bCs/>
                      <w:kern w:val="2"/>
                      <w:sz w:val="21"/>
                      <w:szCs w:val="21"/>
                      <w:u w:val="single"/>
                      <w:lang w:val="en-US" w:eastAsia="zh-CN" w:bidi="ar-SA"/>
                    </w:rPr>
                  </w:pPr>
                  <w:r>
                    <w:rPr>
                      <w:rFonts w:hint="eastAsia" w:cs="Times New Roman"/>
                      <w:b/>
                      <w:bCs/>
                      <w:kern w:val="2"/>
                      <w:sz w:val="21"/>
                      <w:szCs w:val="21"/>
                      <w:u w:val="single"/>
                      <w:lang w:val="en-US" w:eastAsia="zh-CN" w:bidi="ar-SA"/>
                    </w:rPr>
                    <w:t>药渣</w:t>
                  </w:r>
                </w:p>
              </w:tc>
              <w:tc>
                <w:tcPr>
                  <w:tcW w:w="1252" w:type="pct"/>
                  <w:tcBorders>
                    <w:tl2br w:val="nil"/>
                    <w:tr2bl w:val="nil"/>
                  </w:tcBorders>
                  <w:shd w:val="clear" w:color="auto" w:fill="auto"/>
                  <w:noWrap w:val="0"/>
                  <w:vAlign w:val="center"/>
                </w:tcPr>
                <w:p w14:paraId="47B2A305">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kern w:val="2"/>
                      <w:sz w:val="21"/>
                      <w:szCs w:val="21"/>
                      <w:u w:val="single"/>
                      <w:lang w:val="en-US" w:eastAsia="zh-CN" w:bidi="ar-SA"/>
                    </w:rPr>
                  </w:pPr>
                  <w:r>
                    <w:rPr>
                      <w:rFonts w:hint="eastAsia" w:cs="Times New Roman"/>
                      <w:b/>
                      <w:bCs/>
                      <w:kern w:val="2"/>
                      <w:sz w:val="21"/>
                      <w:szCs w:val="21"/>
                      <w:u w:val="single"/>
                      <w:lang w:val="en-US" w:eastAsia="zh-CN" w:bidi="ar-SA"/>
                    </w:rPr>
                    <w:t>4</w:t>
                  </w:r>
                </w:p>
              </w:tc>
            </w:tr>
            <w:tr w14:paraId="582E1C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1248" w:type="pct"/>
                  <w:tcBorders>
                    <w:tl2br w:val="nil"/>
                    <w:tr2bl w:val="nil"/>
                  </w:tcBorders>
                  <w:noWrap w:val="0"/>
                  <w:vAlign w:val="center"/>
                </w:tcPr>
                <w:p w14:paraId="00DC4960">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kern w:val="2"/>
                      <w:sz w:val="21"/>
                      <w:szCs w:val="21"/>
                      <w:u w:val="single"/>
                      <w:lang w:val="en-US" w:eastAsia="zh-CN" w:bidi="ar-SA"/>
                    </w:rPr>
                  </w:pPr>
                </w:p>
              </w:tc>
              <w:tc>
                <w:tcPr>
                  <w:tcW w:w="1248" w:type="pct"/>
                  <w:tcBorders>
                    <w:tl2br w:val="nil"/>
                    <w:tr2bl w:val="nil"/>
                  </w:tcBorders>
                  <w:noWrap w:val="0"/>
                  <w:vAlign w:val="center"/>
                </w:tcPr>
                <w:p w14:paraId="5D1DE588">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sz w:val="21"/>
                      <w:szCs w:val="21"/>
                      <w:u w:val="single"/>
                      <w:lang w:val="en-US" w:eastAsia="zh-CN"/>
                    </w:rPr>
                  </w:pPr>
                </w:p>
              </w:tc>
              <w:tc>
                <w:tcPr>
                  <w:tcW w:w="1249" w:type="pct"/>
                  <w:tcBorders>
                    <w:tl2br w:val="nil"/>
                    <w:tr2bl w:val="nil"/>
                  </w:tcBorders>
                  <w:shd w:val="clear" w:color="auto" w:fill="auto"/>
                  <w:noWrap w:val="0"/>
                  <w:vAlign w:val="center"/>
                </w:tcPr>
                <w:p w14:paraId="529E4950">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ascii="Times New Roman" w:hAnsi="Times New Roman" w:eastAsia="宋体" w:cs="Times New Roman"/>
                      <w:b/>
                      <w:bCs/>
                      <w:kern w:val="2"/>
                      <w:sz w:val="21"/>
                      <w:szCs w:val="21"/>
                      <w:u w:val="single"/>
                      <w:lang w:val="en-US" w:eastAsia="zh-CN" w:bidi="ar-SA"/>
                    </w:rPr>
                  </w:pPr>
                  <w:r>
                    <w:rPr>
                      <w:rFonts w:hint="eastAsia" w:cs="Times New Roman"/>
                      <w:b/>
                      <w:bCs/>
                      <w:kern w:val="2"/>
                      <w:sz w:val="21"/>
                      <w:szCs w:val="21"/>
                      <w:u w:val="single"/>
                      <w:lang w:val="en-US" w:eastAsia="zh-CN" w:bidi="ar-SA"/>
                    </w:rPr>
                    <w:t>除尘器</w:t>
                  </w:r>
                  <w:r>
                    <w:rPr>
                      <w:rFonts w:hint="default" w:ascii="Times New Roman" w:hAnsi="Times New Roman" w:eastAsia="宋体" w:cs="Times New Roman"/>
                      <w:b/>
                      <w:bCs/>
                      <w:kern w:val="2"/>
                      <w:sz w:val="21"/>
                      <w:szCs w:val="21"/>
                      <w:u w:val="single"/>
                      <w:lang w:val="en-US" w:eastAsia="zh-CN" w:bidi="ar-SA"/>
                    </w:rPr>
                    <w:t>收尘灰</w:t>
                  </w:r>
                </w:p>
              </w:tc>
              <w:tc>
                <w:tcPr>
                  <w:tcW w:w="1252" w:type="pct"/>
                  <w:tcBorders>
                    <w:tl2br w:val="nil"/>
                    <w:tr2bl w:val="nil"/>
                  </w:tcBorders>
                  <w:noWrap w:val="0"/>
                  <w:vAlign w:val="center"/>
                </w:tcPr>
                <w:p w14:paraId="54F5774B">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kern w:val="2"/>
                      <w:sz w:val="21"/>
                      <w:szCs w:val="21"/>
                      <w:u w:val="single"/>
                      <w:lang w:val="en-US" w:eastAsia="zh-CN" w:bidi="ar-SA"/>
                    </w:rPr>
                  </w:pPr>
                  <w:r>
                    <w:rPr>
                      <w:rFonts w:hint="eastAsia" w:cs="Times New Roman"/>
                      <w:b/>
                      <w:bCs/>
                      <w:kern w:val="2"/>
                      <w:sz w:val="21"/>
                      <w:szCs w:val="21"/>
                      <w:u w:val="single"/>
                      <w:lang w:val="en-US" w:eastAsia="zh-CN" w:bidi="ar-SA"/>
                    </w:rPr>
                    <w:t>0.7524</w:t>
                  </w:r>
                </w:p>
              </w:tc>
            </w:tr>
            <w:tr w14:paraId="656515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1248" w:type="pct"/>
                  <w:tcBorders>
                    <w:tl2br w:val="nil"/>
                    <w:tr2bl w:val="nil"/>
                  </w:tcBorders>
                  <w:noWrap w:val="0"/>
                  <w:vAlign w:val="center"/>
                </w:tcPr>
                <w:p w14:paraId="7EFD498E">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sz w:val="21"/>
                      <w:szCs w:val="21"/>
                      <w:u w:val="single"/>
                      <w:lang w:val="en-US" w:eastAsia="zh-CN"/>
                    </w:rPr>
                  </w:pPr>
                </w:p>
              </w:tc>
              <w:tc>
                <w:tcPr>
                  <w:tcW w:w="1248" w:type="pct"/>
                  <w:tcBorders>
                    <w:tl2br w:val="nil"/>
                    <w:tr2bl w:val="nil"/>
                  </w:tcBorders>
                  <w:noWrap w:val="0"/>
                  <w:vAlign w:val="center"/>
                </w:tcPr>
                <w:p w14:paraId="0BDC5545">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sz w:val="21"/>
                      <w:szCs w:val="21"/>
                      <w:u w:val="single"/>
                      <w:lang w:val="en-US" w:eastAsia="zh-CN"/>
                    </w:rPr>
                  </w:pPr>
                </w:p>
              </w:tc>
              <w:tc>
                <w:tcPr>
                  <w:tcW w:w="1249" w:type="pct"/>
                  <w:tcBorders>
                    <w:tl2br w:val="nil"/>
                    <w:tr2bl w:val="nil"/>
                  </w:tcBorders>
                  <w:shd w:val="clear" w:color="auto" w:fill="auto"/>
                  <w:noWrap w:val="0"/>
                  <w:vAlign w:val="center"/>
                </w:tcPr>
                <w:p w14:paraId="3F4287B9">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ascii="Times New Roman" w:hAnsi="Times New Roman" w:eastAsia="宋体" w:cs="Times New Roman"/>
                      <w:b/>
                      <w:bCs/>
                      <w:kern w:val="2"/>
                      <w:sz w:val="21"/>
                      <w:szCs w:val="21"/>
                      <w:u w:val="single"/>
                      <w:lang w:val="en-US" w:eastAsia="zh-CN" w:bidi="ar-SA"/>
                    </w:rPr>
                  </w:pPr>
                  <w:r>
                    <w:rPr>
                      <w:rFonts w:hint="eastAsia" w:cs="Times New Roman"/>
                      <w:b/>
                      <w:bCs/>
                      <w:kern w:val="2"/>
                      <w:sz w:val="21"/>
                      <w:szCs w:val="21"/>
                      <w:u w:val="single"/>
                      <w:lang w:val="en-US" w:eastAsia="zh-CN" w:bidi="ar-SA"/>
                    </w:rPr>
                    <w:t>有组织废气带走</w:t>
                  </w:r>
                </w:p>
              </w:tc>
              <w:tc>
                <w:tcPr>
                  <w:tcW w:w="1252" w:type="pct"/>
                  <w:tcBorders>
                    <w:tl2br w:val="nil"/>
                    <w:tr2bl w:val="nil"/>
                  </w:tcBorders>
                  <w:noWrap w:val="0"/>
                  <w:vAlign w:val="center"/>
                </w:tcPr>
                <w:p w14:paraId="4DEF9AB3">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z w:val="21"/>
                      <w:szCs w:val="21"/>
                      <w:u w:val="single"/>
                      <w:lang w:val="en-US" w:eastAsia="zh-CN"/>
                    </w:rPr>
                  </w:pPr>
                  <w:r>
                    <w:rPr>
                      <w:rFonts w:hint="eastAsia" w:cs="Times New Roman"/>
                      <w:b/>
                      <w:bCs/>
                      <w:sz w:val="21"/>
                      <w:szCs w:val="21"/>
                      <w:u w:val="single"/>
                      <w:lang w:val="en-US" w:eastAsia="zh-CN"/>
                    </w:rPr>
                    <w:t>0.0076</w:t>
                  </w:r>
                </w:p>
              </w:tc>
            </w:tr>
            <w:tr w14:paraId="3C339C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1248" w:type="pct"/>
                  <w:tcBorders>
                    <w:tl2br w:val="nil"/>
                    <w:tr2bl w:val="nil"/>
                  </w:tcBorders>
                  <w:noWrap w:val="0"/>
                  <w:vAlign w:val="center"/>
                </w:tcPr>
                <w:p w14:paraId="0A8B1039">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sz w:val="21"/>
                      <w:szCs w:val="21"/>
                      <w:u w:val="single"/>
                      <w:lang w:val="en-US" w:eastAsia="zh-CN"/>
                    </w:rPr>
                  </w:pPr>
                </w:p>
              </w:tc>
              <w:tc>
                <w:tcPr>
                  <w:tcW w:w="1248" w:type="pct"/>
                  <w:tcBorders>
                    <w:tl2br w:val="nil"/>
                    <w:tr2bl w:val="nil"/>
                  </w:tcBorders>
                  <w:noWrap w:val="0"/>
                  <w:vAlign w:val="center"/>
                </w:tcPr>
                <w:p w14:paraId="54D3108C">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sz w:val="21"/>
                      <w:szCs w:val="21"/>
                      <w:u w:val="single"/>
                      <w:lang w:val="en-US" w:eastAsia="zh-CN"/>
                    </w:rPr>
                  </w:pPr>
                </w:p>
              </w:tc>
              <w:tc>
                <w:tcPr>
                  <w:tcW w:w="1249" w:type="pct"/>
                  <w:tcBorders>
                    <w:tl2br w:val="nil"/>
                    <w:tr2bl w:val="nil"/>
                  </w:tcBorders>
                  <w:shd w:val="clear" w:color="auto" w:fill="auto"/>
                  <w:noWrap w:val="0"/>
                  <w:vAlign w:val="center"/>
                </w:tcPr>
                <w:p w14:paraId="731C0EBD">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ascii="Times New Roman" w:hAnsi="Times New Roman" w:eastAsia="宋体" w:cs="Times New Roman"/>
                      <w:b/>
                      <w:bCs/>
                      <w:kern w:val="2"/>
                      <w:sz w:val="21"/>
                      <w:szCs w:val="21"/>
                      <w:u w:val="single"/>
                      <w:lang w:val="en-US" w:eastAsia="zh-CN" w:bidi="ar-SA"/>
                    </w:rPr>
                  </w:pPr>
                  <w:r>
                    <w:rPr>
                      <w:rFonts w:hint="eastAsia" w:cs="Times New Roman"/>
                      <w:b/>
                      <w:bCs/>
                      <w:sz w:val="21"/>
                      <w:szCs w:val="21"/>
                      <w:u w:val="single"/>
                      <w:lang w:val="en-US" w:eastAsia="zh-CN"/>
                    </w:rPr>
                    <w:t>无组织排放粉尘</w:t>
                  </w:r>
                </w:p>
              </w:tc>
              <w:tc>
                <w:tcPr>
                  <w:tcW w:w="1252" w:type="pct"/>
                  <w:tcBorders>
                    <w:tl2br w:val="nil"/>
                    <w:tr2bl w:val="nil"/>
                  </w:tcBorders>
                  <w:noWrap w:val="0"/>
                  <w:vAlign w:val="center"/>
                </w:tcPr>
                <w:p w14:paraId="1EA9F4FA">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z w:val="21"/>
                      <w:szCs w:val="21"/>
                      <w:u w:val="single"/>
                      <w:lang w:val="en-US" w:eastAsia="zh-CN"/>
                    </w:rPr>
                  </w:pPr>
                  <w:r>
                    <w:rPr>
                      <w:rFonts w:hint="eastAsia" w:cs="Times New Roman"/>
                      <w:b/>
                      <w:bCs/>
                      <w:sz w:val="21"/>
                      <w:szCs w:val="21"/>
                      <w:u w:val="single"/>
                      <w:lang w:val="en-US" w:eastAsia="zh-CN"/>
                    </w:rPr>
                    <w:t>0.0400</w:t>
                  </w:r>
                </w:p>
              </w:tc>
            </w:tr>
            <w:tr w14:paraId="57CA60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1248" w:type="pct"/>
                  <w:tcBorders>
                    <w:tl2br w:val="nil"/>
                    <w:tr2bl w:val="nil"/>
                  </w:tcBorders>
                  <w:noWrap w:val="0"/>
                  <w:vAlign w:val="center"/>
                </w:tcPr>
                <w:p w14:paraId="61CC4584">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sz w:val="21"/>
                      <w:szCs w:val="21"/>
                      <w:u w:val="single"/>
                      <w:lang w:val="en-US" w:eastAsia="zh-CN"/>
                    </w:rPr>
                  </w:pPr>
                </w:p>
              </w:tc>
              <w:tc>
                <w:tcPr>
                  <w:tcW w:w="1248" w:type="pct"/>
                  <w:tcBorders>
                    <w:tl2br w:val="nil"/>
                    <w:tr2bl w:val="nil"/>
                  </w:tcBorders>
                  <w:noWrap w:val="0"/>
                  <w:vAlign w:val="center"/>
                </w:tcPr>
                <w:p w14:paraId="45785ED8">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sz w:val="21"/>
                      <w:szCs w:val="21"/>
                      <w:u w:val="single"/>
                      <w:lang w:val="en-US" w:eastAsia="zh-CN"/>
                    </w:rPr>
                  </w:pPr>
                </w:p>
              </w:tc>
              <w:tc>
                <w:tcPr>
                  <w:tcW w:w="1249" w:type="pct"/>
                  <w:tcBorders>
                    <w:tl2br w:val="nil"/>
                    <w:tr2bl w:val="nil"/>
                  </w:tcBorders>
                  <w:shd w:val="clear" w:color="auto" w:fill="auto"/>
                  <w:noWrap w:val="0"/>
                  <w:vAlign w:val="center"/>
                </w:tcPr>
                <w:p w14:paraId="627206D5">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ascii="Times New Roman" w:hAnsi="Times New Roman" w:eastAsia="宋体" w:cs="Times New Roman"/>
                      <w:b/>
                      <w:bCs/>
                      <w:kern w:val="2"/>
                      <w:sz w:val="21"/>
                      <w:szCs w:val="21"/>
                      <w:u w:val="single"/>
                      <w:lang w:val="en-US" w:eastAsia="zh-CN" w:bidi="ar-SA"/>
                    </w:rPr>
                  </w:pPr>
                  <w:r>
                    <w:rPr>
                      <w:rFonts w:hint="eastAsia" w:cs="Times New Roman"/>
                      <w:b/>
                      <w:bCs/>
                      <w:sz w:val="21"/>
                      <w:szCs w:val="21"/>
                      <w:u w:val="single"/>
                      <w:lang w:val="en-US" w:eastAsia="zh-CN"/>
                    </w:rPr>
                    <w:t>废水带走</w:t>
                  </w:r>
                </w:p>
              </w:tc>
              <w:tc>
                <w:tcPr>
                  <w:tcW w:w="1252" w:type="pct"/>
                  <w:tcBorders>
                    <w:tl2br w:val="nil"/>
                    <w:tr2bl w:val="nil"/>
                  </w:tcBorders>
                  <w:noWrap w:val="0"/>
                  <w:vAlign w:val="center"/>
                </w:tcPr>
                <w:p w14:paraId="0CBD1C05">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z w:val="21"/>
                      <w:szCs w:val="21"/>
                      <w:u w:val="single"/>
                      <w:lang w:val="en-US" w:eastAsia="zh-CN"/>
                    </w:rPr>
                  </w:pPr>
                  <w:r>
                    <w:rPr>
                      <w:rFonts w:hint="eastAsia" w:cs="Times New Roman"/>
                      <w:b/>
                      <w:bCs/>
                      <w:sz w:val="21"/>
                      <w:szCs w:val="21"/>
                      <w:u w:val="single"/>
                      <w:lang w:val="en-US" w:eastAsia="zh-CN"/>
                    </w:rPr>
                    <w:t>4814.13</w:t>
                  </w:r>
                </w:p>
              </w:tc>
            </w:tr>
            <w:tr w14:paraId="3C4B1A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1248" w:type="pct"/>
                  <w:tcBorders>
                    <w:tl2br w:val="nil"/>
                    <w:tr2bl w:val="nil"/>
                  </w:tcBorders>
                  <w:noWrap w:val="0"/>
                  <w:vAlign w:val="center"/>
                </w:tcPr>
                <w:p w14:paraId="00CE1C79">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sz w:val="21"/>
                      <w:szCs w:val="21"/>
                      <w:u w:val="single"/>
                      <w:lang w:val="en-US" w:eastAsia="zh-CN"/>
                    </w:rPr>
                  </w:pPr>
                </w:p>
              </w:tc>
              <w:tc>
                <w:tcPr>
                  <w:tcW w:w="1248" w:type="pct"/>
                  <w:tcBorders>
                    <w:tl2br w:val="nil"/>
                    <w:tr2bl w:val="nil"/>
                  </w:tcBorders>
                  <w:noWrap w:val="0"/>
                  <w:vAlign w:val="center"/>
                </w:tcPr>
                <w:p w14:paraId="3D5B366C">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sz w:val="21"/>
                      <w:szCs w:val="21"/>
                      <w:u w:val="single"/>
                      <w:lang w:val="en-US" w:eastAsia="zh-CN"/>
                    </w:rPr>
                  </w:pPr>
                </w:p>
              </w:tc>
              <w:tc>
                <w:tcPr>
                  <w:tcW w:w="1249" w:type="pct"/>
                  <w:tcBorders>
                    <w:tl2br w:val="nil"/>
                    <w:tr2bl w:val="nil"/>
                  </w:tcBorders>
                  <w:shd w:val="clear" w:color="auto" w:fill="auto"/>
                  <w:noWrap w:val="0"/>
                  <w:vAlign w:val="center"/>
                </w:tcPr>
                <w:p w14:paraId="12045394">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cs="Times New Roman"/>
                      <w:b/>
                      <w:bCs/>
                      <w:sz w:val="21"/>
                      <w:szCs w:val="21"/>
                      <w:u w:val="single"/>
                      <w:lang w:val="en-US" w:eastAsia="zh-CN"/>
                    </w:rPr>
                  </w:pPr>
                  <w:r>
                    <w:rPr>
                      <w:rFonts w:hint="eastAsia" w:cs="Times New Roman"/>
                      <w:b/>
                      <w:bCs/>
                      <w:sz w:val="21"/>
                      <w:szCs w:val="21"/>
                      <w:u w:val="single"/>
                      <w:lang w:val="en-US" w:eastAsia="zh-CN"/>
                    </w:rPr>
                    <w:t>解毒池沉渣</w:t>
                  </w:r>
                </w:p>
              </w:tc>
              <w:tc>
                <w:tcPr>
                  <w:tcW w:w="1252" w:type="pct"/>
                  <w:tcBorders>
                    <w:tl2br w:val="nil"/>
                    <w:tr2bl w:val="nil"/>
                  </w:tcBorders>
                  <w:noWrap w:val="0"/>
                  <w:vAlign w:val="center"/>
                </w:tcPr>
                <w:p w14:paraId="17DE956C">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z w:val="21"/>
                      <w:szCs w:val="21"/>
                      <w:u w:val="single"/>
                      <w:lang w:val="en-US" w:eastAsia="zh-CN"/>
                    </w:rPr>
                  </w:pPr>
                  <w:r>
                    <w:rPr>
                      <w:rFonts w:hint="eastAsia" w:cs="Times New Roman"/>
                      <w:b/>
                      <w:bCs/>
                      <w:sz w:val="21"/>
                      <w:szCs w:val="21"/>
                      <w:u w:val="single"/>
                      <w:lang w:val="en-US" w:eastAsia="zh-CN"/>
                    </w:rPr>
                    <w:t>0.05</w:t>
                  </w:r>
                </w:p>
              </w:tc>
            </w:tr>
            <w:tr w14:paraId="321E5E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1248" w:type="pct"/>
                  <w:tcBorders>
                    <w:tl2br w:val="nil"/>
                    <w:tr2bl w:val="nil"/>
                  </w:tcBorders>
                  <w:noWrap w:val="0"/>
                  <w:vAlign w:val="center"/>
                </w:tcPr>
                <w:p w14:paraId="278FF743">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sz w:val="21"/>
                      <w:szCs w:val="21"/>
                      <w:u w:val="single"/>
                      <w:lang w:val="en-US" w:eastAsia="zh-CN"/>
                    </w:rPr>
                  </w:pPr>
                </w:p>
              </w:tc>
              <w:tc>
                <w:tcPr>
                  <w:tcW w:w="1248" w:type="pct"/>
                  <w:tcBorders>
                    <w:tl2br w:val="nil"/>
                    <w:tr2bl w:val="nil"/>
                  </w:tcBorders>
                  <w:noWrap w:val="0"/>
                  <w:vAlign w:val="center"/>
                </w:tcPr>
                <w:p w14:paraId="15D9F88F">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sz w:val="21"/>
                      <w:szCs w:val="21"/>
                      <w:u w:val="single"/>
                      <w:lang w:val="en-US" w:eastAsia="zh-CN"/>
                    </w:rPr>
                  </w:pPr>
                </w:p>
              </w:tc>
              <w:tc>
                <w:tcPr>
                  <w:tcW w:w="1249" w:type="pct"/>
                  <w:tcBorders>
                    <w:tl2br w:val="nil"/>
                    <w:tr2bl w:val="nil"/>
                  </w:tcBorders>
                  <w:shd w:val="clear" w:color="auto" w:fill="auto"/>
                  <w:noWrap w:val="0"/>
                  <w:vAlign w:val="center"/>
                </w:tcPr>
                <w:p w14:paraId="12738160">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ascii="Times New Roman" w:hAnsi="Times New Roman" w:eastAsia="宋体" w:cs="Times New Roman"/>
                      <w:b/>
                      <w:bCs/>
                      <w:kern w:val="2"/>
                      <w:sz w:val="21"/>
                      <w:szCs w:val="21"/>
                      <w:u w:val="single"/>
                      <w:lang w:val="en-US" w:eastAsia="zh-CN" w:bidi="ar-SA"/>
                    </w:rPr>
                  </w:pPr>
                  <w:r>
                    <w:rPr>
                      <w:rFonts w:hint="eastAsia" w:cs="Times New Roman"/>
                      <w:b/>
                      <w:bCs/>
                      <w:sz w:val="21"/>
                      <w:szCs w:val="21"/>
                      <w:u w:val="single"/>
                      <w:lang w:val="en-US" w:eastAsia="zh-CN"/>
                    </w:rPr>
                    <w:t>其他损耗</w:t>
                  </w:r>
                </w:p>
              </w:tc>
              <w:tc>
                <w:tcPr>
                  <w:tcW w:w="1252" w:type="pct"/>
                  <w:tcBorders>
                    <w:tl2br w:val="nil"/>
                    <w:tr2bl w:val="nil"/>
                  </w:tcBorders>
                  <w:noWrap w:val="0"/>
                  <w:vAlign w:val="center"/>
                </w:tcPr>
                <w:p w14:paraId="34E7F749">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sz w:val="21"/>
                      <w:szCs w:val="21"/>
                      <w:u w:val="single"/>
                      <w:lang w:val="en-US" w:eastAsia="zh-CN"/>
                    </w:rPr>
                  </w:pPr>
                  <w:r>
                    <w:rPr>
                      <w:rFonts w:hint="eastAsia" w:cs="Times New Roman"/>
                      <w:b/>
                      <w:bCs/>
                      <w:sz w:val="21"/>
                      <w:szCs w:val="21"/>
                      <w:u w:val="single"/>
                      <w:lang w:val="en-US" w:eastAsia="zh-CN"/>
                    </w:rPr>
                    <w:t>4379</w:t>
                  </w:r>
                </w:p>
              </w:tc>
            </w:tr>
            <w:tr w14:paraId="4D204D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1248" w:type="pct"/>
                  <w:tcBorders>
                    <w:tl2br w:val="nil"/>
                    <w:tr2bl w:val="nil"/>
                  </w:tcBorders>
                  <w:noWrap w:val="0"/>
                  <w:vAlign w:val="center"/>
                </w:tcPr>
                <w:p w14:paraId="6E4E8816">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sz w:val="21"/>
                      <w:szCs w:val="21"/>
                      <w:u w:val="single"/>
                      <w:lang w:val="en-US" w:eastAsia="zh-CN"/>
                    </w:rPr>
                  </w:pPr>
                  <w:r>
                    <w:rPr>
                      <w:rFonts w:hint="eastAsia" w:cs="Times New Roman"/>
                      <w:b/>
                      <w:bCs/>
                      <w:sz w:val="21"/>
                      <w:szCs w:val="21"/>
                      <w:u w:val="single"/>
                      <w:lang w:val="en-US" w:eastAsia="zh-CN"/>
                    </w:rPr>
                    <w:t>合计</w:t>
                  </w:r>
                </w:p>
              </w:tc>
              <w:tc>
                <w:tcPr>
                  <w:tcW w:w="1248" w:type="pct"/>
                  <w:tcBorders>
                    <w:tl2br w:val="nil"/>
                    <w:tr2bl w:val="nil"/>
                  </w:tcBorders>
                  <w:noWrap w:val="0"/>
                  <w:vAlign w:val="center"/>
                </w:tcPr>
                <w:p w14:paraId="6644160A">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sz w:val="21"/>
                      <w:szCs w:val="21"/>
                      <w:u w:val="single"/>
                      <w:lang w:val="en-US" w:eastAsia="zh-CN"/>
                    </w:rPr>
                  </w:pPr>
                  <w:r>
                    <w:rPr>
                      <w:rFonts w:hint="eastAsia" w:cs="Times New Roman"/>
                      <w:b/>
                      <w:bCs/>
                      <w:sz w:val="21"/>
                      <w:szCs w:val="21"/>
                      <w:u w:val="single"/>
                      <w:lang w:val="en-US" w:eastAsia="zh-CN"/>
                    </w:rPr>
                    <w:t>9352.78</w:t>
                  </w:r>
                </w:p>
              </w:tc>
              <w:tc>
                <w:tcPr>
                  <w:tcW w:w="1249" w:type="pct"/>
                  <w:tcBorders>
                    <w:tl2br w:val="nil"/>
                    <w:tr2bl w:val="nil"/>
                  </w:tcBorders>
                  <w:shd w:val="clear" w:color="auto" w:fill="auto"/>
                  <w:noWrap w:val="0"/>
                  <w:vAlign w:val="center"/>
                </w:tcPr>
                <w:p w14:paraId="23F4C502">
                  <w:pPr>
                    <w:keepNext w:val="0"/>
                    <w:keepLines w:val="0"/>
                    <w:pageBreakBefore w:val="0"/>
                    <w:widowControl w:val="0"/>
                    <w:kinsoku/>
                    <w:wordWrap w:val="0"/>
                    <w:overflowPunct/>
                    <w:topLinePunct w:val="0"/>
                    <w:autoSpaceDE/>
                    <w:autoSpaceDN/>
                    <w:bidi w:val="0"/>
                    <w:adjustRightInd/>
                    <w:snapToGrid/>
                    <w:spacing w:line="0" w:lineRule="atLeast"/>
                    <w:ind w:left="0" w:leftChars="0" w:right="0" w:rightChars="0" w:firstLine="0" w:firstLineChars="0"/>
                    <w:jc w:val="center"/>
                    <w:textAlignment w:val="auto"/>
                    <w:rPr>
                      <w:rFonts w:hint="default" w:ascii="Times New Roman" w:hAnsi="Times New Roman" w:eastAsia="宋体" w:cs="Times New Roman"/>
                      <w:b/>
                      <w:bCs/>
                      <w:kern w:val="2"/>
                      <w:sz w:val="21"/>
                      <w:szCs w:val="21"/>
                      <w:u w:val="single"/>
                      <w:lang w:val="en-US" w:eastAsia="zh-CN" w:bidi="ar-SA"/>
                    </w:rPr>
                  </w:pPr>
                  <w:r>
                    <w:rPr>
                      <w:rFonts w:hint="eastAsia" w:cs="Times New Roman"/>
                      <w:b/>
                      <w:bCs/>
                      <w:sz w:val="21"/>
                      <w:szCs w:val="21"/>
                      <w:u w:val="single"/>
                      <w:lang w:val="en-US" w:eastAsia="zh-CN"/>
                    </w:rPr>
                    <w:t>合计</w:t>
                  </w:r>
                </w:p>
              </w:tc>
              <w:tc>
                <w:tcPr>
                  <w:tcW w:w="1252" w:type="pct"/>
                  <w:tcBorders>
                    <w:tl2br w:val="nil"/>
                    <w:tr2bl w:val="nil"/>
                  </w:tcBorders>
                  <w:noWrap w:val="0"/>
                  <w:vAlign w:val="center"/>
                </w:tcPr>
                <w:p w14:paraId="6F0A00AC">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sz w:val="21"/>
                      <w:szCs w:val="21"/>
                      <w:u w:val="single"/>
                      <w:lang w:val="en-US" w:eastAsia="zh-CN"/>
                    </w:rPr>
                  </w:pPr>
                  <w:r>
                    <w:rPr>
                      <w:rFonts w:hint="eastAsia" w:cs="Times New Roman"/>
                      <w:b/>
                      <w:bCs/>
                      <w:sz w:val="21"/>
                      <w:szCs w:val="21"/>
                      <w:u w:val="single"/>
                      <w:lang w:val="en-US" w:eastAsia="zh-CN"/>
                    </w:rPr>
                    <w:t>9352.78</w:t>
                  </w:r>
                </w:p>
              </w:tc>
            </w:tr>
          </w:tbl>
          <w:p w14:paraId="668EF543">
            <w:pPr>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b/>
                <w:bCs/>
                <w:color w:val="auto"/>
              </w:rPr>
            </w:pPr>
            <w:r>
              <w:rPr>
                <w:rFonts w:hint="eastAsia"/>
                <w:b/>
                <w:bCs/>
                <w:color w:val="auto"/>
                <w:lang w:val="en-US" w:eastAsia="zh-CN"/>
              </w:rPr>
              <w:t>2.3</w:t>
            </w:r>
            <w:r>
              <w:rPr>
                <w:rFonts w:hint="eastAsia"/>
                <w:b/>
                <w:bCs/>
                <w:color w:val="auto"/>
              </w:rPr>
              <w:t>产污环节汇总</w:t>
            </w:r>
          </w:p>
          <w:p w14:paraId="60B3E141">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本项目主要污染物：</w:t>
            </w:r>
          </w:p>
          <w:p w14:paraId="15C0ECC8">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w:t>
            </w:r>
            <w:r>
              <w:rPr>
                <w:rFonts w:hint="eastAsia" w:cs="Times New Roman"/>
                <w:lang w:val="en-US" w:eastAsia="zh-CN"/>
              </w:rPr>
              <w:t>1</w:t>
            </w:r>
            <w:r>
              <w:rPr>
                <w:rFonts w:hint="eastAsia" w:ascii="Times New Roman" w:hAnsi="Times New Roman" w:eastAsia="宋体" w:cs="Times New Roman"/>
                <w:lang w:val="en-US" w:eastAsia="zh-CN"/>
              </w:rPr>
              <w:t>）废气：主要包括药材挑选、炮制、破碎、</w:t>
            </w:r>
            <w:r>
              <w:rPr>
                <w:rFonts w:hint="eastAsia" w:cs="Times New Roman"/>
                <w:lang w:val="en-US" w:eastAsia="zh-CN"/>
              </w:rPr>
              <w:t>切制、</w:t>
            </w:r>
            <w:r>
              <w:rPr>
                <w:rFonts w:hint="eastAsia" w:ascii="Times New Roman" w:hAnsi="Times New Roman" w:eastAsia="宋体" w:cs="Times New Roman"/>
                <w:lang w:val="en-US" w:eastAsia="zh-CN"/>
              </w:rPr>
              <w:t>筛分过程产生的粉尘、以及药材生产</w:t>
            </w:r>
            <w:r>
              <w:rPr>
                <w:rFonts w:hint="eastAsia" w:cs="Times New Roman"/>
                <w:lang w:val="en-US" w:eastAsia="zh-CN"/>
              </w:rPr>
              <w:t>及药渣暂存</w:t>
            </w:r>
            <w:r>
              <w:rPr>
                <w:rFonts w:hint="eastAsia" w:ascii="Times New Roman" w:hAnsi="Times New Roman" w:eastAsia="宋体" w:cs="Times New Roman"/>
                <w:lang w:val="en-US" w:eastAsia="zh-CN"/>
              </w:rPr>
              <w:t>产生的异味、</w:t>
            </w:r>
            <w:r>
              <w:rPr>
                <w:rFonts w:hint="eastAsia" w:cs="Times New Roman"/>
                <w:lang w:val="en-US" w:eastAsia="zh-CN"/>
              </w:rPr>
              <w:t>质检工序产生的</w:t>
            </w:r>
            <w:r>
              <w:rPr>
                <w:rFonts w:hint="eastAsia" w:ascii="Times New Roman" w:hAnsi="Times New Roman" w:eastAsia="宋体" w:cs="Times New Roman"/>
                <w:lang w:val="en-US" w:eastAsia="zh-CN"/>
              </w:rPr>
              <w:t>实验废气、污水处理站恶臭、食堂油烟等；</w:t>
            </w:r>
          </w:p>
          <w:p w14:paraId="41D4D066">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w:t>
            </w:r>
            <w:r>
              <w:rPr>
                <w:rFonts w:hint="eastAsia" w:cs="Times New Roman"/>
                <w:lang w:val="en-US" w:eastAsia="zh-CN"/>
              </w:rPr>
              <w:t>2</w:t>
            </w:r>
            <w:r>
              <w:rPr>
                <w:rFonts w:hint="eastAsia" w:ascii="Times New Roman" w:hAnsi="Times New Roman" w:eastAsia="宋体" w:cs="Times New Roman"/>
                <w:lang w:val="en-US" w:eastAsia="zh-CN"/>
              </w:rPr>
              <w:t>）废水：主要为生活污水及生产废水。其中</w:t>
            </w:r>
            <w:r>
              <w:rPr>
                <w:rFonts w:hint="eastAsia" w:cs="Times New Roman"/>
                <w:lang w:val="en-US" w:eastAsia="zh-CN"/>
              </w:rPr>
              <w:t>生产废水</w:t>
            </w:r>
            <w:r>
              <w:rPr>
                <w:rFonts w:hint="eastAsia" w:ascii="Times New Roman" w:hAnsi="Times New Roman" w:eastAsia="宋体" w:cs="Times New Roman"/>
                <w:lang w:val="en-US" w:eastAsia="zh-CN"/>
              </w:rPr>
              <w:t>包括</w:t>
            </w:r>
            <w:r>
              <w:rPr>
                <w:rFonts w:hint="eastAsia"/>
                <w:color w:val="auto"/>
                <w:sz w:val="24"/>
                <w:szCs w:val="24"/>
                <w:lang w:val="en-US" w:eastAsia="zh-CN"/>
              </w:rPr>
              <w:t>包括</w:t>
            </w:r>
            <w:r>
              <w:rPr>
                <w:rFonts w:hint="eastAsia"/>
                <w:color w:val="auto"/>
                <w:sz w:val="24"/>
                <w:szCs w:val="24"/>
              </w:rPr>
              <w:t>药材清洗、润药</w:t>
            </w:r>
            <w:r>
              <w:rPr>
                <w:rFonts w:hint="eastAsia"/>
                <w:color w:val="auto"/>
                <w:sz w:val="24"/>
                <w:szCs w:val="24"/>
                <w:lang w:val="en-US" w:eastAsia="zh-CN"/>
              </w:rPr>
              <w:t>废</w:t>
            </w:r>
            <w:r>
              <w:rPr>
                <w:rFonts w:hint="eastAsia"/>
                <w:color w:val="auto"/>
                <w:sz w:val="24"/>
                <w:szCs w:val="24"/>
              </w:rPr>
              <w:t>水</w:t>
            </w:r>
            <w:r>
              <w:rPr>
                <w:color w:val="auto"/>
                <w:sz w:val="24"/>
                <w:szCs w:val="24"/>
              </w:rPr>
              <w:t>、</w:t>
            </w:r>
            <w:r>
              <w:rPr>
                <w:rFonts w:hint="eastAsia"/>
                <w:color w:val="auto"/>
                <w:sz w:val="24"/>
                <w:szCs w:val="24"/>
                <w:lang w:val="en-US" w:eastAsia="zh-CN"/>
              </w:rPr>
              <w:t>煮提废水、发酵工序废水、毒性饮片炮制废水、</w:t>
            </w:r>
            <w:r>
              <w:rPr>
                <w:color w:val="auto"/>
                <w:sz w:val="24"/>
                <w:szCs w:val="24"/>
              </w:rPr>
              <w:t>设备清洗废水、</w:t>
            </w:r>
            <w:r>
              <w:rPr>
                <w:rFonts w:hint="eastAsia"/>
                <w:color w:val="auto"/>
                <w:sz w:val="24"/>
                <w:szCs w:val="24"/>
                <w:lang w:val="en-US" w:eastAsia="zh-CN"/>
              </w:rPr>
              <w:t>地面清洗废水、纯水</w:t>
            </w:r>
            <w:r>
              <w:rPr>
                <w:color w:val="auto"/>
                <w:sz w:val="24"/>
                <w:szCs w:val="24"/>
              </w:rPr>
              <w:t>制水系统排水</w:t>
            </w:r>
            <w:r>
              <w:rPr>
                <w:rFonts w:hint="eastAsia"/>
                <w:color w:val="auto"/>
                <w:sz w:val="24"/>
                <w:szCs w:val="24"/>
                <w:lang w:val="en-US" w:eastAsia="zh-CN"/>
              </w:rPr>
              <w:t>以及生活污水</w:t>
            </w:r>
            <w:r>
              <w:rPr>
                <w:rFonts w:hint="eastAsia" w:ascii="Times New Roman" w:hAnsi="Times New Roman" w:eastAsia="宋体" w:cs="Times New Roman"/>
                <w:lang w:val="en-US" w:eastAsia="zh-CN"/>
              </w:rPr>
              <w:t>；</w:t>
            </w:r>
          </w:p>
          <w:p w14:paraId="5301DDF4">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（3）噪声：主要是生产设备、空气压缩机、新风系统机组等设备运行噪声。</w:t>
            </w:r>
          </w:p>
          <w:p w14:paraId="15F1F938">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（4）固废：主要分为一般固体废物和危险固体废物</w:t>
            </w:r>
            <w:r>
              <w:rPr>
                <w:rFonts w:hint="eastAsia" w:cs="Times New Roman"/>
                <w:lang w:val="en-US" w:eastAsia="zh-CN"/>
              </w:rPr>
              <w:t>及生活垃圾</w:t>
            </w:r>
            <w:r>
              <w:rPr>
                <w:rFonts w:hint="eastAsia" w:ascii="Times New Roman" w:hAnsi="Times New Roman" w:eastAsia="宋体" w:cs="Times New Roman"/>
                <w:lang w:val="en-US" w:eastAsia="zh-CN"/>
              </w:rPr>
              <w:t>；其中一般固体废物包括原料分挑过程中产生的</w:t>
            </w:r>
            <w:r>
              <w:rPr>
                <w:rFonts w:hint="eastAsia" w:cs="Times New Roman"/>
                <w:lang w:val="en-US" w:eastAsia="zh-CN"/>
              </w:rPr>
              <w:t>杂质、非药用部位、</w:t>
            </w:r>
            <w:r>
              <w:rPr>
                <w:rFonts w:hint="eastAsia" w:ascii="Times New Roman" w:hAnsi="Times New Roman" w:eastAsia="宋体" w:cs="Times New Roman"/>
                <w:lang w:val="en-US" w:eastAsia="zh-CN"/>
              </w:rPr>
              <w:t>残次品、废</w:t>
            </w:r>
            <w:r>
              <w:rPr>
                <w:rFonts w:hint="eastAsia" w:cs="Times New Roman"/>
                <w:lang w:val="en-US" w:eastAsia="zh-CN"/>
              </w:rPr>
              <w:t>药</w:t>
            </w:r>
            <w:r>
              <w:rPr>
                <w:rFonts w:hint="eastAsia" w:ascii="Times New Roman" w:hAnsi="Times New Roman" w:eastAsia="宋体" w:cs="Times New Roman"/>
                <w:lang w:val="en-US" w:eastAsia="zh-CN"/>
              </w:rPr>
              <w:t>渣</w:t>
            </w:r>
            <w:r>
              <w:rPr>
                <w:rFonts w:hint="eastAsia" w:cs="Times New Roman"/>
                <w:lang w:val="en-US" w:eastAsia="zh-CN"/>
              </w:rPr>
              <w:t>药屑</w:t>
            </w:r>
            <w:r>
              <w:rPr>
                <w:rFonts w:hint="eastAsia" w:ascii="Times New Roman" w:hAnsi="Times New Roman" w:eastAsia="宋体" w:cs="Times New Roman"/>
                <w:lang w:val="en-US" w:eastAsia="zh-CN"/>
              </w:rPr>
              <w:t>，切制过程中产生的碎屑，检验过程中产生的不合格产品，包装过程中产生的废</w:t>
            </w:r>
            <w:r>
              <w:rPr>
                <w:rFonts w:hint="eastAsia" w:cs="Times New Roman"/>
                <w:lang w:val="en-US" w:eastAsia="zh-CN"/>
              </w:rPr>
              <w:t>包装材料，除尘器收集的除尘灰，</w:t>
            </w:r>
            <w:r>
              <w:rPr>
                <w:rFonts w:hint="eastAsia" w:ascii="Times New Roman" w:hAnsi="Times New Roman" w:eastAsia="宋体" w:cs="Times New Roman"/>
                <w:lang w:val="en-US" w:eastAsia="zh-CN"/>
              </w:rPr>
              <w:t>污水处理站污泥、生活垃圾；危险固体废物为实验固废、</w:t>
            </w:r>
            <w:r>
              <w:rPr>
                <w:rFonts w:hint="eastAsia" w:cs="Times New Roman"/>
                <w:lang w:val="en-US" w:eastAsia="zh-CN"/>
              </w:rPr>
              <w:t>质检</w:t>
            </w:r>
            <w:r>
              <w:rPr>
                <w:rFonts w:hint="eastAsia" w:ascii="Times New Roman" w:hAnsi="Times New Roman" w:eastAsia="宋体" w:cs="Times New Roman"/>
                <w:lang w:val="en-US" w:eastAsia="zh-CN"/>
              </w:rPr>
              <w:t>检验产生废液、废气处理设施产生的废活性炭</w:t>
            </w:r>
            <w:r>
              <w:rPr>
                <w:rFonts w:hint="eastAsia" w:cs="Times New Roman"/>
                <w:lang w:val="en-US" w:eastAsia="zh-CN"/>
              </w:rPr>
              <w:t>以及毒性饮片生产过程产生的杂质、药渣、不合格品、除尘器收集的除尘灰以及解毒药渣</w:t>
            </w:r>
            <w:r>
              <w:rPr>
                <w:rFonts w:hint="eastAsia" w:ascii="Times New Roman" w:hAnsi="Times New Roman" w:eastAsia="宋体" w:cs="Times New Roman"/>
                <w:lang w:val="en-US" w:eastAsia="zh-CN"/>
              </w:rPr>
              <w:t>。</w:t>
            </w:r>
          </w:p>
          <w:p w14:paraId="695E4D97">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项目运营期产生的环境影响因子有废气、废水、噪声、固体废弃物等，主要的污染工序如下：</w:t>
            </w:r>
          </w:p>
          <w:p w14:paraId="77F93613">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425" w:leftChars="0" w:hanging="425" w:firstLineChars="0"/>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营运期主要污染物情况一览表</w:t>
            </w:r>
          </w:p>
          <w:tbl>
            <w:tblPr>
              <w:tblStyle w:val="2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8"/>
              <w:gridCol w:w="1572"/>
              <w:gridCol w:w="1445"/>
              <w:gridCol w:w="1174"/>
              <w:gridCol w:w="690"/>
              <w:gridCol w:w="3068"/>
            </w:tblGrid>
            <w:tr w14:paraId="197083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6" w:type="pct"/>
                  <w:tcBorders>
                    <w:tl2br w:val="nil"/>
                    <w:tr2bl w:val="nil"/>
                  </w:tcBorders>
                  <w:noWrap w:val="0"/>
                  <w:vAlign w:val="center"/>
                </w:tcPr>
                <w:p w14:paraId="0DDEA565">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sz w:val="21"/>
                      <w:szCs w:val="21"/>
                      <w:u w:val="none"/>
                    </w:rPr>
                  </w:pPr>
                  <w:r>
                    <w:rPr>
                      <w:rFonts w:hint="default" w:ascii="Times New Roman" w:hAnsi="Times New Roman" w:cs="Times New Roman"/>
                      <w:b/>
                      <w:bCs/>
                      <w:sz w:val="21"/>
                      <w:szCs w:val="21"/>
                      <w:u w:val="none"/>
                    </w:rPr>
                    <w:t>类别</w:t>
                  </w:r>
                </w:p>
              </w:tc>
              <w:tc>
                <w:tcPr>
                  <w:tcW w:w="916" w:type="pct"/>
                  <w:tcBorders>
                    <w:tl2br w:val="nil"/>
                    <w:tr2bl w:val="nil"/>
                  </w:tcBorders>
                  <w:noWrap w:val="0"/>
                  <w:vAlign w:val="center"/>
                </w:tcPr>
                <w:p w14:paraId="01105FF7">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sz w:val="21"/>
                      <w:szCs w:val="21"/>
                      <w:u w:val="none"/>
                    </w:rPr>
                  </w:pPr>
                  <w:r>
                    <w:rPr>
                      <w:rFonts w:hint="default" w:ascii="Times New Roman" w:hAnsi="Times New Roman" w:cs="Times New Roman"/>
                      <w:b/>
                      <w:bCs/>
                      <w:sz w:val="21"/>
                      <w:szCs w:val="21"/>
                      <w:u w:val="none"/>
                    </w:rPr>
                    <w:t>产污单元</w:t>
                  </w:r>
                </w:p>
              </w:tc>
              <w:tc>
                <w:tcPr>
                  <w:tcW w:w="842" w:type="pct"/>
                  <w:tcBorders>
                    <w:tl2br w:val="nil"/>
                    <w:tr2bl w:val="nil"/>
                  </w:tcBorders>
                  <w:noWrap w:val="0"/>
                  <w:vAlign w:val="center"/>
                </w:tcPr>
                <w:p w14:paraId="411E3223">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sz w:val="21"/>
                      <w:szCs w:val="21"/>
                      <w:u w:val="none"/>
                    </w:rPr>
                  </w:pPr>
                  <w:r>
                    <w:rPr>
                      <w:rFonts w:hint="default" w:ascii="Times New Roman" w:hAnsi="Times New Roman" w:cs="Times New Roman"/>
                      <w:b/>
                      <w:bCs/>
                      <w:sz w:val="21"/>
                      <w:szCs w:val="21"/>
                      <w:u w:val="none"/>
                    </w:rPr>
                    <w:t>产污工序</w:t>
                  </w:r>
                </w:p>
              </w:tc>
              <w:tc>
                <w:tcPr>
                  <w:tcW w:w="684" w:type="pct"/>
                  <w:tcBorders>
                    <w:tl2br w:val="nil"/>
                    <w:tr2bl w:val="nil"/>
                  </w:tcBorders>
                  <w:noWrap w:val="0"/>
                  <w:vAlign w:val="center"/>
                </w:tcPr>
                <w:p w14:paraId="728A75BA">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bCs/>
                      <w:sz w:val="21"/>
                      <w:szCs w:val="21"/>
                      <w:u w:val="none"/>
                      <w:lang w:val="en-US" w:eastAsia="zh-CN"/>
                    </w:rPr>
                  </w:pPr>
                  <w:r>
                    <w:rPr>
                      <w:rFonts w:hint="default" w:ascii="Times New Roman" w:hAnsi="Times New Roman" w:cs="Times New Roman"/>
                      <w:b/>
                      <w:bCs/>
                      <w:sz w:val="21"/>
                      <w:szCs w:val="21"/>
                      <w:u w:val="none"/>
                    </w:rPr>
                    <w:t>主要污染</w:t>
                  </w:r>
                  <w:r>
                    <w:rPr>
                      <w:rFonts w:hint="eastAsia" w:cs="Times New Roman"/>
                      <w:b/>
                      <w:bCs/>
                      <w:sz w:val="21"/>
                      <w:szCs w:val="21"/>
                      <w:u w:val="none"/>
                      <w:lang w:val="en-US" w:eastAsia="zh-CN"/>
                    </w:rPr>
                    <w:t>物</w:t>
                  </w:r>
                </w:p>
              </w:tc>
              <w:tc>
                <w:tcPr>
                  <w:tcW w:w="402" w:type="pct"/>
                  <w:tcBorders>
                    <w:tl2br w:val="nil"/>
                    <w:tr2bl w:val="nil"/>
                  </w:tcBorders>
                  <w:noWrap w:val="0"/>
                  <w:vAlign w:val="center"/>
                </w:tcPr>
                <w:p w14:paraId="0ED7B98B">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sz w:val="21"/>
                      <w:szCs w:val="21"/>
                      <w:u w:val="none"/>
                    </w:rPr>
                  </w:pPr>
                  <w:r>
                    <w:rPr>
                      <w:rFonts w:hint="default" w:ascii="Times New Roman" w:hAnsi="Times New Roman" w:cs="Times New Roman"/>
                      <w:b/>
                      <w:bCs/>
                      <w:sz w:val="21"/>
                      <w:szCs w:val="21"/>
                      <w:u w:val="none"/>
                    </w:rPr>
                    <w:t>产污特征</w:t>
                  </w:r>
                </w:p>
              </w:tc>
              <w:tc>
                <w:tcPr>
                  <w:tcW w:w="1788" w:type="pct"/>
                  <w:tcBorders>
                    <w:tl2br w:val="nil"/>
                    <w:tr2bl w:val="nil"/>
                  </w:tcBorders>
                  <w:noWrap w:val="0"/>
                  <w:vAlign w:val="center"/>
                </w:tcPr>
                <w:p w14:paraId="6ABDEDDA">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sz w:val="21"/>
                      <w:szCs w:val="21"/>
                      <w:u w:val="none"/>
                    </w:rPr>
                  </w:pPr>
                  <w:r>
                    <w:rPr>
                      <w:rFonts w:hint="default" w:ascii="Times New Roman" w:hAnsi="Times New Roman" w:cs="Times New Roman"/>
                      <w:b/>
                      <w:bCs/>
                      <w:sz w:val="21"/>
                      <w:szCs w:val="21"/>
                      <w:u w:val="none"/>
                    </w:rPr>
                    <w:t>防治措施</w:t>
                  </w:r>
                </w:p>
              </w:tc>
            </w:tr>
            <w:tr w14:paraId="225462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66" w:type="pct"/>
                  <w:vMerge w:val="restart"/>
                  <w:tcBorders>
                    <w:tl2br w:val="nil"/>
                    <w:tr2bl w:val="nil"/>
                  </w:tcBorders>
                  <w:noWrap w:val="0"/>
                  <w:vAlign w:val="center"/>
                </w:tcPr>
                <w:p w14:paraId="08D35D14">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废气</w:t>
                  </w:r>
                </w:p>
              </w:tc>
              <w:tc>
                <w:tcPr>
                  <w:tcW w:w="916" w:type="pct"/>
                  <w:tcBorders>
                    <w:tl2br w:val="nil"/>
                    <w:tr2bl w:val="nil"/>
                  </w:tcBorders>
                  <w:shd w:val="clear" w:color="auto" w:fill="auto"/>
                  <w:noWrap w:val="0"/>
                  <w:vAlign w:val="center"/>
                </w:tcPr>
                <w:p w14:paraId="6FF6FCFC">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u w:val="none"/>
                      <w:lang w:val="en-US" w:eastAsia="zh-CN" w:bidi="ar-SA"/>
                    </w:rPr>
                  </w:pPr>
                  <w:r>
                    <w:rPr>
                      <w:rFonts w:hint="eastAsia" w:cs="Times New Roman"/>
                      <w:sz w:val="21"/>
                      <w:szCs w:val="21"/>
                      <w:u w:val="none"/>
                      <w:lang w:val="en-US" w:eastAsia="zh-CN"/>
                    </w:rPr>
                    <w:t>中药材生产加工车间（含炮制、发酵、提取等工序）</w:t>
                  </w:r>
                </w:p>
              </w:tc>
              <w:tc>
                <w:tcPr>
                  <w:tcW w:w="842" w:type="pct"/>
                  <w:tcBorders>
                    <w:tl2br w:val="nil"/>
                    <w:tr2bl w:val="nil"/>
                  </w:tcBorders>
                  <w:shd w:val="clear" w:color="auto" w:fill="auto"/>
                  <w:noWrap w:val="0"/>
                  <w:vAlign w:val="center"/>
                </w:tcPr>
                <w:p w14:paraId="37269207">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u w:val="none"/>
                      <w:lang w:val="en-US" w:eastAsia="zh-CN" w:bidi="ar-SA"/>
                    </w:rPr>
                  </w:pPr>
                  <w:r>
                    <w:rPr>
                      <w:rFonts w:hint="eastAsia" w:ascii="Times New Roman" w:hAnsi="Times New Roman" w:cs="Times New Roman"/>
                      <w:kern w:val="2"/>
                      <w:sz w:val="21"/>
                      <w:szCs w:val="21"/>
                      <w:u w:val="none"/>
                      <w:lang w:val="en-US" w:eastAsia="zh-CN" w:bidi="ar-SA"/>
                    </w:rPr>
                    <w:t>生产过程中药材</w:t>
                  </w:r>
                </w:p>
              </w:tc>
              <w:tc>
                <w:tcPr>
                  <w:tcW w:w="684" w:type="pct"/>
                  <w:tcBorders>
                    <w:tl2br w:val="nil"/>
                    <w:tr2bl w:val="nil"/>
                  </w:tcBorders>
                  <w:shd w:val="clear" w:color="auto" w:fill="auto"/>
                  <w:noWrap w:val="0"/>
                  <w:vAlign w:val="center"/>
                </w:tcPr>
                <w:p w14:paraId="5CC16F4A">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u w:val="none"/>
                      <w:lang w:val="en-US" w:eastAsia="zh-CN" w:bidi="ar-SA"/>
                    </w:rPr>
                  </w:pPr>
                  <w:r>
                    <w:rPr>
                      <w:rFonts w:hint="eastAsia" w:cs="Times New Roman"/>
                      <w:kern w:val="2"/>
                      <w:sz w:val="21"/>
                      <w:szCs w:val="21"/>
                      <w:u w:val="none"/>
                      <w:lang w:val="en-US" w:eastAsia="zh-CN" w:bidi="ar-SA"/>
                    </w:rPr>
                    <w:t>异味</w:t>
                  </w:r>
                </w:p>
              </w:tc>
              <w:tc>
                <w:tcPr>
                  <w:tcW w:w="402" w:type="pct"/>
                  <w:tcBorders>
                    <w:tl2br w:val="nil"/>
                    <w:tr2bl w:val="nil"/>
                  </w:tcBorders>
                  <w:shd w:val="clear" w:color="auto" w:fill="auto"/>
                  <w:noWrap w:val="0"/>
                  <w:vAlign w:val="center"/>
                </w:tcPr>
                <w:p w14:paraId="3682F069">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u w:val="none"/>
                      <w:lang w:val="en-US" w:eastAsia="zh-CN" w:bidi="ar-SA"/>
                    </w:rPr>
                  </w:pPr>
                  <w:r>
                    <w:rPr>
                      <w:rFonts w:hint="eastAsia" w:cs="Times New Roman"/>
                      <w:sz w:val="21"/>
                      <w:szCs w:val="21"/>
                      <w:u w:val="none"/>
                      <w:lang w:val="en-US" w:eastAsia="zh-CN"/>
                    </w:rPr>
                    <w:t>间歇</w:t>
                  </w:r>
                </w:p>
              </w:tc>
              <w:tc>
                <w:tcPr>
                  <w:tcW w:w="1788" w:type="pct"/>
                  <w:tcBorders>
                    <w:tl2br w:val="nil"/>
                    <w:tr2bl w:val="nil"/>
                  </w:tcBorders>
                  <w:shd w:val="clear" w:color="auto" w:fill="auto"/>
                  <w:noWrap w:val="0"/>
                  <w:vAlign w:val="center"/>
                </w:tcPr>
                <w:p w14:paraId="18DA2B37">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highlight w:val="none"/>
                      <w:u w:val="none"/>
                      <w:lang w:val="en-US" w:eastAsia="zh-CN" w:bidi="ar-SA"/>
                    </w:rPr>
                  </w:pPr>
                  <w:r>
                    <w:rPr>
                      <w:rFonts w:hint="eastAsia"/>
                      <w:color w:val="auto"/>
                      <w:sz w:val="21"/>
                      <w:szCs w:val="21"/>
                    </w:rPr>
                    <w:t>设置为密闭作业房</w:t>
                  </w:r>
                  <w:r>
                    <w:rPr>
                      <w:rFonts w:hint="eastAsia"/>
                      <w:color w:val="auto"/>
                      <w:sz w:val="21"/>
                      <w:szCs w:val="21"/>
                      <w:lang w:eastAsia="zh-CN"/>
                    </w:rPr>
                    <w:t>，</w:t>
                  </w:r>
                  <w:r>
                    <w:rPr>
                      <w:rFonts w:hint="eastAsia"/>
                      <w:color w:val="auto"/>
                      <w:sz w:val="21"/>
                      <w:szCs w:val="21"/>
                    </w:rPr>
                    <w:t>在产异味装置上方分别设置集气罩，整体密闭房设置负压抽风</w:t>
                  </w:r>
                  <w:r>
                    <w:rPr>
                      <w:rFonts w:hint="eastAsia"/>
                      <w:color w:val="auto"/>
                      <w:sz w:val="21"/>
                      <w:szCs w:val="21"/>
                      <w:lang w:eastAsia="zh-CN"/>
                    </w:rPr>
                    <w:t>，</w:t>
                  </w:r>
                  <w:r>
                    <w:rPr>
                      <w:rFonts w:hint="eastAsia"/>
                      <w:color w:val="auto"/>
                      <w:sz w:val="21"/>
                      <w:szCs w:val="21"/>
                      <w:lang w:val="en-US" w:eastAsia="zh-CN"/>
                    </w:rPr>
                    <w:t>引至“喷淋塔+水雾分离器+活性炭”</w:t>
                  </w:r>
                  <w:r>
                    <w:rPr>
                      <w:rFonts w:hint="eastAsia"/>
                      <w:color w:val="auto"/>
                      <w:sz w:val="21"/>
                      <w:szCs w:val="21"/>
                    </w:rPr>
                    <w:t>，处理后通过15米高排气筒排放</w:t>
                  </w:r>
                </w:p>
              </w:tc>
            </w:tr>
            <w:tr w14:paraId="2997D5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66" w:type="pct"/>
                  <w:vMerge w:val="continue"/>
                  <w:tcBorders>
                    <w:tl2br w:val="nil"/>
                    <w:tr2bl w:val="nil"/>
                  </w:tcBorders>
                  <w:noWrap w:val="0"/>
                  <w:vAlign w:val="center"/>
                </w:tcPr>
                <w:p w14:paraId="3D2BECAA">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p>
              </w:tc>
              <w:tc>
                <w:tcPr>
                  <w:tcW w:w="916" w:type="pct"/>
                  <w:tcBorders>
                    <w:tl2br w:val="nil"/>
                    <w:tr2bl w:val="nil"/>
                  </w:tcBorders>
                  <w:shd w:val="clear" w:color="auto" w:fill="auto"/>
                  <w:noWrap w:val="0"/>
                  <w:vAlign w:val="center"/>
                </w:tcPr>
                <w:p w14:paraId="759983F2">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b/>
                      <w:bCs/>
                      <w:sz w:val="21"/>
                      <w:szCs w:val="21"/>
                      <w:u w:val="single"/>
                      <w:lang w:val="en-US" w:eastAsia="zh-CN"/>
                    </w:rPr>
                  </w:pPr>
                  <w:r>
                    <w:rPr>
                      <w:rFonts w:hint="eastAsia" w:cs="Times New Roman"/>
                      <w:b/>
                      <w:bCs/>
                      <w:sz w:val="21"/>
                      <w:szCs w:val="21"/>
                      <w:u w:val="single"/>
                      <w:lang w:val="en-US" w:eastAsia="zh-CN"/>
                    </w:rPr>
                    <w:t>药渣暂存间及危废暂存间</w:t>
                  </w:r>
                </w:p>
              </w:tc>
              <w:tc>
                <w:tcPr>
                  <w:tcW w:w="842" w:type="pct"/>
                  <w:tcBorders>
                    <w:tl2br w:val="nil"/>
                    <w:tr2bl w:val="nil"/>
                  </w:tcBorders>
                  <w:shd w:val="clear" w:color="auto" w:fill="auto"/>
                  <w:noWrap w:val="0"/>
                  <w:vAlign w:val="center"/>
                </w:tcPr>
                <w:p w14:paraId="6EB37881">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kern w:val="2"/>
                      <w:sz w:val="21"/>
                      <w:szCs w:val="21"/>
                      <w:u w:val="single"/>
                      <w:lang w:val="en-US" w:eastAsia="zh-CN" w:bidi="ar-SA"/>
                    </w:rPr>
                  </w:pPr>
                  <w:r>
                    <w:rPr>
                      <w:rFonts w:hint="eastAsia" w:cs="Times New Roman"/>
                      <w:b/>
                      <w:bCs/>
                      <w:kern w:val="2"/>
                      <w:sz w:val="21"/>
                      <w:szCs w:val="21"/>
                      <w:u w:val="single"/>
                      <w:lang w:val="en-US" w:eastAsia="zh-CN" w:bidi="ar-SA"/>
                    </w:rPr>
                    <w:t>药渣暂存</w:t>
                  </w:r>
                </w:p>
              </w:tc>
              <w:tc>
                <w:tcPr>
                  <w:tcW w:w="684" w:type="pct"/>
                  <w:tcBorders>
                    <w:tl2br w:val="nil"/>
                    <w:tr2bl w:val="nil"/>
                  </w:tcBorders>
                  <w:shd w:val="clear" w:color="auto" w:fill="auto"/>
                  <w:noWrap w:val="0"/>
                  <w:vAlign w:val="center"/>
                </w:tcPr>
                <w:p w14:paraId="2B4DA216">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bCs/>
                      <w:kern w:val="2"/>
                      <w:sz w:val="21"/>
                      <w:szCs w:val="21"/>
                      <w:u w:val="single"/>
                      <w:lang w:val="en-US" w:eastAsia="zh-CN" w:bidi="ar-SA"/>
                    </w:rPr>
                  </w:pPr>
                  <w:r>
                    <w:rPr>
                      <w:rFonts w:hint="eastAsia" w:cs="Times New Roman"/>
                      <w:b/>
                      <w:bCs/>
                      <w:kern w:val="2"/>
                      <w:sz w:val="21"/>
                      <w:szCs w:val="21"/>
                      <w:u w:val="single"/>
                      <w:lang w:val="en-US" w:eastAsia="zh-CN" w:bidi="ar-SA"/>
                    </w:rPr>
                    <w:t>异味</w:t>
                  </w:r>
                </w:p>
              </w:tc>
              <w:tc>
                <w:tcPr>
                  <w:tcW w:w="402" w:type="pct"/>
                  <w:tcBorders>
                    <w:tl2br w:val="nil"/>
                    <w:tr2bl w:val="nil"/>
                  </w:tcBorders>
                  <w:shd w:val="clear" w:color="auto" w:fill="auto"/>
                  <w:noWrap w:val="0"/>
                  <w:vAlign w:val="center"/>
                </w:tcPr>
                <w:p w14:paraId="76CD54A2">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bCs/>
                      <w:kern w:val="2"/>
                      <w:sz w:val="21"/>
                      <w:szCs w:val="21"/>
                      <w:u w:val="single"/>
                      <w:lang w:val="en-US" w:eastAsia="zh-CN" w:bidi="ar-SA"/>
                    </w:rPr>
                  </w:pPr>
                  <w:r>
                    <w:rPr>
                      <w:rFonts w:hint="eastAsia" w:cs="Times New Roman"/>
                      <w:b/>
                      <w:bCs/>
                      <w:sz w:val="21"/>
                      <w:szCs w:val="21"/>
                      <w:u w:val="single"/>
                      <w:lang w:val="en-US" w:eastAsia="zh-CN"/>
                    </w:rPr>
                    <w:t>间歇</w:t>
                  </w:r>
                </w:p>
              </w:tc>
              <w:tc>
                <w:tcPr>
                  <w:tcW w:w="1788" w:type="pct"/>
                  <w:tcBorders>
                    <w:tl2br w:val="nil"/>
                    <w:tr2bl w:val="nil"/>
                  </w:tcBorders>
                  <w:shd w:val="clear" w:color="auto" w:fill="auto"/>
                  <w:noWrap w:val="0"/>
                  <w:vAlign w:val="center"/>
                </w:tcPr>
                <w:p w14:paraId="02E7C466">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b/>
                      <w:bCs/>
                      <w:color w:val="auto"/>
                      <w:sz w:val="21"/>
                      <w:szCs w:val="21"/>
                      <w:u w:val="single"/>
                    </w:rPr>
                  </w:pPr>
                  <w:r>
                    <w:rPr>
                      <w:rFonts w:hint="eastAsia"/>
                      <w:b/>
                      <w:bCs/>
                      <w:color w:val="auto"/>
                      <w:sz w:val="21"/>
                      <w:szCs w:val="21"/>
                      <w:u w:val="single"/>
                      <w:lang w:val="en-US" w:eastAsia="zh-CN"/>
                    </w:rPr>
                    <w:t>药渣暂存间密封设置，废气引至上述生产工序设置的“喷淋塔+水雾分离器+活性炭”装置</w:t>
                  </w:r>
                </w:p>
              </w:tc>
            </w:tr>
            <w:tr w14:paraId="1AC9AE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66" w:type="pct"/>
                  <w:vMerge w:val="continue"/>
                  <w:tcBorders>
                    <w:tl2br w:val="nil"/>
                    <w:tr2bl w:val="nil"/>
                  </w:tcBorders>
                  <w:noWrap w:val="0"/>
                  <w:vAlign w:val="center"/>
                </w:tcPr>
                <w:p w14:paraId="2D1D5212">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p>
              </w:tc>
              <w:tc>
                <w:tcPr>
                  <w:tcW w:w="916" w:type="pct"/>
                  <w:tcBorders>
                    <w:tl2br w:val="nil"/>
                    <w:tr2bl w:val="nil"/>
                  </w:tcBorders>
                  <w:shd w:val="clear" w:color="auto" w:fill="auto"/>
                  <w:noWrap w:val="0"/>
                  <w:vAlign w:val="center"/>
                </w:tcPr>
                <w:p w14:paraId="3E305369">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u w:val="none"/>
                      <w:lang w:val="en-US" w:eastAsia="zh-CN" w:bidi="ar-SA"/>
                    </w:rPr>
                  </w:pPr>
                  <w:r>
                    <w:rPr>
                      <w:rFonts w:hint="eastAsia" w:cs="Times New Roman"/>
                      <w:sz w:val="21"/>
                      <w:szCs w:val="21"/>
                      <w:u w:val="none"/>
                      <w:lang w:val="en-US" w:eastAsia="zh-CN"/>
                    </w:rPr>
                    <w:t>普通中药饮片生产线车间</w:t>
                  </w:r>
                </w:p>
              </w:tc>
              <w:tc>
                <w:tcPr>
                  <w:tcW w:w="842" w:type="pct"/>
                  <w:tcBorders>
                    <w:tl2br w:val="nil"/>
                    <w:tr2bl w:val="nil"/>
                  </w:tcBorders>
                  <w:shd w:val="clear" w:color="auto" w:fill="auto"/>
                  <w:noWrap w:val="0"/>
                  <w:vAlign w:val="center"/>
                </w:tcPr>
                <w:p w14:paraId="5C6F5FBD">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u w:val="none"/>
                      <w:lang w:val="en-US" w:eastAsia="zh-CN" w:bidi="ar-SA"/>
                    </w:rPr>
                  </w:pPr>
                  <w:r>
                    <w:rPr>
                      <w:rFonts w:hint="eastAsia"/>
                      <w:sz w:val="21"/>
                      <w:szCs w:val="21"/>
                    </w:rPr>
                    <w:t>中药饮片车间干燥、粉碎、筛分</w:t>
                  </w:r>
                  <w:r>
                    <w:rPr>
                      <w:rFonts w:hint="eastAsia"/>
                      <w:sz w:val="21"/>
                      <w:szCs w:val="21"/>
                      <w:lang w:val="en-US" w:eastAsia="zh-CN"/>
                    </w:rPr>
                    <w:t>工序</w:t>
                  </w:r>
                </w:p>
              </w:tc>
              <w:tc>
                <w:tcPr>
                  <w:tcW w:w="684" w:type="pct"/>
                  <w:tcBorders>
                    <w:tl2br w:val="nil"/>
                    <w:tr2bl w:val="nil"/>
                  </w:tcBorders>
                  <w:shd w:val="clear" w:color="auto" w:fill="auto"/>
                  <w:noWrap w:val="0"/>
                  <w:vAlign w:val="center"/>
                </w:tcPr>
                <w:p w14:paraId="2537667A">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u w:val="none"/>
                      <w:lang w:val="en-US" w:eastAsia="zh-CN" w:bidi="ar-SA"/>
                    </w:rPr>
                  </w:pPr>
                  <w:r>
                    <w:rPr>
                      <w:rFonts w:hint="eastAsia" w:cs="Times New Roman"/>
                      <w:sz w:val="21"/>
                      <w:szCs w:val="21"/>
                      <w:u w:val="none"/>
                      <w:lang w:val="en-US" w:eastAsia="zh-CN"/>
                    </w:rPr>
                    <w:t>颗粒物</w:t>
                  </w:r>
                </w:p>
              </w:tc>
              <w:tc>
                <w:tcPr>
                  <w:tcW w:w="402" w:type="pct"/>
                  <w:tcBorders>
                    <w:tl2br w:val="nil"/>
                    <w:tr2bl w:val="nil"/>
                  </w:tcBorders>
                  <w:shd w:val="clear" w:color="auto" w:fill="auto"/>
                  <w:noWrap w:val="0"/>
                  <w:vAlign w:val="center"/>
                </w:tcPr>
                <w:p w14:paraId="65727BA5">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u w:val="none"/>
                      <w:lang w:val="en-US" w:eastAsia="zh-CN" w:bidi="ar-SA"/>
                    </w:rPr>
                  </w:pPr>
                  <w:r>
                    <w:rPr>
                      <w:rFonts w:hint="eastAsia" w:cs="Times New Roman"/>
                      <w:sz w:val="21"/>
                      <w:szCs w:val="21"/>
                      <w:u w:val="none"/>
                      <w:lang w:val="en-US" w:eastAsia="zh-CN"/>
                    </w:rPr>
                    <w:t>间歇</w:t>
                  </w:r>
                </w:p>
              </w:tc>
              <w:tc>
                <w:tcPr>
                  <w:tcW w:w="1788" w:type="pct"/>
                  <w:tcBorders>
                    <w:tl2br w:val="nil"/>
                    <w:tr2bl w:val="nil"/>
                  </w:tcBorders>
                  <w:shd w:val="clear" w:color="auto" w:fill="auto"/>
                  <w:noWrap w:val="0"/>
                  <w:vAlign w:val="center"/>
                </w:tcPr>
                <w:p w14:paraId="72808FDA">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highlight w:val="none"/>
                      <w:u w:val="none"/>
                      <w:lang w:val="en-US" w:eastAsia="zh-CN" w:bidi="ar-SA"/>
                    </w:rPr>
                  </w:pPr>
                  <w:r>
                    <w:rPr>
                      <w:rFonts w:hint="default" w:ascii="Times New Roman" w:hAnsi="Times New Roman" w:cs="Times New Roman"/>
                      <w:sz w:val="21"/>
                      <w:szCs w:val="21"/>
                      <w:highlight w:val="none"/>
                      <w:u w:val="none"/>
                      <w:lang w:val="en-US" w:eastAsia="zh-CN"/>
                    </w:rPr>
                    <w:t>集气罩+袋式除尘器+15m高排气筒</w:t>
                  </w:r>
                </w:p>
              </w:tc>
            </w:tr>
            <w:tr w14:paraId="7280D3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66" w:type="pct"/>
                  <w:vMerge w:val="continue"/>
                  <w:tcBorders>
                    <w:tl2br w:val="nil"/>
                    <w:tr2bl w:val="nil"/>
                  </w:tcBorders>
                  <w:noWrap w:val="0"/>
                  <w:vAlign w:val="center"/>
                </w:tcPr>
                <w:p w14:paraId="6071265E">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p>
              </w:tc>
              <w:tc>
                <w:tcPr>
                  <w:tcW w:w="916" w:type="pct"/>
                  <w:tcBorders>
                    <w:tl2br w:val="nil"/>
                    <w:tr2bl w:val="nil"/>
                  </w:tcBorders>
                  <w:noWrap w:val="0"/>
                  <w:vAlign w:val="center"/>
                </w:tcPr>
                <w:p w14:paraId="1AE9F25C">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u w:val="none"/>
                      <w:lang w:val="en-US" w:eastAsia="zh-CN"/>
                    </w:rPr>
                  </w:pPr>
                  <w:r>
                    <w:rPr>
                      <w:rFonts w:hint="eastAsia" w:cs="Times New Roman"/>
                      <w:sz w:val="21"/>
                      <w:szCs w:val="21"/>
                      <w:u w:val="none"/>
                      <w:lang w:val="en-US" w:eastAsia="zh-CN"/>
                    </w:rPr>
                    <w:t>毒性中药饮片生产线车间</w:t>
                  </w:r>
                </w:p>
              </w:tc>
              <w:tc>
                <w:tcPr>
                  <w:tcW w:w="842" w:type="pct"/>
                  <w:tcBorders>
                    <w:tl2br w:val="nil"/>
                    <w:tr2bl w:val="nil"/>
                  </w:tcBorders>
                  <w:noWrap w:val="0"/>
                  <w:vAlign w:val="center"/>
                </w:tcPr>
                <w:p w14:paraId="0290C67D">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sz w:val="21"/>
                      <w:szCs w:val="21"/>
                      <w:u w:val="none"/>
                      <w:lang w:val="en-US" w:eastAsia="zh-CN"/>
                    </w:rPr>
                  </w:pPr>
                  <w:r>
                    <w:rPr>
                      <w:rFonts w:hint="eastAsia"/>
                      <w:sz w:val="21"/>
                      <w:szCs w:val="21"/>
                    </w:rPr>
                    <w:t>中药饮片车间干燥、</w:t>
                  </w:r>
                  <w:r>
                    <w:rPr>
                      <w:rFonts w:hint="eastAsia"/>
                      <w:sz w:val="21"/>
                      <w:szCs w:val="21"/>
                      <w:lang w:val="en-US" w:eastAsia="zh-CN"/>
                    </w:rPr>
                    <w:t>切制</w:t>
                  </w:r>
                  <w:r>
                    <w:rPr>
                      <w:rFonts w:hint="eastAsia"/>
                      <w:sz w:val="21"/>
                      <w:szCs w:val="21"/>
                    </w:rPr>
                    <w:t>、筛分</w:t>
                  </w:r>
                  <w:r>
                    <w:rPr>
                      <w:rFonts w:hint="eastAsia"/>
                      <w:sz w:val="21"/>
                      <w:szCs w:val="21"/>
                      <w:lang w:val="en-US" w:eastAsia="zh-CN"/>
                    </w:rPr>
                    <w:t>工序</w:t>
                  </w:r>
                </w:p>
              </w:tc>
              <w:tc>
                <w:tcPr>
                  <w:tcW w:w="684" w:type="pct"/>
                  <w:tcBorders>
                    <w:tl2br w:val="nil"/>
                    <w:tr2bl w:val="nil"/>
                  </w:tcBorders>
                  <w:noWrap w:val="0"/>
                  <w:vAlign w:val="center"/>
                </w:tcPr>
                <w:p w14:paraId="51FFFC3D">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u w:val="none"/>
                      <w:lang w:val="en-US" w:eastAsia="zh-CN" w:bidi="ar-SA"/>
                    </w:rPr>
                  </w:pPr>
                  <w:r>
                    <w:rPr>
                      <w:rFonts w:hint="eastAsia" w:cs="Times New Roman"/>
                      <w:sz w:val="21"/>
                      <w:szCs w:val="21"/>
                      <w:u w:val="none"/>
                      <w:lang w:val="en-US" w:eastAsia="zh-CN"/>
                    </w:rPr>
                    <w:t>颗粒物</w:t>
                  </w:r>
                </w:p>
              </w:tc>
              <w:tc>
                <w:tcPr>
                  <w:tcW w:w="402" w:type="pct"/>
                  <w:tcBorders>
                    <w:tl2br w:val="nil"/>
                    <w:tr2bl w:val="nil"/>
                  </w:tcBorders>
                  <w:noWrap w:val="0"/>
                  <w:vAlign w:val="center"/>
                </w:tcPr>
                <w:p w14:paraId="2AAB8701">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kern w:val="2"/>
                      <w:sz w:val="21"/>
                      <w:szCs w:val="21"/>
                      <w:u w:val="none"/>
                      <w:lang w:val="en-US" w:eastAsia="zh-CN" w:bidi="ar-SA"/>
                    </w:rPr>
                  </w:pPr>
                  <w:r>
                    <w:rPr>
                      <w:rFonts w:hint="eastAsia" w:cs="Times New Roman"/>
                      <w:sz w:val="21"/>
                      <w:szCs w:val="21"/>
                      <w:u w:val="none"/>
                      <w:lang w:val="en-US" w:eastAsia="zh-CN"/>
                    </w:rPr>
                    <w:t>间歇</w:t>
                  </w:r>
                </w:p>
              </w:tc>
              <w:tc>
                <w:tcPr>
                  <w:tcW w:w="1788" w:type="pct"/>
                  <w:tcBorders>
                    <w:tl2br w:val="nil"/>
                    <w:tr2bl w:val="nil"/>
                  </w:tcBorders>
                  <w:noWrap w:val="0"/>
                  <w:vAlign w:val="center"/>
                </w:tcPr>
                <w:p w14:paraId="7E758D88">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highlight w:val="none"/>
                      <w:u w:val="none"/>
                      <w:lang w:val="en-US" w:eastAsia="zh-CN"/>
                    </w:rPr>
                  </w:pPr>
                  <w:r>
                    <w:rPr>
                      <w:rFonts w:hint="default" w:ascii="Times New Roman" w:hAnsi="Times New Roman" w:cs="Times New Roman"/>
                      <w:sz w:val="21"/>
                      <w:szCs w:val="21"/>
                      <w:highlight w:val="none"/>
                      <w:u w:val="none"/>
                      <w:lang w:val="en-US" w:eastAsia="zh-CN"/>
                    </w:rPr>
                    <w:t>集气罩+袋式除尘器+15m高排气筒</w:t>
                  </w:r>
                </w:p>
              </w:tc>
            </w:tr>
            <w:tr w14:paraId="7AE12F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366" w:type="pct"/>
                  <w:vMerge w:val="continue"/>
                  <w:tcBorders>
                    <w:tl2br w:val="nil"/>
                    <w:tr2bl w:val="nil"/>
                  </w:tcBorders>
                  <w:noWrap w:val="0"/>
                  <w:vAlign w:val="center"/>
                </w:tcPr>
                <w:p w14:paraId="2AA1098D">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p>
              </w:tc>
              <w:tc>
                <w:tcPr>
                  <w:tcW w:w="916" w:type="pct"/>
                  <w:tcBorders>
                    <w:tl2br w:val="nil"/>
                    <w:tr2bl w:val="nil"/>
                  </w:tcBorders>
                  <w:shd w:val="clear" w:color="auto" w:fill="auto"/>
                  <w:noWrap w:val="0"/>
                  <w:vAlign w:val="center"/>
                </w:tcPr>
                <w:p w14:paraId="4A20F195">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u w:val="none"/>
                      <w:lang w:val="en-US" w:eastAsia="zh-CN" w:bidi="ar-SA"/>
                    </w:rPr>
                  </w:pPr>
                  <w:r>
                    <w:rPr>
                      <w:rFonts w:hint="eastAsia" w:ascii="Times New Roman" w:hAnsi="Times New Roman" w:cs="Times New Roman"/>
                      <w:sz w:val="21"/>
                      <w:szCs w:val="21"/>
                      <w:u w:val="none"/>
                      <w:lang w:val="en-US" w:eastAsia="zh-CN"/>
                    </w:rPr>
                    <w:t>口服饮片车间、</w:t>
                  </w:r>
                  <w:r>
                    <w:rPr>
                      <w:rFonts w:hint="default" w:ascii="Times New Roman" w:hAnsi="Times New Roman" w:cs="Times New Roman"/>
                      <w:sz w:val="21"/>
                      <w:szCs w:val="21"/>
                      <w:u w:val="none"/>
                      <w:lang w:val="en-US" w:eastAsia="zh-CN"/>
                    </w:rPr>
                    <w:t>颗粒剂车间及</w:t>
                  </w:r>
                  <w:r>
                    <w:rPr>
                      <w:rFonts w:hint="eastAsia" w:ascii="Times New Roman" w:hAnsi="Times New Roman" w:cs="Times New Roman"/>
                      <w:sz w:val="21"/>
                      <w:szCs w:val="21"/>
                      <w:u w:val="none"/>
                      <w:lang w:val="en-US" w:eastAsia="zh-CN"/>
                    </w:rPr>
                    <w:t>丸剂</w:t>
                  </w:r>
                  <w:r>
                    <w:rPr>
                      <w:rFonts w:hint="default" w:ascii="Times New Roman" w:hAnsi="Times New Roman" w:cs="Times New Roman"/>
                      <w:sz w:val="21"/>
                      <w:szCs w:val="21"/>
                      <w:u w:val="none"/>
                      <w:lang w:val="en-US" w:eastAsia="zh-CN"/>
                    </w:rPr>
                    <w:t>车间</w:t>
                  </w:r>
                </w:p>
              </w:tc>
              <w:tc>
                <w:tcPr>
                  <w:tcW w:w="842" w:type="pct"/>
                  <w:tcBorders>
                    <w:tl2br w:val="nil"/>
                    <w:tr2bl w:val="nil"/>
                  </w:tcBorders>
                  <w:shd w:val="clear" w:color="auto" w:fill="auto"/>
                  <w:noWrap w:val="0"/>
                  <w:vAlign w:val="center"/>
                </w:tcPr>
                <w:p w14:paraId="1BC63E05">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u w:val="none"/>
                      <w:lang w:val="en-US" w:eastAsia="zh-CN" w:bidi="ar-SA"/>
                    </w:rPr>
                  </w:pPr>
                  <w:r>
                    <w:rPr>
                      <w:rFonts w:hint="default" w:ascii="Times New Roman" w:hAnsi="Times New Roman" w:cs="Times New Roman"/>
                      <w:sz w:val="21"/>
                      <w:szCs w:val="21"/>
                      <w:u w:val="none"/>
                      <w:lang w:val="en-US" w:eastAsia="zh-CN"/>
                    </w:rPr>
                    <w:t>颗粒剂车间干燥、制粒、破碎、筛分工序及制丸车间配料、和药、制丸等工序</w:t>
                  </w:r>
                </w:p>
              </w:tc>
              <w:tc>
                <w:tcPr>
                  <w:tcW w:w="684" w:type="pct"/>
                  <w:tcBorders>
                    <w:tl2br w:val="nil"/>
                    <w:tr2bl w:val="nil"/>
                  </w:tcBorders>
                  <w:shd w:val="clear" w:color="auto" w:fill="auto"/>
                  <w:noWrap w:val="0"/>
                  <w:vAlign w:val="center"/>
                </w:tcPr>
                <w:p w14:paraId="424ABC78">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u w:val="none"/>
                      <w:lang w:val="en-US" w:eastAsia="zh-CN" w:bidi="ar-SA"/>
                    </w:rPr>
                  </w:pPr>
                  <w:r>
                    <w:rPr>
                      <w:rFonts w:hint="eastAsia" w:cs="Times New Roman"/>
                      <w:kern w:val="2"/>
                      <w:sz w:val="21"/>
                      <w:szCs w:val="21"/>
                      <w:u w:val="none"/>
                      <w:lang w:val="en-US" w:eastAsia="zh-CN" w:bidi="ar-SA"/>
                    </w:rPr>
                    <w:t>颗粒物</w:t>
                  </w:r>
                </w:p>
              </w:tc>
              <w:tc>
                <w:tcPr>
                  <w:tcW w:w="402" w:type="pct"/>
                  <w:tcBorders>
                    <w:tl2br w:val="nil"/>
                    <w:tr2bl w:val="nil"/>
                  </w:tcBorders>
                  <w:shd w:val="clear" w:color="auto" w:fill="auto"/>
                  <w:noWrap w:val="0"/>
                  <w:vAlign w:val="center"/>
                </w:tcPr>
                <w:p w14:paraId="34C1D747">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u w:val="none"/>
                      <w:lang w:val="en-US" w:eastAsia="zh-CN" w:bidi="ar-SA"/>
                    </w:rPr>
                  </w:pPr>
                  <w:r>
                    <w:rPr>
                      <w:rFonts w:hint="eastAsia" w:cs="Times New Roman"/>
                      <w:sz w:val="21"/>
                      <w:szCs w:val="21"/>
                      <w:u w:val="none"/>
                      <w:lang w:val="en-US" w:eastAsia="zh-CN"/>
                    </w:rPr>
                    <w:t>间歇</w:t>
                  </w:r>
                </w:p>
              </w:tc>
              <w:tc>
                <w:tcPr>
                  <w:tcW w:w="1788" w:type="pct"/>
                  <w:tcBorders>
                    <w:tl2br w:val="nil"/>
                    <w:tr2bl w:val="nil"/>
                  </w:tcBorders>
                  <w:shd w:val="clear" w:color="auto" w:fill="auto"/>
                  <w:noWrap w:val="0"/>
                  <w:vAlign w:val="center"/>
                </w:tcPr>
                <w:p w14:paraId="2D52083D">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highlight w:val="none"/>
                      <w:u w:val="none"/>
                      <w:lang w:val="en-US" w:eastAsia="zh-CN" w:bidi="ar-SA"/>
                    </w:rPr>
                  </w:pPr>
                  <w:r>
                    <w:rPr>
                      <w:rFonts w:hint="eastAsia" w:ascii="Times New Roman" w:hAnsi="Times New Roman" w:cs="Times New Roman"/>
                      <w:kern w:val="2"/>
                      <w:sz w:val="21"/>
                      <w:szCs w:val="21"/>
                      <w:highlight w:val="none"/>
                      <w:u w:val="none"/>
                      <w:lang w:val="en-US" w:eastAsia="zh-CN" w:bidi="ar-SA"/>
                    </w:rPr>
                    <w:t>密闭设备，负压收集+车间空气滤网+15m高排气筒</w:t>
                  </w:r>
                </w:p>
              </w:tc>
            </w:tr>
            <w:tr w14:paraId="5C9519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366" w:type="pct"/>
                  <w:vMerge w:val="continue"/>
                  <w:tcBorders>
                    <w:tl2br w:val="nil"/>
                    <w:tr2bl w:val="nil"/>
                  </w:tcBorders>
                  <w:noWrap w:val="0"/>
                  <w:vAlign w:val="center"/>
                </w:tcPr>
                <w:p w14:paraId="056F2287">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p>
              </w:tc>
              <w:tc>
                <w:tcPr>
                  <w:tcW w:w="916" w:type="pct"/>
                  <w:tcBorders>
                    <w:tl2br w:val="nil"/>
                    <w:tr2bl w:val="nil"/>
                  </w:tcBorders>
                  <w:noWrap w:val="0"/>
                  <w:vAlign w:val="center"/>
                </w:tcPr>
                <w:p w14:paraId="66E961BE">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kern w:val="2"/>
                      <w:sz w:val="21"/>
                      <w:szCs w:val="21"/>
                      <w:u w:val="none"/>
                      <w:lang w:val="en-US" w:eastAsia="zh-CN" w:bidi="ar-SA"/>
                    </w:rPr>
                  </w:pPr>
                  <w:r>
                    <w:rPr>
                      <w:rFonts w:hint="eastAsia" w:cs="Times New Roman"/>
                      <w:kern w:val="2"/>
                      <w:sz w:val="21"/>
                      <w:szCs w:val="21"/>
                      <w:u w:val="none"/>
                      <w:lang w:val="en-US" w:eastAsia="zh-CN" w:bidi="ar-SA"/>
                    </w:rPr>
                    <w:t>质检工序</w:t>
                  </w:r>
                </w:p>
              </w:tc>
              <w:tc>
                <w:tcPr>
                  <w:tcW w:w="842" w:type="pct"/>
                  <w:tcBorders>
                    <w:tl2br w:val="nil"/>
                    <w:tr2bl w:val="nil"/>
                  </w:tcBorders>
                  <w:noWrap w:val="0"/>
                  <w:vAlign w:val="center"/>
                </w:tcPr>
                <w:p w14:paraId="14BE219A">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lang w:val="en-US" w:eastAsia="zh-CN"/>
                    </w:rPr>
                  </w:pPr>
                  <w:r>
                    <w:rPr>
                      <w:rFonts w:hint="eastAsia" w:cs="Times New Roman"/>
                      <w:sz w:val="21"/>
                      <w:szCs w:val="21"/>
                      <w:u w:val="none"/>
                      <w:lang w:val="en-US" w:eastAsia="zh-CN"/>
                    </w:rPr>
                    <w:t>质检实验工序</w:t>
                  </w:r>
                </w:p>
              </w:tc>
              <w:tc>
                <w:tcPr>
                  <w:tcW w:w="684" w:type="pct"/>
                  <w:tcBorders>
                    <w:tl2br w:val="nil"/>
                    <w:tr2bl w:val="nil"/>
                  </w:tcBorders>
                  <w:noWrap w:val="0"/>
                  <w:vAlign w:val="center"/>
                </w:tcPr>
                <w:p w14:paraId="199CCB32">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kern w:val="2"/>
                      <w:sz w:val="21"/>
                      <w:szCs w:val="21"/>
                      <w:u w:val="none"/>
                      <w:lang w:val="en-US" w:eastAsia="zh-CN" w:bidi="ar-SA"/>
                    </w:rPr>
                  </w:pPr>
                  <w:r>
                    <w:rPr>
                      <w:rFonts w:hint="default" w:ascii="Times New Roman" w:hAnsi="Times New Roman" w:cs="Times New Roman"/>
                      <w:sz w:val="21"/>
                      <w:szCs w:val="21"/>
                      <w:u w:val="none"/>
                    </w:rPr>
                    <w:t>VOCs</w:t>
                  </w:r>
                </w:p>
              </w:tc>
              <w:tc>
                <w:tcPr>
                  <w:tcW w:w="402" w:type="pct"/>
                  <w:tcBorders>
                    <w:tl2br w:val="nil"/>
                    <w:tr2bl w:val="nil"/>
                  </w:tcBorders>
                  <w:noWrap w:val="0"/>
                  <w:vAlign w:val="center"/>
                </w:tcPr>
                <w:p w14:paraId="3677B8B0">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kern w:val="2"/>
                      <w:sz w:val="21"/>
                      <w:szCs w:val="21"/>
                      <w:u w:val="none"/>
                      <w:lang w:val="en-US" w:eastAsia="zh-CN" w:bidi="ar-SA"/>
                    </w:rPr>
                  </w:pPr>
                  <w:r>
                    <w:rPr>
                      <w:rFonts w:hint="eastAsia" w:cs="Times New Roman"/>
                      <w:sz w:val="21"/>
                      <w:szCs w:val="21"/>
                      <w:u w:val="none"/>
                      <w:lang w:val="en-US" w:eastAsia="zh-CN"/>
                    </w:rPr>
                    <w:t>间歇</w:t>
                  </w:r>
                </w:p>
              </w:tc>
              <w:tc>
                <w:tcPr>
                  <w:tcW w:w="1788" w:type="pct"/>
                  <w:tcBorders>
                    <w:tl2br w:val="nil"/>
                    <w:tr2bl w:val="nil"/>
                  </w:tcBorders>
                  <w:noWrap w:val="0"/>
                  <w:vAlign w:val="center"/>
                </w:tcPr>
                <w:p w14:paraId="4021ED06">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highlight w:val="none"/>
                      <w:u w:val="none"/>
                      <w:lang w:val="en-US" w:eastAsia="zh-CN"/>
                    </w:rPr>
                  </w:pPr>
                  <w:r>
                    <w:rPr>
                      <w:rFonts w:hint="eastAsia"/>
                      <w:sz w:val="21"/>
                      <w:szCs w:val="21"/>
                      <w:lang w:val="en-US" w:eastAsia="zh-CN"/>
                    </w:rPr>
                    <w:t>通风橱+</w:t>
                  </w:r>
                  <w:r>
                    <w:rPr>
                      <w:rFonts w:hint="eastAsia" w:ascii="Times New Roman" w:hAnsi="Times New Roman"/>
                      <w:sz w:val="21"/>
                      <w:szCs w:val="21"/>
                    </w:rPr>
                    <w:t>1套二级活性炭吸附装置+15m排气筒</w:t>
                  </w:r>
                </w:p>
              </w:tc>
            </w:tr>
            <w:tr w14:paraId="22EB4C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366" w:type="pct"/>
                  <w:vMerge w:val="continue"/>
                  <w:tcBorders>
                    <w:tl2br w:val="nil"/>
                    <w:tr2bl w:val="nil"/>
                  </w:tcBorders>
                  <w:noWrap w:val="0"/>
                  <w:vAlign w:val="center"/>
                </w:tcPr>
                <w:p w14:paraId="4FDD9304">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p>
              </w:tc>
              <w:tc>
                <w:tcPr>
                  <w:tcW w:w="916" w:type="pct"/>
                  <w:tcBorders>
                    <w:tl2br w:val="nil"/>
                    <w:tr2bl w:val="nil"/>
                  </w:tcBorders>
                  <w:noWrap w:val="0"/>
                  <w:vAlign w:val="center"/>
                </w:tcPr>
                <w:p w14:paraId="7FC66C27">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lang w:eastAsia="zh-CN"/>
                    </w:rPr>
                    <w:t>污水处理</w:t>
                  </w:r>
                  <w:r>
                    <w:rPr>
                      <w:rFonts w:hint="eastAsia" w:cs="Times New Roman"/>
                      <w:sz w:val="21"/>
                      <w:szCs w:val="21"/>
                      <w:u w:val="none"/>
                      <w:lang w:val="en-US" w:eastAsia="zh-CN"/>
                    </w:rPr>
                    <w:t>站</w:t>
                  </w:r>
                </w:p>
              </w:tc>
              <w:tc>
                <w:tcPr>
                  <w:tcW w:w="842" w:type="pct"/>
                  <w:tcBorders>
                    <w:tl2br w:val="nil"/>
                    <w:tr2bl w:val="nil"/>
                  </w:tcBorders>
                  <w:noWrap w:val="0"/>
                  <w:vAlign w:val="center"/>
                </w:tcPr>
                <w:p w14:paraId="121A30A3">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lang w:eastAsia="zh-CN"/>
                    </w:rPr>
                    <w:t>污水处理</w:t>
                  </w:r>
                  <w:r>
                    <w:rPr>
                      <w:rFonts w:hint="eastAsia" w:cs="Times New Roman"/>
                      <w:sz w:val="21"/>
                      <w:szCs w:val="21"/>
                      <w:u w:val="none"/>
                      <w:lang w:val="en-US" w:eastAsia="zh-CN"/>
                    </w:rPr>
                    <w:t>站</w:t>
                  </w:r>
                </w:p>
              </w:tc>
              <w:tc>
                <w:tcPr>
                  <w:tcW w:w="684" w:type="pct"/>
                  <w:tcBorders>
                    <w:tl2br w:val="nil"/>
                    <w:tr2bl w:val="nil"/>
                  </w:tcBorders>
                  <w:noWrap w:val="0"/>
                  <w:vAlign w:val="center"/>
                </w:tcPr>
                <w:p w14:paraId="4C7DC7E6">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u w:val="none"/>
                      <w:lang w:val="en-US" w:eastAsia="zh-CN"/>
                    </w:rPr>
                  </w:pPr>
                  <w:r>
                    <w:rPr>
                      <w:rFonts w:hint="eastAsia" w:cs="Times New Roman"/>
                      <w:sz w:val="21"/>
                      <w:szCs w:val="21"/>
                      <w:u w:val="none"/>
                      <w:lang w:val="en-US" w:eastAsia="zh-CN"/>
                    </w:rPr>
                    <w:t>NH</w:t>
                  </w:r>
                  <w:r>
                    <w:rPr>
                      <w:rFonts w:hint="eastAsia" w:cs="Times New Roman"/>
                      <w:sz w:val="21"/>
                      <w:szCs w:val="21"/>
                      <w:u w:val="none"/>
                      <w:vertAlign w:val="subscript"/>
                      <w:lang w:val="en-US" w:eastAsia="zh-CN"/>
                    </w:rPr>
                    <w:t>3</w:t>
                  </w:r>
                  <w:r>
                    <w:rPr>
                      <w:rFonts w:hint="eastAsia" w:cs="Times New Roman"/>
                      <w:sz w:val="21"/>
                      <w:szCs w:val="21"/>
                      <w:u w:val="none"/>
                      <w:lang w:val="en-US" w:eastAsia="zh-CN"/>
                    </w:rPr>
                    <w:t>、H</w:t>
                  </w:r>
                  <w:r>
                    <w:rPr>
                      <w:rFonts w:hint="eastAsia" w:cs="Times New Roman"/>
                      <w:sz w:val="21"/>
                      <w:szCs w:val="21"/>
                      <w:u w:val="none"/>
                      <w:vertAlign w:val="subscript"/>
                      <w:lang w:val="en-US" w:eastAsia="zh-CN"/>
                    </w:rPr>
                    <w:t>2</w:t>
                  </w:r>
                  <w:r>
                    <w:rPr>
                      <w:rFonts w:hint="eastAsia" w:cs="Times New Roman"/>
                      <w:sz w:val="21"/>
                      <w:szCs w:val="21"/>
                      <w:u w:val="none"/>
                      <w:lang w:val="en-US" w:eastAsia="zh-CN"/>
                    </w:rPr>
                    <w:t>S</w:t>
                  </w:r>
                </w:p>
              </w:tc>
              <w:tc>
                <w:tcPr>
                  <w:tcW w:w="402" w:type="pct"/>
                  <w:tcBorders>
                    <w:tl2br w:val="nil"/>
                    <w:tr2bl w:val="nil"/>
                  </w:tcBorders>
                  <w:noWrap w:val="0"/>
                  <w:vAlign w:val="center"/>
                </w:tcPr>
                <w:p w14:paraId="6BE918C1">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u w:val="none"/>
                      <w:lang w:eastAsia="zh-CN"/>
                    </w:rPr>
                  </w:pPr>
                  <w:r>
                    <w:rPr>
                      <w:rFonts w:hint="default" w:ascii="Times New Roman" w:hAnsi="Times New Roman" w:cs="Times New Roman"/>
                      <w:sz w:val="21"/>
                      <w:szCs w:val="21"/>
                      <w:u w:val="none"/>
                      <w:lang w:eastAsia="zh-CN"/>
                    </w:rPr>
                    <w:t>连续</w:t>
                  </w:r>
                </w:p>
              </w:tc>
              <w:tc>
                <w:tcPr>
                  <w:tcW w:w="1788" w:type="pct"/>
                  <w:tcBorders>
                    <w:tl2br w:val="nil"/>
                    <w:tr2bl w:val="nil"/>
                  </w:tcBorders>
                  <w:noWrap w:val="0"/>
                  <w:vAlign w:val="center"/>
                </w:tcPr>
                <w:p w14:paraId="36D9395D">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highlight w:val="none"/>
                      <w:u w:val="none"/>
                    </w:rPr>
                  </w:pPr>
                  <w:r>
                    <w:rPr>
                      <w:rFonts w:hint="eastAsia" w:cs="Times New Roman"/>
                      <w:sz w:val="21"/>
                      <w:szCs w:val="21"/>
                      <w:highlight w:val="none"/>
                      <w:u w:val="none"/>
                      <w:lang w:val="en-US" w:eastAsia="zh-CN"/>
                    </w:rPr>
                    <w:t>加盖密闭</w:t>
                  </w:r>
                  <w:r>
                    <w:rPr>
                      <w:rFonts w:hint="eastAsia" w:ascii="Times New Roman" w:hAnsi="Times New Roman"/>
                      <w:sz w:val="21"/>
                      <w:szCs w:val="21"/>
                      <w:lang w:val="en-US" w:eastAsia="zh-CN"/>
                    </w:rPr>
                    <w:t>+</w:t>
                  </w:r>
                  <w:r>
                    <w:rPr>
                      <w:rFonts w:hint="eastAsia"/>
                      <w:sz w:val="21"/>
                      <w:szCs w:val="21"/>
                      <w:lang w:val="en-US" w:eastAsia="zh-CN"/>
                    </w:rPr>
                    <w:t>生物滤池除臭装置</w:t>
                  </w:r>
                  <w:r>
                    <w:rPr>
                      <w:rFonts w:hint="eastAsia" w:ascii="Times New Roman" w:hAnsi="Times New Roman"/>
                      <w:sz w:val="21"/>
                      <w:szCs w:val="21"/>
                      <w:lang w:val="en-US" w:eastAsia="zh-CN"/>
                    </w:rPr>
                    <w:t>+绿化等除臭措施</w:t>
                  </w:r>
                </w:p>
              </w:tc>
            </w:tr>
            <w:tr w14:paraId="3BA578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366" w:type="pct"/>
                  <w:vMerge w:val="continue"/>
                  <w:tcBorders>
                    <w:tl2br w:val="nil"/>
                    <w:tr2bl w:val="nil"/>
                  </w:tcBorders>
                  <w:noWrap w:val="0"/>
                  <w:vAlign w:val="center"/>
                </w:tcPr>
                <w:p w14:paraId="41DD10EE">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p>
              </w:tc>
              <w:tc>
                <w:tcPr>
                  <w:tcW w:w="916" w:type="pct"/>
                  <w:tcBorders>
                    <w:tl2br w:val="nil"/>
                    <w:tr2bl w:val="nil"/>
                  </w:tcBorders>
                  <w:noWrap w:val="0"/>
                  <w:vAlign w:val="center"/>
                </w:tcPr>
                <w:p w14:paraId="44959C40">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lang w:val="en-US" w:eastAsia="zh-CN"/>
                    </w:rPr>
                  </w:pPr>
                  <w:r>
                    <w:rPr>
                      <w:rFonts w:hint="eastAsia" w:cs="Times New Roman"/>
                      <w:sz w:val="21"/>
                      <w:szCs w:val="21"/>
                      <w:u w:val="none"/>
                      <w:lang w:val="en-US" w:eastAsia="zh-CN"/>
                    </w:rPr>
                    <w:t>办公生活</w:t>
                  </w:r>
                </w:p>
              </w:tc>
              <w:tc>
                <w:tcPr>
                  <w:tcW w:w="842" w:type="pct"/>
                  <w:tcBorders>
                    <w:tl2br w:val="nil"/>
                    <w:tr2bl w:val="nil"/>
                  </w:tcBorders>
                  <w:noWrap w:val="0"/>
                  <w:vAlign w:val="center"/>
                </w:tcPr>
                <w:p w14:paraId="3BB951C7">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lang w:val="en-US" w:eastAsia="zh-CN"/>
                    </w:rPr>
                  </w:pPr>
                  <w:r>
                    <w:rPr>
                      <w:rFonts w:hint="eastAsia" w:cs="Times New Roman"/>
                      <w:sz w:val="21"/>
                      <w:szCs w:val="21"/>
                      <w:u w:val="none"/>
                      <w:lang w:val="en-US" w:eastAsia="zh-CN"/>
                    </w:rPr>
                    <w:t>食堂</w:t>
                  </w:r>
                </w:p>
              </w:tc>
              <w:tc>
                <w:tcPr>
                  <w:tcW w:w="684" w:type="pct"/>
                  <w:tcBorders>
                    <w:tl2br w:val="nil"/>
                    <w:tr2bl w:val="nil"/>
                  </w:tcBorders>
                  <w:noWrap w:val="0"/>
                  <w:vAlign w:val="center"/>
                </w:tcPr>
                <w:p w14:paraId="6ECA5CE6">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lang w:eastAsia="zh-CN"/>
                    </w:rPr>
                  </w:pPr>
                  <w:r>
                    <w:rPr>
                      <w:rFonts w:hint="eastAsia" w:cs="Times New Roman"/>
                      <w:sz w:val="21"/>
                      <w:szCs w:val="21"/>
                      <w:u w:val="none"/>
                      <w:lang w:val="en-US" w:eastAsia="zh-CN"/>
                    </w:rPr>
                    <w:t>油烟</w:t>
                  </w:r>
                </w:p>
              </w:tc>
              <w:tc>
                <w:tcPr>
                  <w:tcW w:w="402" w:type="pct"/>
                  <w:tcBorders>
                    <w:tl2br w:val="nil"/>
                    <w:tr2bl w:val="nil"/>
                  </w:tcBorders>
                  <w:noWrap w:val="0"/>
                  <w:vAlign w:val="center"/>
                </w:tcPr>
                <w:p w14:paraId="4C5C61D9">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lang w:val="en-US" w:eastAsia="zh-CN"/>
                    </w:rPr>
                  </w:pPr>
                  <w:r>
                    <w:rPr>
                      <w:rFonts w:hint="eastAsia" w:cs="Times New Roman"/>
                      <w:sz w:val="21"/>
                      <w:szCs w:val="21"/>
                      <w:u w:val="none"/>
                      <w:lang w:val="en-US" w:eastAsia="zh-CN"/>
                    </w:rPr>
                    <w:t>间断</w:t>
                  </w:r>
                </w:p>
              </w:tc>
              <w:tc>
                <w:tcPr>
                  <w:tcW w:w="1788" w:type="pct"/>
                  <w:tcBorders>
                    <w:tl2br w:val="nil"/>
                    <w:tr2bl w:val="nil"/>
                  </w:tcBorders>
                  <w:noWrap w:val="0"/>
                  <w:vAlign w:val="center"/>
                </w:tcPr>
                <w:p w14:paraId="208BDBEE">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highlight w:val="none"/>
                      <w:u w:val="none"/>
                      <w:lang w:val="en-US"/>
                    </w:rPr>
                  </w:pPr>
                  <w:r>
                    <w:rPr>
                      <w:rFonts w:hint="eastAsia" w:ascii="Times New Roman" w:hAnsi="Times New Roman"/>
                      <w:sz w:val="21"/>
                      <w:szCs w:val="21"/>
                      <w:lang w:val="en-US" w:eastAsia="zh-CN"/>
                    </w:rPr>
                    <w:t>油烟净化装置+专用烟道</w:t>
                  </w:r>
                </w:p>
              </w:tc>
            </w:tr>
            <w:tr w14:paraId="4437CA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6" w:type="pct"/>
                  <w:vMerge w:val="restart"/>
                  <w:tcBorders>
                    <w:tl2br w:val="nil"/>
                    <w:tr2bl w:val="nil"/>
                  </w:tcBorders>
                  <w:noWrap w:val="0"/>
                  <w:vAlign w:val="center"/>
                </w:tcPr>
                <w:p w14:paraId="5E578DA9">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废水</w:t>
                  </w:r>
                </w:p>
              </w:tc>
              <w:tc>
                <w:tcPr>
                  <w:tcW w:w="916" w:type="pct"/>
                  <w:vMerge w:val="restart"/>
                  <w:tcBorders>
                    <w:tl2br w:val="nil"/>
                    <w:tr2bl w:val="nil"/>
                  </w:tcBorders>
                  <w:shd w:val="clear" w:color="auto" w:fill="auto"/>
                  <w:noWrap w:val="0"/>
                  <w:vAlign w:val="center"/>
                </w:tcPr>
                <w:p w14:paraId="6BBAB6A3">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u w:val="none"/>
                      <w:lang w:val="en-US" w:eastAsia="zh-CN" w:bidi="ar-SA"/>
                    </w:rPr>
                  </w:pPr>
                  <w:r>
                    <w:rPr>
                      <w:rFonts w:hint="default" w:ascii="Times New Roman" w:hAnsi="Times New Roman" w:cs="Times New Roman"/>
                      <w:sz w:val="21"/>
                      <w:szCs w:val="21"/>
                      <w:u w:val="none"/>
                    </w:rPr>
                    <w:t>中药</w:t>
                  </w:r>
                  <w:r>
                    <w:rPr>
                      <w:rFonts w:hint="eastAsia" w:ascii="Times New Roman" w:hAnsi="Times New Roman" w:cs="Times New Roman"/>
                      <w:sz w:val="21"/>
                      <w:szCs w:val="21"/>
                      <w:u w:val="none"/>
                      <w:lang w:val="en-US" w:eastAsia="zh-CN"/>
                    </w:rPr>
                    <w:t>饮片及毒性饮片生产</w:t>
                  </w:r>
                  <w:r>
                    <w:rPr>
                      <w:rFonts w:hint="default" w:ascii="Times New Roman" w:hAnsi="Times New Roman" w:cs="Times New Roman"/>
                      <w:sz w:val="21"/>
                      <w:szCs w:val="21"/>
                      <w:u w:val="none"/>
                    </w:rPr>
                    <w:t>车间</w:t>
                  </w:r>
                </w:p>
              </w:tc>
              <w:tc>
                <w:tcPr>
                  <w:tcW w:w="842" w:type="pct"/>
                  <w:tcBorders>
                    <w:tl2br w:val="nil"/>
                    <w:tr2bl w:val="nil"/>
                  </w:tcBorders>
                  <w:shd w:val="clear" w:color="auto" w:fill="auto"/>
                  <w:noWrap w:val="0"/>
                  <w:vAlign w:val="center"/>
                </w:tcPr>
                <w:p w14:paraId="40E3983F">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u w:val="none"/>
                      <w:lang w:val="en-US" w:eastAsia="zh-CN" w:bidi="ar-SA"/>
                    </w:rPr>
                  </w:pPr>
                  <w:r>
                    <w:rPr>
                      <w:rFonts w:hint="default" w:ascii="Times New Roman" w:hAnsi="Times New Roman" w:cs="Times New Roman"/>
                      <w:sz w:val="21"/>
                      <w:szCs w:val="21"/>
                      <w:u w:val="none"/>
                    </w:rPr>
                    <w:t>药材清洗</w:t>
                  </w:r>
                  <w:r>
                    <w:rPr>
                      <w:rFonts w:hint="default" w:ascii="Times New Roman" w:hAnsi="Times New Roman" w:cs="Times New Roman"/>
                      <w:sz w:val="21"/>
                      <w:szCs w:val="21"/>
                      <w:u w:val="none"/>
                      <w:lang w:eastAsia="zh-CN"/>
                    </w:rPr>
                    <w:t>、润药</w:t>
                  </w:r>
                  <w:r>
                    <w:rPr>
                      <w:rFonts w:hint="default" w:ascii="Times New Roman" w:hAnsi="Times New Roman" w:cs="Times New Roman"/>
                      <w:sz w:val="21"/>
                      <w:szCs w:val="21"/>
                      <w:u w:val="none"/>
                    </w:rPr>
                    <w:t>工序</w:t>
                  </w:r>
                </w:p>
              </w:tc>
              <w:tc>
                <w:tcPr>
                  <w:tcW w:w="684" w:type="pct"/>
                  <w:vMerge w:val="restart"/>
                  <w:tcBorders>
                    <w:tl2br w:val="nil"/>
                    <w:tr2bl w:val="nil"/>
                  </w:tcBorders>
                  <w:noWrap w:val="0"/>
                  <w:vAlign w:val="center"/>
                </w:tcPr>
                <w:p w14:paraId="5F77B599">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u w:val="none"/>
                      <w:lang w:val="en-US" w:eastAsia="zh-CN"/>
                    </w:rPr>
                  </w:pPr>
                  <w:r>
                    <w:rPr>
                      <w:rFonts w:hint="default" w:ascii="Times New Roman" w:hAnsi="Times New Roman" w:cs="Times New Roman"/>
                      <w:sz w:val="21"/>
                      <w:szCs w:val="21"/>
                      <w:u w:val="none"/>
                      <w:lang w:val="en-US" w:eastAsia="zh-CN"/>
                    </w:rPr>
                    <w:t>pH、</w:t>
                  </w:r>
                  <w:r>
                    <w:rPr>
                      <w:rFonts w:hint="default" w:ascii="Times New Roman" w:hAnsi="Times New Roman" w:cs="Times New Roman"/>
                      <w:sz w:val="21"/>
                      <w:szCs w:val="21"/>
                      <w:u w:val="none"/>
                    </w:rPr>
                    <w:t>COD</w:t>
                  </w:r>
                  <w:r>
                    <w:rPr>
                      <w:rFonts w:hint="default" w:ascii="Times New Roman" w:hAnsi="Times New Roman" w:cs="Times New Roman"/>
                      <w:sz w:val="21"/>
                      <w:szCs w:val="21"/>
                      <w:u w:val="none"/>
                      <w:lang w:val="en-US" w:eastAsia="zh-CN"/>
                    </w:rPr>
                    <w:t>cr</w:t>
                  </w:r>
                  <w:r>
                    <w:rPr>
                      <w:rFonts w:hint="default" w:ascii="Times New Roman" w:hAnsi="Times New Roman" w:cs="Times New Roman"/>
                      <w:sz w:val="21"/>
                      <w:szCs w:val="21"/>
                      <w:u w:val="none"/>
                    </w:rPr>
                    <w:t>、</w:t>
                  </w:r>
                  <w:r>
                    <w:rPr>
                      <w:rFonts w:hint="default" w:ascii="Times New Roman" w:hAnsi="Times New Roman" w:cs="Times New Roman"/>
                      <w:sz w:val="21"/>
                      <w:szCs w:val="21"/>
                      <w:u w:val="none"/>
                      <w:lang w:val="en-US" w:eastAsia="zh-CN"/>
                    </w:rPr>
                    <w:t>BOD</w:t>
                  </w:r>
                  <w:r>
                    <w:rPr>
                      <w:rFonts w:hint="default" w:ascii="Times New Roman" w:hAnsi="Times New Roman" w:cs="Times New Roman"/>
                      <w:sz w:val="21"/>
                      <w:szCs w:val="21"/>
                      <w:u w:val="none"/>
                      <w:vertAlign w:val="subscript"/>
                      <w:lang w:val="en-US" w:eastAsia="zh-CN"/>
                    </w:rPr>
                    <w:t>5</w:t>
                  </w:r>
                  <w:r>
                    <w:rPr>
                      <w:rFonts w:hint="default" w:ascii="Times New Roman" w:hAnsi="Times New Roman" w:cs="Times New Roman"/>
                      <w:sz w:val="21"/>
                      <w:szCs w:val="21"/>
                      <w:u w:val="none"/>
                      <w:lang w:val="en-US" w:eastAsia="zh-CN"/>
                    </w:rPr>
                    <w:t>、</w:t>
                  </w:r>
                  <w:r>
                    <w:rPr>
                      <w:rFonts w:hint="default" w:ascii="Times New Roman" w:hAnsi="Times New Roman" w:cs="Times New Roman"/>
                      <w:sz w:val="21"/>
                      <w:szCs w:val="21"/>
                      <w:u w:val="none"/>
                    </w:rPr>
                    <w:t>NH</w:t>
                  </w:r>
                  <w:r>
                    <w:rPr>
                      <w:rFonts w:hint="default" w:ascii="Times New Roman" w:hAnsi="Times New Roman" w:cs="Times New Roman"/>
                      <w:sz w:val="21"/>
                      <w:szCs w:val="21"/>
                      <w:u w:val="none"/>
                      <w:vertAlign w:val="subscript"/>
                    </w:rPr>
                    <w:t>3</w:t>
                  </w:r>
                  <w:r>
                    <w:rPr>
                      <w:rFonts w:hint="default" w:ascii="Times New Roman" w:hAnsi="Times New Roman" w:cs="Times New Roman"/>
                      <w:sz w:val="21"/>
                      <w:szCs w:val="21"/>
                      <w:u w:val="none"/>
                    </w:rPr>
                    <w:t>-N</w:t>
                  </w:r>
                  <w:r>
                    <w:rPr>
                      <w:rFonts w:hint="default" w:ascii="Times New Roman" w:hAnsi="Times New Roman" w:cs="Times New Roman"/>
                      <w:sz w:val="21"/>
                      <w:szCs w:val="21"/>
                      <w:u w:val="none"/>
                      <w:lang w:eastAsia="zh-CN"/>
                    </w:rPr>
                    <w:t>、</w:t>
                  </w:r>
                  <w:r>
                    <w:rPr>
                      <w:rFonts w:hint="default" w:ascii="Times New Roman" w:hAnsi="Times New Roman" w:cs="Times New Roman"/>
                      <w:sz w:val="21"/>
                      <w:szCs w:val="21"/>
                      <w:u w:val="none"/>
                    </w:rPr>
                    <w:t>SS</w:t>
                  </w:r>
                  <w:r>
                    <w:rPr>
                      <w:rFonts w:hint="eastAsia" w:cs="Times New Roman"/>
                      <w:sz w:val="21"/>
                      <w:szCs w:val="21"/>
                      <w:u w:val="none"/>
                      <w:lang w:eastAsia="zh-CN"/>
                    </w:rPr>
                    <w:t>、</w:t>
                  </w:r>
                  <w:r>
                    <w:rPr>
                      <w:rFonts w:hint="eastAsia" w:cs="Times New Roman"/>
                      <w:sz w:val="21"/>
                      <w:szCs w:val="21"/>
                      <w:u w:val="none"/>
                      <w:lang w:val="en-US" w:eastAsia="zh-CN"/>
                    </w:rPr>
                    <w:t>色度</w:t>
                  </w:r>
                </w:p>
              </w:tc>
              <w:tc>
                <w:tcPr>
                  <w:tcW w:w="402" w:type="pct"/>
                  <w:tcBorders>
                    <w:tl2br w:val="nil"/>
                    <w:tr2bl w:val="nil"/>
                  </w:tcBorders>
                  <w:noWrap w:val="0"/>
                  <w:vAlign w:val="center"/>
                </w:tcPr>
                <w:p w14:paraId="321A2E79">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z w:val="21"/>
                      <w:szCs w:val="21"/>
                      <w:u w:val="none"/>
                      <w:lang w:eastAsia="zh-CN"/>
                    </w:rPr>
                  </w:pPr>
                  <w:r>
                    <w:rPr>
                      <w:rFonts w:hint="eastAsia" w:cs="Times New Roman"/>
                      <w:sz w:val="21"/>
                      <w:szCs w:val="21"/>
                      <w:u w:val="none"/>
                      <w:lang w:val="en-US" w:eastAsia="zh-CN"/>
                    </w:rPr>
                    <w:t>间歇</w:t>
                  </w:r>
                </w:p>
              </w:tc>
              <w:tc>
                <w:tcPr>
                  <w:tcW w:w="1788" w:type="pct"/>
                  <w:vMerge w:val="restart"/>
                  <w:tcBorders>
                    <w:tl2br w:val="nil"/>
                    <w:tr2bl w:val="nil"/>
                  </w:tcBorders>
                  <w:noWrap w:val="0"/>
                  <w:vAlign w:val="center"/>
                </w:tcPr>
                <w:p w14:paraId="6D73CAAD">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highlight w:val="none"/>
                      <w:u w:val="none"/>
                      <w:lang w:eastAsia="zh-CN"/>
                    </w:rPr>
                  </w:pPr>
                  <w:r>
                    <w:rPr>
                      <w:rFonts w:hint="eastAsia" w:cs="Times New Roman"/>
                      <w:sz w:val="21"/>
                      <w:szCs w:val="21"/>
                      <w:highlight w:val="none"/>
                      <w:u w:val="none"/>
                      <w:lang w:val="en-US" w:eastAsia="zh-CN"/>
                    </w:rPr>
                    <w:t>毒性饮片废水解毒后与其他生产废水排入厂区污水处理站，</w:t>
                  </w:r>
                  <w:r>
                    <w:rPr>
                      <w:rFonts w:hint="default" w:ascii="Times New Roman" w:hAnsi="Times New Roman" w:cs="Times New Roman"/>
                      <w:sz w:val="21"/>
                      <w:szCs w:val="21"/>
                      <w:highlight w:val="none"/>
                      <w:u w:val="none"/>
                      <w:lang w:eastAsia="zh-CN"/>
                    </w:rPr>
                    <w:t>经污水处理站处理后排入市政污水管网</w:t>
                  </w:r>
                </w:p>
              </w:tc>
            </w:tr>
            <w:tr w14:paraId="5F65BF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6" w:type="pct"/>
                  <w:vMerge w:val="continue"/>
                  <w:tcBorders>
                    <w:tl2br w:val="nil"/>
                    <w:tr2bl w:val="nil"/>
                  </w:tcBorders>
                  <w:noWrap w:val="0"/>
                  <w:vAlign w:val="center"/>
                </w:tcPr>
                <w:p w14:paraId="00760C0F">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p>
              </w:tc>
              <w:tc>
                <w:tcPr>
                  <w:tcW w:w="916" w:type="pct"/>
                  <w:vMerge w:val="continue"/>
                  <w:tcBorders>
                    <w:tl2br w:val="nil"/>
                    <w:tr2bl w:val="nil"/>
                  </w:tcBorders>
                  <w:shd w:val="clear" w:color="auto" w:fill="auto"/>
                  <w:noWrap w:val="0"/>
                  <w:vAlign w:val="center"/>
                </w:tcPr>
                <w:p w14:paraId="3079C85D">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u w:val="none"/>
                      <w:lang w:val="en-US" w:eastAsia="zh-CN" w:bidi="ar-SA"/>
                    </w:rPr>
                  </w:pPr>
                </w:p>
              </w:tc>
              <w:tc>
                <w:tcPr>
                  <w:tcW w:w="842" w:type="pct"/>
                  <w:tcBorders>
                    <w:tl2br w:val="nil"/>
                    <w:tr2bl w:val="nil"/>
                  </w:tcBorders>
                  <w:shd w:val="clear" w:color="auto" w:fill="auto"/>
                  <w:noWrap w:val="0"/>
                  <w:vAlign w:val="center"/>
                </w:tcPr>
                <w:p w14:paraId="577B1F96">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u w:val="none"/>
                      <w:lang w:val="en-US" w:eastAsia="zh-CN" w:bidi="ar-SA"/>
                    </w:rPr>
                  </w:pPr>
                  <w:r>
                    <w:rPr>
                      <w:rFonts w:hint="default" w:ascii="Times New Roman" w:hAnsi="Times New Roman" w:cs="Times New Roman"/>
                      <w:sz w:val="21"/>
                      <w:szCs w:val="21"/>
                      <w:u w:val="none"/>
                    </w:rPr>
                    <w:t>蒸</w:t>
                  </w:r>
                  <w:r>
                    <w:rPr>
                      <w:rFonts w:hint="eastAsia" w:ascii="Times New Roman" w:hAnsi="Times New Roman" w:cs="Times New Roman"/>
                      <w:sz w:val="21"/>
                      <w:szCs w:val="21"/>
                      <w:u w:val="none"/>
                      <w:lang w:eastAsia="zh-CN"/>
                    </w:rPr>
                    <w:t>（</w:t>
                  </w:r>
                  <w:r>
                    <w:rPr>
                      <w:rFonts w:hint="default" w:ascii="Times New Roman" w:hAnsi="Times New Roman" w:cs="Times New Roman"/>
                      <w:sz w:val="21"/>
                      <w:szCs w:val="21"/>
                      <w:u w:val="none"/>
                    </w:rPr>
                    <w:t>煮</w:t>
                  </w:r>
                  <w:r>
                    <w:rPr>
                      <w:rFonts w:hint="eastAsia" w:ascii="Times New Roman" w:hAnsi="Times New Roman" w:cs="Times New Roman"/>
                      <w:sz w:val="21"/>
                      <w:szCs w:val="21"/>
                      <w:u w:val="none"/>
                      <w:lang w:eastAsia="zh-CN"/>
                    </w:rPr>
                    <w:t>）</w:t>
                  </w:r>
                  <w:r>
                    <w:rPr>
                      <w:rFonts w:hint="eastAsia" w:ascii="Times New Roman" w:hAnsi="Times New Roman" w:cs="Times New Roman"/>
                      <w:sz w:val="21"/>
                      <w:szCs w:val="21"/>
                      <w:u w:val="none"/>
                      <w:lang w:val="en-US" w:eastAsia="zh-CN"/>
                    </w:rPr>
                    <w:t>制</w:t>
                  </w:r>
                  <w:r>
                    <w:rPr>
                      <w:rFonts w:hint="default" w:ascii="Times New Roman" w:hAnsi="Times New Roman" w:cs="Times New Roman"/>
                      <w:sz w:val="21"/>
                      <w:szCs w:val="21"/>
                      <w:u w:val="none"/>
                    </w:rPr>
                    <w:t>工序</w:t>
                  </w:r>
                </w:p>
              </w:tc>
              <w:tc>
                <w:tcPr>
                  <w:tcW w:w="684" w:type="pct"/>
                  <w:vMerge w:val="continue"/>
                  <w:tcBorders>
                    <w:tl2br w:val="nil"/>
                    <w:tr2bl w:val="nil"/>
                  </w:tcBorders>
                  <w:noWrap w:val="0"/>
                  <w:vAlign w:val="center"/>
                </w:tcPr>
                <w:p w14:paraId="646EAE2E">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p>
              </w:tc>
              <w:tc>
                <w:tcPr>
                  <w:tcW w:w="402" w:type="pct"/>
                  <w:tcBorders>
                    <w:tl2br w:val="nil"/>
                    <w:tr2bl w:val="nil"/>
                  </w:tcBorders>
                  <w:noWrap w:val="0"/>
                  <w:vAlign w:val="center"/>
                </w:tcPr>
                <w:p w14:paraId="7831248B">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r>
                    <w:rPr>
                      <w:rFonts w:hint="eastAsia" w:cs="Times New Roman"/>
                      <w:sz w:val="21"/>
                      <w:szCs w:val="21"/>
                      <w:u w:val="none"/>
                      <w:lang w:val="en-US" w:eastAsia="zh-CN"/>
                    </w:rPr>
                    <w:t>间歇</w:t>
                  </w:r>
                </w:p>
              </w:tc>
              <w:tc>
                <w:tcPr>
                  <w:tcW w:w="1788" w:type="pct"/>
                  <w:vMerge w:val="continue"/>
                  <w:tcBorders>
                    <w:tl2br w:val="nil"/>
                    <w:tr2bl w:val="nil"/>
                  </w:tcBorders>
                  <w:noWrap w:val="0"/>
                  <w:vAlign w:val="center"/>
                </w:tcPr>
                <w:p w14:paraId="4B9E7C4A">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highlight w:val="yellow"/>
                      <w:u w:val="none"/>
                    </w:rPr>
                  </w:pPr>
                </w:p>
              </w:tc>
            </w:tr>
            <w:tr w14:paraId="3160F9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6" w:type="pct"/>
                  <w:vMerge w:val="continue"/>
                  <w:tcBorders>
                    <w:tl2br w:val="nil"/>
                    <w:tr2bl w:val="nil"/>
                  </w:tcBorders>
                  <w:noWrap w:val="0"/>
                  <w:vAlign w:val="center"/>
                </w:tcPr>
                <w:p w14:paraId="6728D77B">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p>
              </w:tc>
              <w:tc>
                <w:tcPr>
                  <w:tcW w:w="916" w:type="pct"/>
                  <w:vMerge w:val="continue"/>
                  <w:tcBorders>
                    <w:tl2br w:val="nil"/>
                    <w:tr2bl w:val="nil"/>
                  </w:tcBorders>
                  <w:shd w:val="clear" w:color="auto" w:fill="auto"/>
                  <w:noWrap w:val="0"/>
                  <w:vAlign w:val="center"/>
                </w:tcPr>
                <w:p w14:paraId="3722DB73">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u w:val="none"/>
                      <w:lang w:val="en-US" w:eastAsia="zh-CN" w:bidi="ar-SA"/>
                    </w:rPr>
                  </w:pPr>
                </w:p>
              </w:tc>
              <w:tc>
                <w:tcPr>
                  <w:tcW w:w="842" w:type="pct"/>
                  <w:tcBorders>
                    <w:tl2br w:val="nil"/>
                    <w:tr2bl w:val="nil"/>
                  </w:tcBorders>
                  <w:shd w:val="clear" w:color="auto" w:fill="auto"/>
                  <w:noWrap w:val="0"/>
                  <w:vAlign w:val="center"/>
                </w:tcPr>
                <w:p w14:paraId="1C4CA402">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发酵工序</w:t>
                  </w:r>
                </w:p>
              </w:tc>
              <w:tc>
                <w:tcPr>
                  <w:tcW w:w="684" w:type="pct"/>
                  <w:vMerge w:val="continue"/>
                  <w:tcBorders>
                    <w:tl2br w:val="nil"/>
                    <w:tr2bl w:val="nil"/>
                  </w:tcBorders>
                  <w:noWrap w:val="0"/>
                  <w:vAlign w:val="center"/>
                </w:tcPr>
                <w:p w14:paraId="254EAC02">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p>
              </w:tc>
              <w:tc>
                <w:tcPr>
                  <w:tcW w:w="402" w:type="pct"/>
                  <w:tcBorders>
                    <w:tl2br w:val="nil"/>
                    <w:tr2bl w:val="nil"/>
                  </w:tcBorders>
                  <w:noWrap w:val="0"/>
                  <w:vAlign w:val="center"/>
                </w:tcPr>
                <w:p w14:paraId="215A1B97">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z w:val="21"/>
                      <w:szCs w:val="21"/>
                      <w:u w:val="none"/>
                      <w:lang w:val="en-US" w:eastAsia="zh-CN"/>
                    </w:rPr>
                  </w:pPr>
                  <w:r>
                    <w:rPr>
                      <w:rFonts w:hint="eastAsia" w:cs="Times New Roman"/>
                      <w:sz w:val="21"/>
                      <w:szCs w:val="21"/>
                      <w:u w:val="none"/>
                      <w:lang w:val="en-US" w:eastAsia="zh-CN"/>
                    </w:rPr>
                    <w:t>间歇</w:t>
                  </w:r>
                </w:p>
              </w:tc>
              <w:tc>
                <w:tcPr>
                  <w:tcW w:w="1788" w:type="pct"/>
                  <w:vMerge w:val="continue"/>
                  <w:tcBorders>
                    <w:tl2br w:val="nil"/>
                    <w:tr2bl w:val="nil"/>
                  </w:tcBorders>
                  <w:noWrap w:val="0"/>
                  <w:vAlign w:val="center"/>
                </w:tcPr>
                <w:p w14:paraId="569E648F">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highlight w:val="yellow"/>
                      <w:u w:val="none"/>
                    </w:rPr>
                  </w:pPr>
                </w:p>
              </w:tc>
            </w:tr>
            <w:tr w14:paraId="20EED1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6" w:type="pct"/>
                  <w:vMerge w:val="continue"/>
                  <w:tcBorders>
                    <w:tl2br w:val="nil"/>
                    <w:tr2bl w:val="nil"/>
                  </w:tcBorders>
                  <w:noWrap w:val="0"/>
                  <w:vAlign w:val="center"/>
                </w:tcPr>
                <w:p w14:paraId="4B12CEE5">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p>
              </w:tc>
              <w:tc>
                <w:tcPr>
                  <w:tcW w:w="916" w:type="pct"/>
                  <w:vMerge w:val="continue"/>
                  <w:tcBorders>
                    <w:tl2br w:val="nil"/>
                    <w:tr2bl w:val="nil"/>
                  </w:tcBorders>
                  <w:shd w:val="clear" w:color="auto" w:fill="auto"/>
                  <w:noWrap w:val="0"/>
                  <w:vAlign w:val="center"/>
                </w:tcPr>
                <w:p w14:paraId="1061E41B">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u w:val="none"/>
                      <w:lang w:val="en-US" w:eastAsia="zh-CN" w:bidi="ar-SA"/>
                    </w:rPr>
                  </w:pPr>
                </w:p>
              </w:tc>
              <w:tc>
                <w:tcPr>
                  <w:tcW w:w="842" w:type="pct"/>
                  <w:tcBorders>
                    <w:tl2br w:val="nil"/>
                    <w:tr2bl w:val="nil"/>
                  </w:tcBorders>
                  <w:shd w:val="clear" w:color="auto" w:fill="auto"/>
                  <w:noWrap w:val="0"/>
                  <w:vAlign w:val="center"/>
                </w:tcPr>
                <w:p w14:paraId="72D28B2E">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提取工序</w:t>
                  </w:r>
                </w:p>
              </w:tc>
              <w:tc>
                <w:tcPr>
                  <w:tcW w:w="684" w:type="pct"/>
                  <w:vMerge w:val="continue"/>
                  <w:tcBorders>
                    <w:tl2br w:val="nil"/>
                    <w:tr2bl w:val="nil"/>
                  </w:tcBorders>
                  <w:noWrap w:val="0"/>
                  <w:vAlign w:val="center"/>
                </w:tcPr>
                <w:p w14:paraId="7FB24164">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p>
              </w:tc>
              <w:tc>
                <w:tcPr>
                  <w:tcW w:w="402" w:type="pct"/>
                  <w:tcBorders>
                    <w:tl2br w:val="nil"/>
                    <w:tr2bl w:val="nil"/>
                  </w:tcBorders>
                  <w:noWrap w:val="0"/>
                  <w:vAlign w:val="center"/>
                </w:tcPr>
                <w:p w14:paraId="7FD2922F">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r>
                    <w:rPr>
                      <w:rFonts w:hint="eastAsia" w:cs="Times New Roman"/>
                      <w:sz w:val="21"/>
                      <w:szCs w:val="21"/>
                      <w:u w:val="none"/>
                      <w:lang w:val="en-US" w:eastAsia="zh-CN"/>
                    </w:rPr>
                    <w:t>间歇</w:t>
                  </w:r>
                </w:p>
              </w:tc>
              <w:tc>
                <w:tcPr>
                  <w:tcW w:w="1788" w:type="pct"/>
                  <w:vMerge w:val="continue"/>
                  <w:tcBorders>
                    <w:tl2br w:val="nil"/>
                    <w:tr2bl w:val="nil"/>
                  </w:tcBorders>
                  <w:noWrap w:val="0"/>
                  <w:vAlign w:val="center"/>
                </w:tcPr>
                <w:p w14:paraId="4856E9A7">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highlight w:val="yellow"/>
                      <w:u w:val="none"/>
                    </w:rPr>
                  </w:pPr>
                </w:p>
              </w:tc>
            </w:tr>
            <w:tr w14:paraId="32FF47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6" w:type="pct"/>
                  <w:vMerge w:val="continue"/>
                  <w:tcBorders>
                    <w:tl2br w:val="nil"/>
                    <w:tr2bl w:val="nil"/>
                  </w:tcBorders>
                  <w:noWrap w:val="0"/>
                  <w:vAlign w:val="center"/>
                </w:tcPr>
                <w:p w14:paraId="57AD3774">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p>
              </w:tc>
              <w:tc>
                <w:tcPr>
                  <w:tcW w:w="916" w:type="pct"/>
                  <w:vMerge w:val="restart"/>
                  <w:tcBorders>
                    <w:tl2br w:val="nil"/>
                    <w:tr2bl w:val="nil"/>
                  </w:tcBorders>
                  <w:shd w:val="clear" w:color="auto" w:fill="auto"/>
                  <w:noWrap w:val="0"/>
                  <w:vAlign w:val="center"/>
                </w:tcPr>
                <w:p w14:paraId="697E2607">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u w:val="none"/>
                      <w:lang w:val="en-US" w:eastAsia="zh-CN" w:bidi="ar-SA"/>
                    </w:rPr>
                  </w:pPr>
                  <w:r>
                    <w:rPr>
                      <w:rFonts w:hint="default" w:ascii="Times New Roman" w:hAnsi="Times New Roman" w:cs="Times New Roman"/>
                      <w:sz w:val="21"/>
                      <w:szCs w:val="21"/>
                      <w:u w:val="none"/>
                      <w:lang w:eastAsia="zh-CN"/>
                    </w:rPr>
                    <w:t>各生产车间</w:t>
                  </w:r>
                </w:p>
              </w:tc>
              <w:tc>
                <w:tcPr>
                  <w:tcW w:w="842" w:type="pct"/>
                  <w:tcBorders>
                    <w:tl2br w:val="nil"/>
                    <w:tr2bl w:val="nil"/>
                  </w:tcBorders>
                  <w:shd w:val="clear" w:color="auto" w:fill="auto"/>
                  <w:noWrap w:val="0"/>
                  <w:vAlign w:val="center"/>
                </w:tcPr>
                <w:p w14:paraId="6230D572">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u w:val="none"/>
                      <w:lang w:val="en-US" w:eastAsia="zh-CN" w:bidi="ar-SA"/>
                    </w:rPr>
                  </w:pPr>
                  <w:r>
                    <w:rPr>
                      <w:rFonts w:hint="default" w:ascii="Times New Roman" w:hAnsi="Times New Roman" w:cs="Times New Roman"/>
                      <w:sz w:val="21"/>
                      <w:szCs w:val="21"/>
                      <w:u w:val="none"/>
                      <w:lang w:eastAsia="zh-CN"/>
                    </w:rPr>
                    <w:t>设备清洗工序</w:t>
                  </w:r>
                </w:p>
              </w:tc>
              <w:tc>
                <w:tcPr>
                  <w:tcW w:w="684" w:type="pct"/>
                  <w:vMerge w:val="continue"/>
                  <w:tcBorders>
                    <w:tl2br w:val="nil"/>
                    <w:tr2bl w:val="nil"/>
                  </w:tcBorders>
                  <w:noWrap w:val="0"/>
                  <w:vAlign w:val="center"/>
                </w:tcPr>
                <w:p w14:paraId="774CF984">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p>
              </w:tc>
              <w:tc>
                <w:tcPr>
                  <w:tcW w:w="402" w:type="pct"/>
                  <w:tcBorders>
                    <w:tl2br w:val="nil"/>
                    <w:tr2bl w:val="nil"/>
                  </w:tcBorders>
                  <w:noWrap w:val="0"/>
                  <w:vAlign w:val="center"/>
                </w:tcPr>
                <w:p w14:paraId="1DBD520F">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r>
                    <w:rPr>
                      <w:rFonts w:hint="eastAsia" w:cs="Times New Roman"/>
                      <w:sz w:val="21"/>
                      <w:szCs w:val="21"/>
                      <w:u w:val="none"/>
                      <w:lang w:val="en-US" w:eastAsia="zh-CN"/>
                    </w:rPr>
                    <w:t>间歇</w:t>
                  </w:r>
                </w:p>
              </w:tc>
              <w:tc>
                <w:tcPr>
                  <w:tcW w:w="1788" w:type="pct"/>
                  <w:vMerge w:val="continue"/>
                  <w:tcBorders>
                    <w:tl2br w:val="nil"/>
                    <w:tr2bl w:val="nil"/>
                  </w:tcBorders>
                  <w:noWrap w:val="0"/>
                  <w:vAlign w:val="center"/>
                </w:tcPr>
                <w:p w14:paraId="0DB4C191">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highlight w:val="yellow"/>
                      <w:u w:val="none"/>
                    </w:rPr>
                  </w:pPr>
                </w:p>
              </w:tc>
            </w:tr>
            <w:tr w14:paraId="2C8CB1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6" w:type="pct"/>
                  <w:vMerge w:val="continue"/>
                  <w:tcBorders>
                    <w:tl2br w:val="nil"/>
                    <w:tr2bl w:val="nil"/>
                  </w:tcBorders>
                  <w:noWrap w:val="0"/>
                  <w:vAlign w:val="center"/>
                </w:tcPr>
                <w:p w14:paraId="7ED1DCE5">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p>
              </w:tc>
              <w:tc>
                <w:tcPr>
                  <w:tcW w:w="916" w:type="pct"/>
                  <w:vMerge w:val="continue"/>
                  <w:tcBorders>
                    <w:tl2br w:val="nil"/>
                    <w:tr2bl w:val="nil"/>
                  </w:tcBorders>
                  <w:shd w:val="clear" w:color="auto" w:fill="auto"/>
                  <w:noWrap w:val="0"/>
                  <w:vAlign w:val="center"/>
                </w:tcPr>
                <w:p w14:paraId="49910BBB">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lang w:eastAsia="zh-CN"/>
                    </w:rPr>
                  </w:pPr>
                </w:p>
              </w:tc>
              <w:tc>
                <w:tcPr>
                  <w:tcW w:w="842" w:type="pct"/>
                  <w:tcBorders>
                    <w:tl2br w:val="nil"/>
                    <w:tr2bl w:val="nil"/>
                  </w:tcBorders>
                  <w:shd w:val="clear" w:color="auto" w:fill="auto"/>
                  <w:noWrap w:val="0"/>
                  <w:vAlign w:val="center"/>
                </w:tcPr>
                <w:p w14:paraId="0E720F6F">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地面清洗工序</w:t>
                  </w:r>
                </w:p>
              </w:tc>
              <w:tc>
                <w:tcPr>
                  <w:tcW w:w="684" w:type="pct"/>
                  <w:vMerge w:val="continue"/>
                  <w:tcBorders>
                    <w:tl2br w:val="nil"/>
                    <w:tr2bl w:val="nil"/>
                  </w:tcBorders>
                  <w:noWrap w:val="0"/>
                  <w:vAlign w:val="center"/>
                </w:tcPr>
                <w:p w14:paraId="1B3B271B">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p>
              </w:tc>
              <w:tc>
                <w:tcPr>
                  <w:tcW w:w="402" w:type="pct"/>
                  <w:tcBorders>
                    <w:tl2br w:val="nil"/>
                    <w:tr2bl w:val="nil"/>
                  </w:tcBorders>
                  <w:noWrap w:val="0"/>
                  <w:vAlign w:val="center"/>
                </w:tcPr>
                <w:p w14:paraId="032EC3D7">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r>
                    <w:rPr>
                      <w:rFonts w:hint="eastAsia" w:cs="Times New Roman"/>
                      <w:sz w:val="21"/>
                      <w:szCs w:val="21"/>
                      <w:u w:val="none"/>
                      <w:lang w:val="en-US" w:eastAsia="zh-CN"/>
                    </w:rPr>
                    <w:t>间歇</w:t>
                  </w:r>
                </w:p>
              </w:tc>
              <w:tc>
                <w:tcPr>
                  <w:tcW w:w="1788" w:type="pct"/>
                  <w:vMerge w:val="continue"/>
                  <w:tcBorders>
                    <w:tl2br w:val="nil"/>
                    <w:tr2bl w:val="nil"/>
                  </w:tcBorders>
                  <w:noWrap w:val="0"/>
                  <w:vAlign w:val="center"/>
                </w:tcPr>
                <w:p w14:paraId="173FC29B">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highlight w:val="yellow"/>
                      <w:u w:val="none"/>
                    </w:rPr>
                  </w:pPr>
                </w:p>
              </w:tc>
            </w:tr>
            <w:tr w14:paraId="27FCA6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6" w:type="pct"/>
                  <w:vMerge w:val="continue"/>
                  <w:tcBorders>
                    <w:tl2br w:val="nil"/>
                    <w:tr2bl w:val="nil"/>
                  </w:tcBorders>
                  <w:noWrap w:val="0"/>
                  <w:vAlign w:val="center"/>
                </w:tcPr>
                <w:p w14:paraId="61C4F75E">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p>
              </w:tc>
              <w:tc>
                <w:tcPr>
                  <w:tcW w:w="916" w:type="pct"/>
                  <w:tcBorders>
                    <w:tl2br w:val="nil"/>
                    <w:tr2bl w:val="nil"/>
                  </w:tcBorders>
                  <w:shd w:val="clear" w:color="auto" w:fill="auto"/>
                  <w:noWrap w:val="0"/>
                  <w:vAlign w:val="center"/>
                </w:tcPr>
                <w:p w14:paraId="59AFA499">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u w:val="none"/>
                      <w:lang w:val="en-US" w:eastAsia="zh-CN" w:bidi="ar-SA"/>
                    </w:rPr>
                  </w:pPr>
                  <w:r>
                    <w:rPr>
                      <w:rFonts w:hint="default" w:ascii="Times New Roman" w:hAnsi="Times New Roman" w:cs="Times New Roman"/>
                      <w:sz w:val="21"/>
                      <w:szCs w:val="21"/>
                      <w:u w:val="none"/>
                      <w:lang w:eastAsia="zh-CN"/>
                    </w:rPr>
                    <w:t>纯水制备</w:t>
                  </w:r>
                  <w:r>
                    <w:rPr>
                      <w:rFonts w:hint="eastAsia" w:ascii="Times New Roman" w:hAnsi="Times New Roman" w:cs="Times New Roman"/>
                      <w:sz w:val="21"/>
                      <w:szCs w:val="21"/>
                      <w:u w:val="none"/>
                      <w:lang w:val="en-US" w:eastAsia="zh-CN"/>
                    </w:rPr>
                    <w:t>系统</w:t>
                  </w:r>
                </w:p>
              </w:tc>
              <w:tc>
                <w:tcPr>
                  <w:tcW w:w="842" w:type="pct"/>
                  <w:tcBorders>
                    <w:tl2br w:val="nil"/>
                    <w:tr2bl w:val="nil"/>
                  </w:tcBorders>
                  <w:shd w:val="clear" w:color="auto" w:fill="auto"/>
                  <w:noWrap w:val="0"/>
                  <w:vAlign w:val="center"/>
                </w:tcPr>
                <w:p w14:paraId="361D6ABE">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u w:val="none"/>
                      <w:lang w:val="en-US" w:eastAsia="zh-CN" w:bidi="ar-SA"/>
                    </w:rPr>
                  </w:pPr>
                  <w:r>
                    <w:rPr>
                      <w:rFonts w:hint="default" w:ascii="Times New Roman" w:hAnsi="Times New Roman" w:cs="Times New Roman"/>
                      <w:sz w:val="21"/>
                      <w:szCs w:val="21"/>
                      <w:u w:val="none"/>
                      <w:lang w:eastAsia="zh-CN"/>
                    </w:rPr>
                    <w:t>纯水制备</w:t>
                  </w:r>
                  <w:r>
                    <w:rPr>
                      <w:rFonts w:hint="eastAsia" w:ascii="Times New Roman" w:hAnsi="Times New Roman" w:cs="Times New Roman"/>
                      <w:sz w:val="21"/>
                      <w:szCs w:val="21"/>
                      <w:u w:val="none"/>
                      <w:lang w:val="en-US" w:eastAsia="zh-CN"/>
                    </w:rPr>
                    <w:t>工序</w:t>
                  </w:r>
                </w:p>
              </w:tc>
              <w:tc>
                <w:tcPr>
                  <w:tcW w:w="684" w:type="pct"/>
                  <w:tcBorders>
                    <w:tl2br w:val="nil"/>
                    <w:tr2bl w:val="nil"/>
                  </w:tcBorders>
                  <w:noWrap w:val="0"/>
                  <w:vAlign w:val="center"/>
                </w:tcPr>
                <w:p w14:paraId="61237A63">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lang w:val="en-US" w:eastAsia="zh-CN"/>
                    </w:rPr>
                  </w:pPr>
                  <w:r>
                    <w:rPr>
                      <w:rFonts w:hint="eastAsia" w:cs="Times New Roman"/>
                      <w:sz w:val="21"/>
                      <w:szCs w:val="21"/>
                      <w:u w:val="none"/>
                      <w:lang w:val="en-US" w:eastAsia="zh-CN"/>
                    </w:rPr>
                    <w:t>盐类、</w:t>
                  </w:r>
                  <w:r>
                    <w:rPr>
                      <w:rFonts w:hint="eastAsia" w:ascii="Times New Roman" w:hAnsi="Times New Roman" w:cs="Times New Roman"/>
                      <w:sz w:val="21"/>
                      <w:szCs w:val="21"/>
                      <w:u w:val="none"/>
                      <w:lang w:val="en-US" w:eastAsia="zh-CN"/>
                    </w:rPr>
                    <w:t>SS</w:t>
                  </w:r>
                </w:p>
              </w:tc>
              <w:tc>
                <w:tcPr>
                  <w:tcW w:w="402" w:type="pct"/>
                  <w:tcBorders>
                    <w:tl2br w:val="nil"/>
                    <w:tr2bl w:val="nil"/>
                  </w:tcBorders>
                  <w:noWrap w:val="0"/>
                  <w:vAlign w:val="center"/>
                </w:tcPr>
                <w:p w14:paraId="6C7852FA">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kern w:val="2"/>
                      <w:sz w:val="21"/>
                      <w:szCs w:val="21"/>
                      <w:u w:val="none"/>
                      <w:lang w:val="en-US" w:eastAsia="zh-CN" w:bidi="ar-SA"/>
                    </w:rPr>
                  </w:pPr>
                  <w:r>
                    <w:rPr>
                      <w:rFonts w:hint="eastAsia" w:cs="Times New Roman"/>
                      <w:sz w:val="21"/>
                      <w:szCs w:val="21"/>
                      <w:u w:val="none"/>
                      <w:lang w:val="en-US" w:eastAsia="zh-CN"/>
                    </w:rPr>
                    <w:t>间歇</w:t>
                  </w:r>
                </w:p>
              </w:tc>
              <w:tc>
                <w:tcPr>
                  <w:tcW w:w="1788" w:type="pct"/>
                  <w:vMerge w:val="continue"/>
                  <w:tcBorders>
                    <w:tl2br w:val="nil"/>
                    <w:tr2bl w:val="nil"/>
                  </w:tcBorders>
                  <w:noWrap w:val="0"/>
                  <w:vAlign w:val="center"/>
                </w:tcPr>
                <w:p w14:paraId="2E7F8E72">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u w:val="none"/>
                      <w:lang w:eastAsia="zh-CN"/>
                    </w:rPr>
                  </w:pPr>
                </w:p>
              </w:tc>
            </w:tr>
            <w:tr w14:paraId="2BB226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6" w:type="pct"/>
                  <w:vMerge w:val="continue"/>
                  <w:tcBorders>
                    <w:tl2br w:val="nil"/>
                    <w:tr2bl w:val="nil"/>
                  </w:tcBorders>
                  <w:noWrap w:val="0"/>
                  <w:vAlign w:val="center"/>
                </w:tcPr>
                <w:p w14:paraId="716AA2AE">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p>
              </w:tc>
              <w:tc>
                <w:tcPr>
                  <w:tcW w:w="916" w:type="pct"/>
                  <w:tcBorders>
                    <w:tl2br w:val="nil"/>
                    <w:tr2bl w:val="nil"/>
                  </w:tcBorders>
                  <w:shd w:val="clear" w:color="auto" w:fill="auto"/>
                  <w:noWrap w:val="0"/>
                  <w:vAlign w:val="center"/>
                </w:tcPr>
                <w:p w14:paraId="691CCD41">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u w:val="none"/>
                      <w:lang w:val="en-US" w:eastAsia="zh-CN" w:bidi="ar-SA"/>
                    </w:rPr>
                  </w:pPr>
                  <w:r>
                    <w:rPr>
                      <w:rFonts w:hint="eastAsia" w:cs="Times New Roman"/>
                      <w:sz w:val="21"/>
                      <w:szCs w:val="21"/>
                      <w:u w:val="none"/>
                      <w:lang w:val="en-US" w:eastAsia="zh-CN"/>
                    </w:rPr>
                    <w:t>办公生活</w:t>
                  </w:r>
                </w:p>
              </w:tc>
              <w:tc>
                <w:tcPr>
                  <w:tcW w:w="842" w:type="pct"/>
                  <w:tcBorders>
                    <w:tl2br w:val="nil"/>
                    <w:tr2bl w:val="nil"/>
                  </w:tcBorders>
                  <w:shd w:val="clear" w:color="auto" w:fill="auto"/>
                  <w:noWrap w:val="0"/>
                  <w:vAlign w:val="center"/>
                </w:tcPr>
                <w:p w14:paraId="63DB7B89">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u w:val="none"/>
                      <w:lang w:val="en-US" w:eastAsia="zh-CN" w:bidi="ar-SA"/>
                    </w:rPr>
                  </w:pPr>
                  <w:r>
                    <w:rPr>
                      <w:rFonts w:hint="default" w:ascii="Times New Roman" w:hAnsi="Times New Roman" w:cs="Times New Roman"/>
                      <w:sz w:val="21"/>
                      <w:szCs w:val="21"/>
                      <w:u w:val="none"/>
                      <w:lang w:eastAsia="zh-CN"/>
                    </w:rPr>
                    <w:t>办公区</w:t>
                  </w:r>
                </w:p>
              </w:tc>
              <w:tc>
                <w:tcPr>
                  <w:tcW w:w="684" w:type="pct"/>
                  <w:tcBorders>
                    <w:tl2br w:val="nil"/>
                    <w:tr2bl w:val="nil"/>
                  </w:tcBorders>
                  <w:noWrap w:val="0"/>
                  <w:vAlign w:val="center"/>
                </w:tcPr>
                <w:p w14:paraId="3382D1DA">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lang w:val="en-US" w:eastAsia="zh-CN"/>
                    </w:rPr>
                    <w:t>pH、</w:t>
                  </w:r>
                  <w:r>
                    <w:rPr>
                      <w:rFonts w:hint="default" w:ascii="Times New Roman" w:hAnsi="Times New Roman" w:cs="Times New Roman"/>
                      <w:sz w:val="21"/>
                      <w:szCs w:val="21"/>
                      <w:u w:val="none"/>
                    </w:rPr>
                    <w:t>COD</w:t>
                  </w:r>
                  <w:r>
                    <w:rPr>
                      <w:rFonts w:hint="default" w:ascii="Times New Roman" w:hAnsi="Times New Roman" w:cs="Times New Roman"/>
                      <w:sz w:val="21"/>
                      <w:szCs w:val="21"/>
                      <w:u w:val="none"/>
                      <w:lang w:val="en-US" w:eastAsia="zh-CN"/>
                    </w:rPr>
                    <w:t>cr</w:t>
                  </w:r>
                  <w:r>
                    <w:rPr>
                      <w:rFonts w:hint="default" w:ascii="Times New Roman" w:hAnsi="Times New Roman" w:cs="Times New Roman"/>
                      <w:sz w:val="21"/>
                      <w:szCs w:val="21"/>
                      <w:u w:val="none"/>
                    </w:rPr>
                    <w:t>、</w:t>
                  </w:r>
                  <w:r>
                    <w:rPr>
                      <w:rFonts w:hint="default" w:ascii="Times New Roman" w:hAnsi="Times New Roman" w:cs="Times New Roman"/>
                      <w:sz w:val="21"/>
                      <w:szCs w:val="21"/>
                      <w:u w:val="none"/>
                      <w:lang w:val="en-US" w:eastAsia="zh-CN"/>
                    </w:rPr>
                    <w:t>BOD</w:t>
                  </w:r>
                  <w:r>
                    <w:rPr>
                      <w:rFonts w:hint="default" w:ascii="Times New Roman" w:hAnsi="Times New Roman" w:cs="Times New Roman"/>
                      <w:sz w:val="21"/>
                      <w:szCs w:val="21"/>
                      <w:u w:val="none"/>
                      <w:vertAlign w:val="subscript"/>
                      <w:lang w:val="en-US" w:eastAsia="zh-CN"/>
                    </w:rPr>
                    <w:t>5</w:t>
                  </w:r>
                  <w:r>
                    <w:rPr>
                      <w:rFonts w:hint="default" w:ascii="Times New Roman" w:hAnsi="Times New Roman" w:cs="Times New Roman"/>
                      <w:sz w:val="21"/>
                      <w:szCs w:val="21"/>
                      <w:u w:val="none"/>
                      <w:lang w:val="en-US" w:eastAsia="zh-CN"/>
                    </w:rPr>
                    <w:t>、</w:t>
                  </w:r>
                  <w:r>
                    <w:rPr>
                      <w:rFonts w:hint="default" w:ascii="Times New Roman" w:hAnsi="Times New Roman" w:cs="Times New Roman"/>
                      <w:sz w:val="21"/>
                      <w:szCs w:val="21"/>
                      <w:u w:val="none"/>
                    </w:rPr>
                    <w:t>NH</w:t>
                  </w:r>
                  <w:r>
                    <w:rPr>
                      <w:rFonts w:hint="default" w:ascii="Times New Roman" w:hAnsi="Times New Roman" w:cs="Times New Roman"/>
                      <w:sz w:val="21"/>
                      <w:szCs w:val="21"/>
                      <w:u w:val="none"/>
                      <w:vertAlign w:val="subscript"/>
                    </w:rPr>
                    <w:t>3</w:t>
                  </w:r>
                  <w:r>
                    <w:rPr>
                      <w:rFonts w:hint="default" w:ascii="Times New Roman" w:hAnsi="Times New Roman" w:cs="Times New Roman"/>
                      <w:sz w:val="21"/>
                      <w:szCs w:val="21"/>
                      <w:u w:val="none"/>
                    </w:rPr>
                    <w:t>-N</w:t>
                  </w:r>
                  <w:r>
                    <w:rPr>
                      <w:rFonts w:hint="default" w:ascii="Times New Roman" w:hAnsi="Times New Roman" w:cs="Times New Roman"/>
                      <w:sz w:val="21"/>
                      <w:szCs w:val="21"/>
                      <w:u w:val="none"/>
                      <w:lang w:eastAsia="zh-CN"/>
                    </w:rPr>
                    <w:t>、</w:t>
                  </w:r>
                  <w:r>
                    <w:rPr>
                      <w:rFonts w:hint="default" w:ascii="Times New Roman" w:hAnsi="Times New Roman" w:cs="Times New Roman"/>
                      <w:sz w:val="21"/>
                      <w:szCs w:val="21"/>
                      <w:u w:val="none"/>
                    </w:rPr>
                    <w:t>SS</w:t>
                  </w:r>
                </w:p>
              </w:tc>
              <w:tc>
                <w:tcPr>
                  <w:tcW w:w="402" w:type="pct"/>
                  <w:tcBorders>
                    <w:tl2br w:val="nil"/>
                    <w:tr2bl w:val="nil"/>
                  </w:tcBorders>
                  <w:noWrap w:val="0"/>
                  <w:vAlign w:val="center"/>
                </w:tcPr>
                <w:p w14:paraId="6C88EC71">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间断</w:t>
                  </w:r>
                </w:p>
              </w:tc>
              <w:tc>
                <w:tcPr>
                  <w:tcW w:w="1788" w:type="pct"/>
                  <w:tcBorders>
                    <w:tl2br w:val="nil"/>
                    <w:tr2bl w:val="nil"/>
                  </w:tcBorders>
                  <w:noWrap w:val="0"/>
                  <w:vAlign w:val="center"/>
                </w:tcPr>
                <w:p w14:paraId="44C327EE">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highlight w:val="none"/>
                      <w:u w:val="none"/>
                    </w:rPr>
                  </w:pPr>
                  <w:r>
                    <w:rPr>
                      <w:rFonts w:hint="default" w:ascii="Times New Roman" w:hAnsi="Times New Roman" w:cs="Times New Roman"/>
                      <w:sz w:val="21"/>
                      <w:szCs w:val="21"/>
                      <w:highlight w:val="none"/>
                      <w:u w:val="none"/>
                    </w:rPr>
                    <w:t>化粪池处理后经污水管网</w:t>
                  </w:r>
                  <w:r>
                    <w:rPr>
                      <w:rFonts w:hint="eastAsia" w:cs="Times New Roman"/>
                      <w:sz w:val="21"/>
                      <w:szCs w:val="21"/>
                      <w:highlight w:val="none"/>
                      <w:u w:val="none"/>
                      <w:lang w:val="en-US" w:eastAsia="zh-CN"/>
                    </w:rPr>
                    <w:t>排入厂区污水处理站，</w:t>
                  </w:r>
                  <w:r>
                    <w:rPr>
                      <w:rFonts w:hint="default" w:ascii="Times New Roman" w:hAnsi="Times New Roman" w:cs="Times New Roman"/>
                      <w:sz w:val="21"/>
                      <w:szCs w:val="21"/>
                      <w:highlight w:val="none"/>
                      <w:u w:val="none"/>
                      <w:lang w:eastAsia="zh-CN"/>
                    </w:rPr>
                    <w:t>经污水处理站处理后排入市政污水管网</w:t>
                  </w:r>
                </w:p>
              </w:tc>
            </w:tr>
            <w:tr w14:paraId="226679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6" w:type="pct"/>
                  <w:vMerge w:val="restart"/>
                  <w:tcBorders>
                    <w:tl2br w:val="nil"/>
                    <w:tr2bl w:val="nil"/>
                  </w:tcBorders>
                  <w:noWrap w:val="0"/>
                  <w:vAlign w:val="center"/>
                </w:tcPr>
                <w:p w14:paraId="0932A287">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固废</w:t>
                  </w:r>
                </w:p>
              </w:tc>
              <w:tc>
                <w:tcPr>
                  <w:tcW w:w="916" w:type="pct"/>
                  <w:tcBorders>
                    <w:tl2br w:val="nil"/>
                    <w:tr2bl w:val="nil"/>
                  </w:tcBorders>
                  <w:shd w:val="clear" w:color="auto" w:fill="auto"/>
                  <w:noWrap w:val="0"/>
                  <w:vAlign w:val="center"/>
                </w:tcPr>
                <w:p w14:paraId="02E1FECD">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药材拣选</w:t>
                  </w:r>
                </w:p>
              </w:tc>
              <w:tc>
                <w:tcPr>
                  <w:tcW w:w="842" w:type="pct"/>
                  <w:tcBorders>
                    <w:tl2br w:val="nil"/>
                    <w:tr2bl w:val="nil"/>
                  </w:tcBorders>
                  <w:shd w:val="clear" w:color="auto" w:fill="auto"/>
                  <w:noWrap w:val="0"/>
                  <w:vAlign w:val="center"/>
                </w:tcPr>
                <w:p w14:paraId="5FDAD3DB">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rPr>
                    <w:t>药材废弃物</w:t>
                  </w:r>
                </w:p>
              </w:tc>
              <w:tc>
                <w:tcPr>
                  <w:tcW w:w="684" w:type="pct"/>
                  <w:tcBorders>
                    <w:tl2br w:val="nil"/>
                    <w:tr2bl w:val="nil"/>
                  </w:tcBorders>
                  <w:noWrap w:val="0"/>
                  <w:vAlign w:val="center"/>
                </w:tcPr>
                <w:p w14:paraId="52866A91">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lang w:val="en-US" w:eastAsia="zh-CN"/>
                    </w:rPr>
                  </w:pPr>
                  <w:r>
                    <w:rPr>
                      <w:rFonts w:hint="eastAsia" w:cs="Times New Roman"/>
                      <w:sz w:val="21"/>
                      <w:szCs w:val="21"/>
                      <w:u w:val="none"/>
                      <w:lang w:val="en-US" w:eastAsia="zh-CN"/>
                    </w:rPr>
                    <w:t>杂质、</w:t>
                  </w:r>
                  <w:r>
                    <w:rPr>
                      <w:rFonts w:hint="default" w:ascii="Times New Roman" w:hAnsi="Times New Roman" w:cs="Times New Roman"/>
                      <w:sz w:val="21"/>
                      <w:szCs w:val="21"/>
                      <w:u w:val="none"/>
                      <w:lang w:val="en-US" w:eastAsia="zh-CN"/>
                    </w:rPr>
                    <w:t>废药材</w:t>
                  </w:r>
                  <w:r>
                    <w:rPr>
                      <w:rFonts w:hint="eastAsia" w:cs="Times New Roman"/>
                      <w:sz w:val="21"/>
                      <w:szCs w:val="21"/>
                      <w:u w:val="none"/>
                      <w:lang w:val="en-US" w:eastAsia="zh-CN"/>
                    </w:rPr>
                    <w:t>、</w:t>
                  </w:r>
                  <w:r>
                    <w:rPr>
                      <w:rFonts w:hint="default" w:ascii="Times New Roman" w:hAnsi="Times New Roman" w:cs="Times New Roman"/>
                      <w:sz w:val="21"/>
                      <w:szCs w:val="21"/>
                      <w:u w:val="none"/>
                      <w:lang w:val="en-US" w:eastAsia="zh-CN"/>
                    </w:rPr>
                    <w:t>药材碎屑</w:t>
                  </w:r>
                </w:p>
              </w:tc>
              <w:tc>
                <w:tcPr>
                  <w:tcW w:w="402" w:type="pct"/>
                  <w:tcBorders>
                    <w:tl2br w:val="nil"/>
                    <w:tr2bl w:val="nil"/>
                  </w:tcBorders>
                  <w:noWrap w:val="0"/>
                  <w:vAlign w:val="center"/>
                </w:tcPr>
                <w:p w14:paraId="2A9C03DD">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lang w:eastAsia="zh-CN"/>
                    </w:rPr>
                    <w:t>间断</w:t>
                  </w:r>
                </w:p>
              </w:tc>
              <w:tc>
                <w:tcPr>
                  <w:tcW w:w="1788" w:type="pct"/>
                  <w:tcBorders>
                    <w:tl2br w:val="nil"/>
                    <w:tr2bl w:val="nil"/>
                  </w:tcBorders>
                  <w:shd w:val="clear" w:color="auto" w:fill="auto"/>
                  <w:noWrap w:val="0"/>
                  <w:vAlign w:val="center"/>
                </w:tcPr>
                <w:p w14:paraId="0D8D34C2">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rPr>
                    <w:t>暂存至一般固废暂存区</w:t>
                  </w:r>
                </w:p>
              </w:tc>
            </w:tr>
            <w:tr w14:paraId="4A1FCD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6" w:type="pct"/>
                  <w:vMerge w:val="continue"/>
                  <w:tcBorders>
                    <w:tl2br w:val="nil"/>
                    <w:tr2bl w:val="nil"/>
                  </w:tcBorders>
                  <w:noWrap w:val="0"/>
                  <w:vAlign w:val="center"/>
                </w:tcPr>
                <w:p w14:paraId="4942DC63">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p>
              </w:tc>
              <w:tc>
                <w:tcPr>
                  <w:tcW w:w="916" w:type="pct"/>
                  <w:tcBorders>
                    <w:tl2br w:val="nil"/>
                    <w:tr2bl w:val="nil"/>
                  </w:tcBorders>
                  <w:shd w:val="clear" w:color="auto" w:fill="auto"/>
                  <w:noWrap w:val="0"/>
                  <w:vAlign w:val="center"/>
                </w:tcPr>
                <w:p w14:paraId="5EC1E02A">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发酵、提取工序</w:t>
                  </w:r>
                </w:p>
              </w:tc>
              <w:tc>
                <w:tcPr>
                  <w:tcW w:w="842" w:type="pct"/>
                  <w:tcBorders>
                    <w:tl2br w:val="nil"/>
                    <w:tr2bl w:val="nil"/>
                  </w:tcBorders>
                  <w:shd w:val="clear" w:color="auto" w:fill="auto"/>
                  <w:noWrap w:val="0"/>
                  <w:vAlign w:val="center"/>
                </w:tcPr>
                <w:p w14:paraId="74D4143F">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药渣</w:t>
                  </w:r>
                </w:p>
              </w:tc>
              <w:tc>
                <w:tcPr>
                  <w:tcW w:w="684" w:type="pct"/>
                  <w:tcBorders>
                    <w:tl2br w:val="nil"/>
                    <w:tr2bl w:val="nil"/>
                  </w:tcBorders>
                  <w:shd w:val="clear" w:color="auto" w:fill="auto"/>
                  <w:noWrap w:val="0"/>
                  <w:vAlign w:val="center"/>
                </w:tcPr>
                <w:p w14:paraId="7CF3A2DC">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药渣</w:t>
                  </w:r>
                </w:p>
              </w:tc>
              <w:tc>
                <w:tcPr>
                  <w:tcW w:w="402" w:type="pct"/>
                  <w:tcBorders>
                    <w:tl2br w:val="nil"/>
                    <w:tr2bl w:val="nil"/>
                  </w:tcBorders>
                  <w:noWrap w:val="0"/>
                  <w:vAlign w:val="center"/>
                </w:tcPr>
                <w:p w14:paraId="120B8897">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kern w:val="2"/>
                      <w:sz w:val="21"/>
                      <w:szCs w:val="21"/>
                      <w:u w:val="none"/>
                      <w:lang w:val="en-US" w:eastAsia="zh-CN" w:bidi="ar-SA"/>
                    </w:rPr>
                  </w:pPr>
                  <w:r>
                    <w:rPr>
                      <w:rFonts w:hint="default" w:ascii="Times New Roman" w:hAnsi="Times New Roman" w:cs="Times New Roman"/>
                      <w:sz w:val="21"/>
                      <w:szCs w:val="21"/>
                      <w:u w:val="none"/>
                    </w:rPr>
                    <w:t>间断</w:t>
                  </w:r>
                </w:p>
              </w:tc>
              <w:tc>
                <w:tcPr>
                  <w:tcW w:w="1788" w:type="pct"/>
                  <w:tcBorders>
                    <w:tl2br w:val="nil"/>
                    <w:tr2bl w:val="nil"/>
                  </w:tcBorders>
                  <w:shd w:val="clear" w:color="auto" w:fill="auto"/>
                  <w:noWrap w:val="0"/>
                  <w:vAlign w:val="center"/>
                </w:tcPr>
                <w:p w14:paraId="3165A973">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rPr>
                    <w:t>暂存至一般固废暂存区</w:t>
                  </w:r>
                </w:p>
              </w:tc>
            </w:tr>
            <w:tr w14:paraId="3BBC42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6" w:type="pct"/>
                  <w:vMerge w:val="continue"/>
                  <w:tcBorders>
                    <w:tl2br w:val="nil"/>
                    <w:tr2bl w:val="nil"/>
                  </w:tcBorders>
                  <w:noWrap w:val="0"/>
                  <w:vAlign w:val="center"/>
                </w:tcPr>
                <w:p w14:paraId="289B05C2">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p>
              </w:tc>
              <w:tc>
                <w:tcPr>
                  <w:tcW w:w="916" w:type="pct"/>
                  <w:tcBorders>
                    <w:tl2br w:val="nil"/>
                    <w:tr2bl w:val="nil"/>
                  </w:tcBorders>
                  <w:shd w:val="clear" w:color="auto" w:fill="auto"/>
                  <w:noWrap w:val="0"/>
                  <w:vAlign w:val="center"/>
                </w:tcPr>
                <w:p w14:paraId="64C31EBA">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除尘器</w:t>
                  </w:r>
                </w:p>
              </w:tc>
              <w:tc>
                <w:tcPr>
                  <w:tcW w:w="842" w:type="pct"/>
                  <w:tcBorders>
                    <w:tl2br w:val="nil"/>
                    <w:tr2bl w:val="nil"/>
                  </w:tcBorders>
                  <w:shd w:val="clear" w:color="auto" w:fill="auto"/>
                  <w:noWrap w:val="0"/>
                  <w:vAlign w:val="center"/>
                </w:tcPr>
                <w:p w14:paraId="78CFB8F4">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药尘</w:t>
                  </w:r>
                </w:p>
              </w:tc>
              <w:tc>
                <w:tcPr>
                  <w:tcW w:w="684" w:type="pct"/>
                  <w:tcBorders>
                    <w:tl2br w:val="nil"/>
                    <w:tr2bl w:val="nil"/>
                  </w:tcBorders>
                  <w:shd w:val="clear" w:color="auto" w:fill="auto"/>
                  <w:noWrap w:val="0"/>
                  <w:vAlign w:val="center"/>
                </w:tcPr>
                <w:p w14:paraId="51E67AD1">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药尘</w:t>
                  </w:r>
                </w:p>
              </w:tc>
              <w:tc>
                <w:tcPr>
                  <w:tcW w:w="402" w:type="pct"/>
                  <w:tcBorders>
                    <w:tl2br w:val="nil"/>
                    <w:tr2bl w:val="nil"/>
                  </w:tcBorders>
                  <w:noWrap w:val="0"/>
                  <w:vAlign w:val="center"/>
                </w:tcPr>
                <w:p w14:paraId="72A3F75A">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kern w:val="2"/>
                      <w:sz w:val="21"/>
                      <w:szCs w:val="21"/>
                      <w:u w:val="none"/>
                      <w:lang w:val="en-US" w:eastAsia="zh-CN" w:bidi="ar-SA"/>
                    </w:rPr>
                  </w:pPr>
                  <w:r>
                    <w:rPr>
                      <w:rFonts w:hint="default" w:ascii="Times New Roman" w:hAnsi="Times New Roman" w:cs="Times New Roman"/>
                      <w:kern w:val="2"/>
                      <w:sz w:val="21"/>
                      <w:szCs w:val="21"/>
                      <w:u w:val="none"/>
                      <w:lang w:val="en-US" w:eastAsia="zh-CN" w:bidi="ar-SA"/>
                    </w:rPr>
                    <w:t>间断</w:t>
                  </w:r>
                </w:p>
              </w:tc>
              <w:tc>
                <w:tcPr>
                  <w:tcW w:w="1788" w:type="pct"/>
                  <w:tcBorders>
                    <w:tl2br w:val="nil"/>
                    <w:tr2bl w:val="nil"/>
                  </w:tcBorders>
                  <w:shd w:val="clear" w:color="auto" w:fill="auto"/>
                  <w:noWrap w:val="0"/>
                  <w:vAlign w:val="center"/>
                </w:tcPr>
                <w:p w14:paraId="63D5325F">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rPr>
                    <w:t>定期卸灰后用吨包袋包装</w:t>
                  </w:r>
                </w:p>
              </w:tc>
            </w:tr>
            <w:tr w14:paraId="576BF7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6" w:type="pct"/>
                  <w:vMerge w:val="continue"/>
                  <w:tcBorders>
                    <w:tl2br w:val="nil"/>
                    <w:tr2bl w:val="nil"/>
                  </w:tcBorders>
                  <w:noWrap w:val="0"/>
                  <w:vAlign w:val="center"/>
                </w:tcPr>
                <w:p w14:paraId="400D4B74">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p>
              </w:tc>
              <w:tc>
                <w:tcPr>
                  <w:tcW w:w="916" w:type="pct"/>
                  <w:tcBorders>
                    <w:tl2br w:val="nil"/>
                    <w:tr2bl w:val="nil"/>
                  </w:tcBorders>
                  <w:shd w:val="clear" w:color="auto" w:fill="auto"/>
                  <w:noWrap w:val="0"/>
                  <w:vAlign w:val="center"/>
                </w:tcPr>
                <w:p w14:paraId="7C9A8952">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rPr>
                    <w:t>原料包装</w:t>
                  </w:r>
                </w:p>
              </w:tc>
              <w:tc>
                <w:tcPr>
                  <w:tcW w:w="842" w:type="pct"/>
                  <w:tcBorders>
                    <w:tl2br w:val="nil"/>
                    <w:tr2bl w:val="nil"/>
                  </w:tcBorders>
                  <w:shd w:val="clear" w:color="auto" w:fill="auto"/>
                  <w:noWrap w:val="0"/>
                  <w:vAlign w:val="center"/>
                </w:tcPr>
                <w:p w14:paraId="27B00681">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rPr>
                    <w:t>废包装材料</w:t>
                  </w:r>
                </w:p>
              </w:tc>
              <w:tc>
                <w:tcPr>
                  <w:tcW w:w="684" w:type="pct"/>
                  <w:tcBorders>
                    <w:tl2br w:val="nil"/>
                    <w:tr2bl w:val="nil"/>
                  </w:tcBorders>
                  <w:noWrap w:val="0"/>
                  <w:vAlign w:val="center"/>
                </w:tcPr>
                <w:p w14:paraId="45E0C3B2">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Cs/>
                      <w:sz w:val="21"/>
                      <w:szCs w:val="21"/>
                      <w:u w:val="none"/>
                      <w:lang w:val="en-US" w:eastAsia="zh-CN"/>
                    </w:rPr>
                  </w:pPr>
                  <w:r>
                    <w:rPr>
                      <w:rFonts w:hint="eastAsia"/>
                      <w:bCs/>
                      <w:color w:val="000000"/>
                      <w:sz w:val="21"/>
                      <w:szCs w:val="21"/>
                    </w:rPr>
                    <w:t>废包装材料</w:t>
                  </w:r>
                </w:p>
              </w:tc>
              <w:tc>
                <w:tcPr>
                  <w:tcW w:w="402" w:type="pct"/>
                  <w:tcBorders>
                    <w:tl2br w:val="nil"/>
                    <w:tr2bl w:val="nil"/>
                  </w:tcBorders>
                  <w:noWrap w:val="0"/>
                  <w:vAlign w:val="center"/>
                </w:tcPr>
                <w:p w14:paraId="4FF93CDA">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kern w:val="2"/>
                      <w:sz w:val="21"/>
                      <w:szCs w:val="21"/>
                      <w:u w:val="none"/>
                      <w:lang w:val="en-US" w:eastAsia="zh-CN" w:bidi="ar-SA"/>
                    </w:rPr>
                  </w:pPr>
                  <w:r>
                    <w:rPr>
                      <w:rFonts w:hint="default" w:ascii="Times New Roman" w:hAnsi="Times New Roman" w:cs="Times New Roman"/>
                      <w:kern w:val="2"/>
                      <w:sz w:val="21"/>
                      <w:szCs w:val="21"/>
                      <w:u w:val="none"/>
                      <w:lang w:val="en-US" w:eastAsia="zh-CN" w:bidi="ar-SA"/>
                    </w:rPr>
                    <w:t>间断</w:t>
                  </w:r>
                </w:p>
              </w:tc>
              <w:tc>
                <w:tcPr>
                  <w:tcW w:w="1788" w:type="pct"/>
                  <w:tcBorders>
                    <w:tl2br w:val="nil"/>
                    <w:tr2bl w:val="nil"/>
                  </w:tcBorders>
                  <w:shd w:val="clear" w:color="auto" w:fill="auto"/>
                  <w:noWrap w:val="0"/>
                  <w:vAlign w:val="center"/>
                </w:tcPr>
                <w:p w14:paraId="5A4814D3">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rPr>
                    <w:t>暂存至一般固废暂存区</w:t>
                  </w:r>
                </w:p>
              </w:tc>
            </w:tr>
            <w:tr w14:paraId="5CFB78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6" w:type="pct"/>
                  <w:vMerge w:val="continue"/>
                  <w:tcBorders>
                    <w:tl2br w:val="nil"/>
                    <w:tr2bl w:val="nil"/>
                  </w:tcBorders>
                  <w:noWrap w:val="0"/>
                  <w:vAlign w:val="center"/>
                </w:tcPr>
                <w:p w14:paraId="04D02D87">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p>
              </w:tc>
              <w:tc>
                <w:tcPr>
                  <w:tcW w:w="916" w:type="pct"/>
                  <w:tcBorders>
                    <w:tl2br w:val="nil"/>
                    <w:tr2bl w:val="nil"/>
                  </w:tcBorders>
                  <w:shd w:val="clear" w:color="auto" w:fill="auto"/>
                  <w:noWrap w:val="0"/>
                  <w:vAlign w:val="center"/>
                </w:tcPr>
                <w:p w14:paraId="530FCEB7">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污水处理站</w:t>
                  </w:r>
                </w:p>
              </w:tc>
              <w:tc>
                <w:tcPr>
                  <w:tcW w:w="842" w:type="pct"/>
                  <w:tcBorders>
                    <w:tl2br w:val="nil"/>
                    <w:tr2bl w:val="nil"/>
                  </w:tcBorders>
                  <w:shd w:val="clear" w:color="auto" w:fill="auto"/>
                  <w:noWrap w:val="0"/>
                  <w:vAlign w:val="center"/>
                </w:tcPr>
                <w:p w14:paraId="154908FB">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污泥</w:t>
                  </w:r>
                </w:p>
              </w:tc>
              <w:tc>
                <w:tcPr>
                  <w:tcW w:w="684" w:type="pct"/>
                  <w:tcBorders>
                    <w:tl2br w:val="nil"/>
                    <w:tr2bl w:val="nil"/>
                  </w:tcBorders>
                  <w:noWrap w:val="0"/>
                  <w:vAlign w:val="center"/>
                </w:tcPr>
                <w:p w14:paraId="6E6E53EC">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Cs/>
                      <w:sz w:val="21"/>
                      <w:szCs w:val="21"/>
                      <w:u w:val="none"/>
                      <w:lang w:eastAsia="zh-CN"/>
                    </w:rPr>
                  </w:pPr>
                  <w:r>
                    <w:rPr>
                      <w:rFonts w:hint="eastAsia"/>
                      <w:bCs/>
                      <w:color w:val="000000"/>
                      <w:sz w:val="21"/>
                      <w:szCs w:val="21"/>
                      <w:lang w:val="en-US" w:eastAsia="zh-CN"/>
                    </w:rPr>
                    <w:t>污泥</w:t>
                  </w:r>
                </w:p>
              </w:tc>
              <w:tc>
                <w:tcPr>
                  <w:tcW w:w="402" w:type="pct"/>
                  <w:tcBorders>
                    <w:tl2br w:val="nil"/>
                    <w:tr2bl w:val="nil"/>
                  </w:tcBorders>
                  <w:noWrap w:val="0"/>
                  <w:vAlign w:val="center"/>
                </w:tcPr>
                <w:p w14:paraId="77F43B24">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u w:val="none"/>
                      <w:lang w:val="en-US" w:eastAsia="zh-CN"/>
                    </w:rPr>
                  </w:pPr>
                  <w:r>
                    <w:rPr>
                      <w:rFonts w:hint="default" w:ascii="Times New Roman" w:hAnsi="Times New Roman" w:cs="Times New Roman"/>
                      <w:sz w:val="21"/>
                      <w:szCs w:val="21"/>
                      <w:u w:val="none"/>
                      <w:lang w:val="en-US" w:eastAsia="zh-CN"/>
                    </w:rPr>
                    <w:t>间断</w:t>
                  </w:r>
                </w:p>
              </w:tc>
              <w:tc>
                <w:tcPr>
                  <w:tcW w:w="1788" w:type="pct"/>
                  <w:tcBorders>
                    <w:tl2br w:val="nil"/>
                    <w:tr2bl w:val="nil"/>
                  </w:tcBorders>
                  <w:shd w:val="clear" w:color="auto" w:fill="auto"/>
                  <w:noWrap w:val="0"/>
                  <w:vAlign w:val="center"/>
                </w:tcPr>
                <w:p w14:paraId="750CC609">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rPr>
                    <w:t>暂存至一般固废暂存区</w:t>
                  </w:r>
                </w:p>
              </w:tc>
            </w:tr>
            <w:tr w14:paraId="4EA4D3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6" w:type="pct"/>
                  <w:vMerge w:val="continue"/>
                  <w:tcBorders>
                    <w:tl2br w:val="nil"/>
                    <w:tr2bl w:val="nil"/>
                  </w:tcBorders>
                  <w:noWrap w:val="0"/>
                  <w:vAlign w:val="center"/>
                </w:tcPr>
                <w:p w14:paraId="65EAD1DD">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p>
              </w:tc>
              <w:tc>
                <w:tcPr>
                  <w:tcW w:w="916" w:type="pct"/>
                  <w:tcBorders>
                    <w:tl2br w:val="nil"/>
                    <w:tr2bl w:val="nil"/>
                  </w:tcBorders>
                  <w:shd w:val="clear" w:color="auto" w:fill="auto"/>
                  <w:noWrap w:val="0"/>
                  <w:vAlign w:val="center"/>
                </w:tcPr>
                <w:p w14:paraId="1C327748">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u w:val="none"/>
                      <w:lang w:val="en-US" w:eastAsia="zh-CN" w:bidi="ar-SA"/>
                    </w:rPr>
                  </w:pPr>
                  <w:r>
                    <w:rPr>
                      <w:rFonts w:hint="eastAsia"/>
                      <w:bCs/>
                      <w:color w:val="000000"/>
                      <w:sz w:val="21"/>
                      <w:szCs w:val="21"/>
                      <w:lang w:val="en-US" w:eastAsia="zh-CN"/>
                    </w:rPr>
                    <w:t>纯水制备系统</w:t>
                  </w:r>
                </w:p>
              </w:tc>
              <w:tc>
                <w:tcPr>
                  <w:tcW w:w="842" w:type="pct"/>
                  <w:tcBorders>
                    <w:tl2br w:val="nil"/>
                    <w:tr2bl w:val="nil"/>
                  </w:tcBorders>
                  <w:shd w:val="clear" w:color="auto" w:fill="auto"/>
                  <w:noWrap w:val="0"/>
                  <w:vAlign w:val="center"/>
                </w:tcPr>
                <w:p w14:paraId="1E7D5C9C">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u w:val="none"/>
                      <w:lang w:val="en-US" w:eastAsia="zh-CN" w:bidi="ar-SA"/>
                    </w:rPr>
                  </w:pPr>
                  <w:r>
                    <w:rPr>
                      <w:rFonts w:hint="eastAsia"/>
                      <w:bCs/>
                      <w:color w:val="000000"/>
                      <w:sz w:val="21"/>
                      <w:szCs w:val="21"/>
                      <w:lang w:val="en-US" w:eastAsia="zh-CN"/>
                    </w:rPr>
                    <w:t>废渗透膜</w:t>
                  </w:r>
                </w:p>
              </w:tc>
              <w:tc>
                <w:tcPr>
                  <w:tcW w:w="684" w:type="pct"/>
                  <w:tcBorders>
                    <w:tl2br w:val="nil"/>
                    <w:tr2bl w:val="nil"/>
                  </w:tcBorders>
                  <w:noWrap w:val="0"/>
                  <w:vAlign w:val="center"/>
                </w:tcPr>
                <w:p w14:paraId="6C09ADC8">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kern w:val="2"/>
                      <w:sz w:val="21"/>
                      <w:szCs w:val="21"/>
                      <w:u w:val="none"/>
                      <w:lang w:val="en-US" w:eastAsia="zh-CN" w:bidi="ar-SA"/>
                    </w:rPr>
                  </w:pPr>
                  <w:r>
                    <w:rPr>
                      <w:rFonts w:hint="default" w:ascii="Times New Roman" w:hAnsi="Times New Roman" w:eastAsia="宋体" w:cs="Times New Roman"/>
                      <w:sz w:val="21"/>
                      <w:szCs w:val="21"/>
                      <w:u w:val="none"/>
                      <w:lang w:val="en-US" w:eastAsia="zh-CN"/>
                    </w:rPr>
                    <w:t>废RO膜</w:t>
                  </w:r>
                </w:p>
              </w:tc>
              <w:tc>
                <w:tcPr>
                  <w:tcW w:w="402" w:type="pct"/>
                  <w:tcBorders>
                    <w:tl2br w:val="nil"/>
                    <w:tr2bl w:val="nil"/>
                  </w:tcBorders>
                  <w:noWrap w:val="0"/>
                  <w:vAlign w:val="center"/>
                </w:tcPr>
                <w:p w14:paraId="02583F75">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kern w:val="2"/>
                      <w:sz w:val="21"/>
                      <w:szCs w:val="21"/>
                      <w:u w:val="none"/>
                      <w:lang w:val="en-US" w:eastAsia="zh-CN" w:bidi="ar-SA"/>
                    </w:rPr>
                  </w:pPr>
                  <w:r>
                    <w:rPr>
                      <w:rFonts w:hint="default" w:ascii="Times New Roman" w:hAnsi="Times New Roman" w:cs="Times New Roman"/>
                      <w:sz w:val="21"/>
                      <w:szCs w:val="21"/>
                      <w:u w:val="none"/>
                      <w:lang w:eastAsia="zh-CN"/>
                    </w:rPr>
                    <w:t>间断</w:t>
                  </w:r>
                </w:p>
              </w:tc>
              <w:tc>
                <w:tcPr>
                  <w:tcW w:w="1788" w:type="pct"/>
                  <w:tcBorders>
                    <w:tl2br w:val="nil"/>
                    <w:tr2bl w:val="nil"/>
                  </w:tcBorders>
                  <w:shd w:val="clear" w:color="auto" w:fill="auto"/>
                  <w:noWrap w:val="0"/>
                  <w:vAlign w:val="center"/>
                </w:tcPr>
                <w:p w14:paraId="33951F9E">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rPr>
                    <w:t>暂存至一般固废暂存区</w:t>
                  </w:r>
                </w:p>
              </w:tc>
            </w:tr>
            <w:tr w14:paraId="2A8EEF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366" w:type="pct"/>
                  <w:vMerge w:val="continue"/>
                  <w:tcBorders>
                    <w:tl2br w:val="nil"/>
                    <w:tr2bl w:val="nil"/>
                  </w:tcBorders>
                  <w:noWrap w:val="0"/>
                  <w:vAlign w:val="center"/>
                </w:tcPr>
                <w:p w14:paraId="72049A53">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p>
              </w:tc>
              <w:tc>
                <w:tcPr>
                  <w:tcW w:w="916" w:type="pct"/>
                  <w:tcBorders>
                    <w:tl2br w:val="nil"/>
                    <w:tr2bl w:val="nil"/>
                  </w:tcBorders>
                  <w:shd w:val="clear" w:color="auto" w:fill="auto"/>
                  <w:noWrap w:val="0"/>
                  <w:vAlign w:val="center"/>
                </w:tcPr>
                <w:p w14:paraId="5360DD61">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检测过程</w:t>
                  </w:r>
                </w:p>
              </w:tc>
              <w:tc>
                <w:tcPr>
                  <w:tcW w:w="842" w:type="pct"/>
                  <w:tcBorders>
                    <w:tl2br w:val="nil"/>
                    <w:tr2bl w:val="nil"/>
                  </w:tcBorders>
                  <w:shd w:val="clear" w:color="auto" w:fill="auto"/>
                  <w:noWrap w:val="0"/>
                  <w:vAlign w:val="center"/>
                </w:tcPr>
                <w:p w14:paraId="7B4D6D9D">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不合格品</w:t>
                  </w:r>
                </w:p>
              </w:tc>
              <w:tc>
                <w:tcPr>
                  <w:tcW w:w="684" w:type="pct"/>
                  <w:tcBorders>
                    <w:tl2br w:val="nil"/>
                    <w:tr2bl w:val="nil"/>
                  </w:tcBorders>
                  <w:noWrap w:val="0"/>
                  <w:vAlign w:val="center"/>
                </w:tcPr>
                <w:p w14:paraId="722FD235">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Cs/>
                      <w:sz w:val="21"/>
                      <w:szCs w:val="21"/>
                      <w:u w:val="none"/>
                      <w:lang w:val="en-US" w:eastAsia="zh-CN"/>
                    </w:rPr>
                  </w:pPr>
                  <w:r>
                    <w:rPr>
                      <w:rFonts w:hint="eastAsia"/>
                      <w:bCs/>
                      <w:color w:val="000000"/>
                      <w:sz w:val="21"/>
                      <w:szCs w:val="21"/>
                      <w:lang w:val="en-US" w:eastAsia="zh-CN"/>
                    </w:rPr>
                    <w:t>不合格品</w:t>
                  </w:r>
                </w:p>
              </w:tc>
              <w:tc>
                <w:tcPr>
                  <w:tcW w:w="402" w:type="pct"/>
                  <w:tcBorders>
                    <w:tl2br w:val="nil"/>
                    <w:tr2bl w:val="nil"/>
                  </w:tcBorders>
                  <w:noWrap w:val="0"/>
                  <w:vAlign w:val="center"/>
                </w:tcPr>
                <w:p w14:paraId="783BCBEA">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lang w:eastAsia="zh-CN"/>
                    </w:rPr>
                  </w:pPr>
                  <w:r>
                    <w:rPr>
                      <w:rFonts w:hint="default" w:ascii="Times New Roman" w:hAnsi="Times New Roman" w:cs="Times New Roman"/>
                      <w:sz w:val="21"/>
                      <w:szCs w:val="21"/>
                      <w:u w:val="none"/>
                      <w:lang w:eastAsia="zh-CN"/>
                    </w:rPr>
                    <w:t>间断</w:t>
                  </w:r>
                </w:p>
              </w:tc>
              <w:tc>
                <w:tcPr>
                  <w:tcW w:w="1788" w:type="pct"/>
                  <w:tcBorders>
                    <w:tl2br w:val="nil"/>
                    <w:tr2bl w:val="nil"/>
                  </w:tcBorders>
                  <w:shd w:val="clear" w:color="auto" w:fill="auto"/>
                  <w:noWrap w:val="0"/>
                  <w:vAlign w:val="center"/>
                </w:tcPr>
                <w:p w14:paraId="090B16CE">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rPr>
                    <w:t>暂存至一般固废暂存区</w:t>
                  </w:r>
                </w:p>
              </w:tc>
            </w:tr>
            <w:tr w14:paraId="36B18F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366" w:type="pct"/>
                  <w:vMerge w:val="continue"/>
                  <w:tcBorders>
                    <w:tl2br w:val="nil"/>
                    <w:tr2bl w:val="nil"/>
                  </w:tcBorders>
                  <w:noWrap w:val="0"/>
                  <w:vAlign w:val="center"/>
                </w:tcPr>
                <w:p w14:paraId="6C995DA7">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p>
              </w:tc>
              <w:tc>
                <w:tcPr>
                  <w:tcW w:w="916" w:type="pct"/>
                  <w:vMerge w:val="restart"/>
                  <w:tcBorders>
                    <w:tl2br w:val="nil"/>
                    <w:tr2bl w:val="nil"/>
                  </w:tcBorders>
                  <w:shd w:val="clear" w:color="auto" w:fill="auto"/>
                  <w:noWrap w:val="0"/>
                  <w:vAlign w:val="center"/>
                </w:tcPr>
                <w:p w14:paraId="2E50E491">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u w:val="none"/>
                      <w:lang w:val="en-US" w:eastAsia="zh-CN" w:bidi="ar-SA"/>
                    </w:rPr>
                  </w:pPr>
                  <w:r>
                    <w:rPr>
                      <w:rFonts w:hint="eastAsia"/>
                      <w:bCs/>
                      <w:color w:val="000000"/>
                      <w:sz w:val="21"/>
                      <w:szCs w:val="21"/>
                      <w:lang w:val="en-US" w:eastAsia="zh-CN"/>
                    </w:rPr>
                    <w:t>质检</w:t>
                  </w:r>
                  <w:r>
                    <w:rPr>
                      <w:rFonts w:hint="eastAsia"/>
                      <w:bCs/>
                      <w:color w:val="000000"/>
                      <w:sz w:val="21"/>
                      <w:szCs w:val="21"/>
                    </w:rPr>
                    <w:t>工序</w:t>
                  </w:r>
                </w:p>
              </w:tc>
              <w:tc>
                <w:tcPr>
                  <w:tcW w:w="842" w:type="pct"/>
                  <w:tcBorders>
                    <w:tl2br w:val="nil"/>
                    <w:tr2bl w:val="nil"/>
                  </w:tcBorders>
                  <w:shd w:val="clear" w:color="auto" w:fill="auto"/>
                  <w:noWrap w:val="0"/>
                  <w:vAlign w:val="center"/>
                </w:tcPr>
                <w:p w14:paraId="41578AF9">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sz w:val="21"/>
                      <w:szCs w:val="21"/>
                    </w:rPr>
                    <w:t>实验室废包装</w:t>
                  </w:r>
                </w:p>
              </w:tc>
              <w:tc>
                <w:tcPr>
                  <w:tcW w:w="684" w:type="pct"/>
                  <w:tcBorders>
                    <w:tl2br w:val="nil"/>
                    <w:tr2bl w:val="nil"/>
                  </w:tcBorders>
                  <w:shd w:val="clear" w:color="auto" w:fill="auto"/>
                  <w:noWrap w:val="0"/>
                  <w:vAlign w:val="center"/>
                </w:tcPr>
                <w:p w14:paraId="070C1308">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sz w:val="21"/>
                      <w:szCs w:val="21"/>
                    </w:rPr>
                    <w:t>实验室废包装</w:t>
                  </w:r>
                </w:p>
              </w:tc>
              <w:tc>
                <w:tcPr>
                  <w:tcW w:w="402" w:type="pct"/>
                  <w:tcBorders>
                    <w:tl2br w:val="nil"/>
                    <w:tr2bl w:val="nil"/>
                  </w:tcBorders>
                  <w:shd w:val="clear" w:color="auto" w:fill="auto"/>
                  <w:noWrap w:val="0"/>
                  <w:vAlign w:val="center"/>
                </w:tcPr>
                <w:p w14:paraId="79C7EE21">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u w:val="none"/>
                      <w:lang w:val="en-US" w:eastAsia="zh-CN" w:bidi="ar-SA"/>
                    </w:rPr>
                  </w:pPr>
                  <w:r>
                    <w:rPr>
                      <w:rFonts w:hint="default" w:ascii="Times New Roman" w:hAnsi="Times New Roman" w:cs="Times New Roman"/>
                      <w:sz w:val="21"/>
                      <w:szCs w:val="21"/>
                      <w:u w:val="none"/>
                    </w:rPr>
                    <w:t>间断</w:t>
                  </w:r>
                </w:p>
              </w:tc>
              <w:tc>
                <w:tcPr>
                  <w:tcW w:w="1788" w:type="pct"/>
                  <w:vMerge w:val="restart"/>
                  <w:tcBorders>
                    <w:tl2br w:val="nil"/>
                    <w:tr2bl w:val="nil"/>
                  </w:tcBorders>
                  <w:shd w:val="clear" w:color="auto" w:fill="auto"/>
                  <w:noWrap w:val="0"/>
                  <w:vAlign w:val="center"/>
                </w:tcPr>
                <w:p w14:paraId="707C0C79">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u w:val="none"/>
                      <w:lang w:val="en-US" w:eastAsia="zh-CN" w:bidi="ar-SA"/>
                    </w:rPr>
                  </w:pPr>
                  <w:r>
                    <w:rPr>
                      <w:rFonts w:hint="default" w:ascii="Times New Roman" w:hAnsi="Times New Roman" w:cs="Times New Roman"/>
                      <w:sz w:val="21"/>
                      <w:szCs w:val="21"/>
                      <w:highlight w:val="none"/>
                      <w:u w:val="none"/>
                    </w:rPr>
                    <w:t>分类收集后暂存于危废暂存间，</w:t>
                  </w:r>
                  <w:r>
                    <w:rPr>
                      <w:rFonts w:hint="default" w:ascii="Times New Roman" w:hAnsi="Times New Roman" w:cs="Times New Roman"/>
                      <w:sz w:val="21"/>
                      <w:szCs w:val="21"/>
                      <w:highlight w:val="none"/>
                      <w:u w:val="none"/>
                      <w:lang w:val="en-US" w:eastAsia="zh-CN"/>
                    </w:rPr>
                    <w:t>定期交</w:t>
                  </w:r>
                  <w:r>
                    <w:rPr>
                      <w:rFonts w:hint="default" w:ascii="Times New Roman" w:hAnsi="Times New Roman" w:cs="Times New Roman"/>
                      <w:sz w:val="21"/>
                      <w:szCs w:val="21"/>
                      <w:highlight w:val="none"/>
                      <w:u w:val="none"/>
                    </w:rPr>
                    <w:t>由有资质单位处置</w:t>
                  </w:r>
                </w:p>
              </w:tc>
            </w:tr>
            <w:tr w14:paraId="063A53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366" w:type="pct"/>
                  <w:vMerge w:val="continue"/>
                  <w:tcBorders>
                    <w:tl2br w:val="nil"/>
                    <w:tr2bl w:val="nil"/>
                  </w:tcBorders>
                  <w:noWrap w:val="0"/>
                  <w:vAlign w:val="center"/>
                </w:tcPr>
                <w:p w14:paraId="2B66947B">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p>
              </w:tc>
              <w:tc>
                <w:tcPr>
                  <w:tcW w:w="916" w:type="pct"/>
                  <w:vMerge w:val="continue"/>
                  <w:tcBorders>
                    <w:tl2br w:val="nil"/>
                    <w:tr2bl w:val="nil"/>
                  </w:tcBorders>
                  <w:shd w:val="clear" w:color="auto" w:fill="auto"/>
                  <w:noWrap w:val="0"/>
                  <w:vAlign w:val="center"/>
                </w:tcPr>
                <w:p w14:paraId="034F980C">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Cs/>
                      <w:sz w:val="21"/>
                      <w:szCs w:val="21"/>
                      <w:u w:val="none"/>
                    </w:rPr>
                  </w:pPr>
                </w:p>
              </w:tc>
              <w:tc>
                <w:tcPr>
                  <w:tcW w:w="842" w:type="pct"/>
                  <w:tcBorders>
                    <w:tl2br w:val="nil"/>
                    <w:tr2bl w:val="nil"/>
                  </w:tcBorders>
                  <w:shd w:val="clear" w:color="auto" w:fill="auto"/>
                  <w:noWrap w:val="0"/>
                  <w:vAlign w:val="center"/>
                </w:tcPr>
                <w:p w14:paraId="4744394C">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实验室废</w:t>
                  </w:r>
                  <w:r>
                    <w:rPr>
                      <w:rFonts w:hint="eastAsia"/>
                      <w:bCs/>
                      <w:color w:val="000000"/>
                      <w:sz w:val="21"/>
                      <w:szCs w:val="21"/>
                    </w:rPr>
                    <w:t>液</w:t>
                  </w:r>
                </w:p>
              </w:tc>
              <w:tc>
                <w:tcPr>
                  <w:tcW w:w="684" w:type="pct"/>
                  <w:tcBorders>
                    <w:tl2br w:val="nil"/>
                    <w:tr2bl w:val="nil"/>
                  </w:tcBorders>
                  <w:shd w:val="clear" w:color="auto" w:fill="auto"/>
                  <w:noWrap w:val="0"/>
                  <w:vAlign w:val="center"/>
                </w:tcPr>
                <w:p w14:paraId="2A6B9ED3">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实验室废</w:t>
                  </w:r>
                  <w:r>
                    <w:rPr>
                      <w:rFonts w:hint="eastAsia"/>
                      <w:bCs/>
                      <w:color w:val="000000"/>
                      <w:sz w:val="21"/>
                      <w:szCs w:val="21"/>
                    </w:rPr>
                    <w:t>液</w:t>
                  </w:r>
                </w:p>
              </w:tc>
              <w:tc>
                <w:tcPr>
                  <w:tcW w:w="402" w:type="pct"/>
                  <w:tcBorders>
                    <w:tl2br w:val="nil"/>
                    <w:tr2bl w:val="nil"/>
                  </w:tcBorders>
                  <w:shd w:val="clear" w:color="auto" w:fill="auto"/>
                  <w:noWrap w:val="0"/>
                  <w:vAlign w:val="center"/>
                </w:tcPr>
                <w:p w14:paraId="313E4596">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lang w:eastAsia="zh-CN"/>
                    </w:rPr>
                    <w:t>间断</w:t>
                  </w:r>
                </w:p>
              </w:tc>
              <w:tc>
                <w:tcPr>
                  <w:tcW w:w="1788" w:type="pct"/>
                  <w:vMerge w:val="continue"/>
                  <w:tcBorders>
                    <w:tl2br w:val="nil"/>
                    <w:tr2bl w:val="nil"/>
                  </w:tcBorders>
                  <w:shd w:val="clear" w:color="auto" w:fill="auto"/>
                  <w:noWrap w:val="0"/>
                  <w:vAlign w:val="center"/>
                </w:tcPr>
                <w:p w14:paraId="5DBAED51">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p>
              </w:tc>
            </w:tr>
            <w:tr w14:paraId="5E78A0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366" w:type="pct"/>
                  <w:vMerge w:val="continue"/>
                  <w:tcBorders>
                    <w:tl2br w:val="nil"/>
                    <w:tr2bl w:val="nil"/>
                  </w:tcBorders>
                  <w:noWrap w:val="0"/>
                  <w:vAlign w:val="center"/>
                </w:tcPr>
                <w:p w14:paraId="27B516DA">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p>
              </w:tc>
              <w:tc>
                <w:tcPr>
                  <w:tcW w:w="916" w:type="pct"/>
                  <w:tcBorders>
                    <w:tl2br w:val="nil"/>
                    <w:tr2bl w:val="nil"/>
                  </w:tcBorders>
                  <w:shd w:val="clear" w:color="auto" w:fill="auto"/>
                  <w:noWrap w:val="0"/>
                  <w:vAlign w:val="center"/>
                </w:tcPr>
                <w:p w14:paraId="15D1C75F">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Cs/>
                      <w:sz w:val="21"/>
                      <w:szCs w:val="21"/>
                      <w:u w:val="none"/>
                    </w:rPr>
                  </w:pPr>
                  <w:r>
                    <w:rPr>
                      <w:rFonts w:hint="eastAsia"/>
                      <w:bCs/>
                      <w:color w:val="000000"/>
                      <w:sz w:val="21"/>
                      <w:szCs w:val="21"/>
                      <w:lang w:val="en-US" w:eastAsia="zh-CN"/>
                    </w:rPr>
                    <w:t>活性炭吸附装置</w:t>
                  </w:r>
                </w:p>
              </w:tc>
              <w:tc>
                <w:tcPr>
                  <w:tcW w:w="842" w:type="pct"/>
                  <w:tcBorders>
                    <w:tl2br w:val="nil"/>
                    <w:tr2bl w:val="nil"/>
                  </w:tcBorders>
                  <w:shd w:val="clear" w:color="auto" w:fill="auto"/>
                  <w:noWrap w:val="0"/>
                  <w:vAlign w:val="center"/>
                </w:tcPr>
                <w:p w14:paraId="47F58FDB">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rPr>
                    <w:t>废</w:t>
                  </w:r>
                  <w:r>
                    <w:rPr>
                      <w:rFonts w:hint="eastAsia"/>
                      <w:bCs/>
                      <w:color w:val="000000"/>
                      <w:sz w:val="21"/>
                      <w:szCs w:val="21"/>
                      <w:lang w:val="en-US" w:eastAsia="zh-CN"/>
                    </w:rPr>
                    <w:t>活性炭</w:t>
                  </w:r>
                </w:p>
              </w:tc>
              <w:tc>
                <w:tcPr>
                  <w:tcW w:w="684" w:type="pct"/>
                  <w:tcBorders>
                    <w:tl2br w:val="nil"/>
                    <w:tr2bl w:val="nil"/>
                  </w:tcBorders>
                  <w:shd w:val="clear" w:color="auto" w:fill="auto"/>
                  <w:noWrap w:val="0"/>
                  <w:vAlign w:val="center"/>
                </w:tcPr>
                <w:p w14:paraId="35EB9508">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rPr>
                    <w:t>废</w:t>
                  </w:r>
                  <w:r>
                    <w:rPr>
                      <w:rFonts w:hint="eastAsia"/>
                      <w:bCs/>
                      <w:color w:val="000000"/>
                      <w:sz w:val="21"/>
                      <w:szCs w:val="21"/>
                      <w:lang w:val="en-US" w:eastAsia="zh-CN"/>
                    </w:rPr>
                    <w:t>活性炭</w:t>
                  </w:r>
                </w:p>
              </w:tc>
              <w:tc>
                <w:tcPr>
                  <w:tcW w:w="402" w:type="pct"/>
                  <w:tcBorders>
                    <w:tl2br w:val="nil"/>
                    <w:tr2bl w:val="nil"/>
                  </w:tcBorders>
                  <w:shd w:val="clear" w:color="auto" w:fill="auto"/>
                  <w:noWrap w:val="0"/>
                  <w:vAlign w:val="center"/>
                </w:tcPr>
                <w:p w14:paraId="2937E854">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lang w:eastAsia="zh-CN"/>
                    </w:rPr>
                    <w:t>间断</w:t>
                  </w:r>
                </w:p>
              </w:tc>
              <w:tc>
                <w:tcPr>
                  <w:tcW w:w="1788" w:type="pct"/>
                  <w:vMerge w:val="continue"/>
                  <w:tcBorders>
                    <w:tl2br w:val="nil"/>
                    <w:tr2bl w:val="nil"/>
                  </w:tcBorders>
                  <w:shd w:val="clear" w:color="auto" w:fill="auto"/>
                  <w:noWrap w:val="0"/>
                  <w:vAlign w:val="center"/>
                </w:tcPr>
                <w:p w14:paraId="07A1ED1E">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p>
              </w:tc>
            </w:tr>
            <w:tr w14:paraId="550C27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366" w:type="pct"/>
                  <w:vMerge w:val="continue"/>
                  <w:tcBorders>
                    <w:tl2br w:val="nil"/>
                    <w:tr2bl w:val="nil"/>
                  </w:tcBorders>
                  <w:noWrap w:val="0"/>
                  <w:vAlign w:val="center"/>
                </w:tcPr>
                <w:p w14:paraId="3AC85444">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p>
              </w:tc>
              <w:tc>
                <w:tcPr>
                  <w:tcW w:w="916" w:type="pct"/>
                  <w:vMerge w:val="restart"/>
                  <w:tcBorders>
                    <w:tl2br w:val="nil"/>
                    <w:tr2bl w:val="nil"/>
                  </w:tcBorders>
                  <w:shd w:val="clear" w:color="auto" w:fill="auto"/>
                  <w:noWrap w:val="0"/>
                  <w:vAlign w:val="center"/>
                </w:tcPr>
                <w:p w14:paraId="58AA0E60">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Cs/>
                      <w:sz w:val="21"/>
                      <w:szCs w:val="21"/>
                      <w:u w:val="none"/>
                    </w:rPr>
                  </w:pPr>
                  <w:r>
                    <w:rPr>
                      <w:rFonts w:hint="eastAsia"/>
                      <w:bCs/>
                      <w:color w:val="000000"/>
                      <w:sz w:val="21"/>
                      <w:szCs w:val="21"/>
                      <w:lang w:val="en-US" w:eastAsia="zh-CN"/>
                    </w:rPr>
                    <w:t>毒性药材生产过程</w:t>
                  </w:r>
                </w:p>
              </w:tc>
              <w:tc>
                <w:tcPr>
                  <w:tcW w:w="842" w:type="pct"/>
                  <w:tcBorders>
                    <w:tl2br w:val="nil"/>
                    <w:tr2bl w:val="nil"/>
                  </w:tcBorders>
                  <w:shd w:val="clear" w:color="auto" w:fill="auto"/>
                  <w:noWrap w:val="0"/>
                  <w:vAlign w:val="center"/>
                </w:tcPr>
                <w:p w14:paraId="55640D5D">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毒性</w:t>
                  </w:r>
                  <w:r>
                    <w:rPr>
                      <w:rFonts w:hint="eastAsia"/>
                      <w:bCs/>
                      <w:color w:val="000000"/>
                      <w:sz w:val="21"/>
                      <w:szCs w:val="21"/>
                    </w:rPr>
                    <w:t>药材废弃物</w:t>
                  </w:r>
                </w:p>
              </w:tc>
              <w:tc>
                <w:tcPr>
                  <w:tcW w:w="684" w:type="pct"/>
                  <w:tcBorders>
                    <w:tl2br w:val="nil"/>
                    <w:tr2bl w:val="nil"/>
                  </w:tcBorders>
                  <w:shd w:val="clear" w:color="auto" w:fill="auto"/>
                  <w:noWrap w:val="0"/>
                  <w:vAlign w:val="center"/>
                </w:tcPr>
                <w:p w14:paraId="6E7B2AFE">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毒性</w:t>
                  </w:r>
                  <w:r>
                    <w:rPr>
                      <w:rFonts w:hint="eastAsia"/>
                      <w:bCs/>
                      <w:color w:val="000000"/>
                      <w:sz w:val="21"/>
                      <w:szCs w:val="21"/>
                    </w:rPr>
                    <w:t>药材废弃物</w:t>
                  </w:r>
                </w:p>
              </w:tc>
              <w:tc>
                <w:tcPr>
                  <w:tcW w:w="402" w:type="pct"/>
                  <w:tcBorders>
                    <w:tl2br w:val="nil"/>
                    <w:tr2bl w:val="nil"/>
                  </w:tcBorders>
                  <w:shd w:val="clear" w:color="auto" w:fill="auto"/>
                  <w:noWrap w:val="0"/>
                  <w:vAlign w:val="center"/>
                </w:tcPr>
                <w:p w14:paraId="500D640E">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lang w:eastAsia="zh-CN"/>
                    </w:rPr>
                    <w:t>间断</w:t>
                  </w:r>
                </w:p>
              </w:tc>
              <w:tc>
                <w:tcPr>
                  <w:tcW w:w="1788" w:type="pct"/>
                  <w:vMerge w:val="continue"/>
                  <w:tcBorders>
                    <w:tl2br w:val="nil"/>
                    <w:tr2bl w:val="nil"/>
                  </w:tcBorders>
                  <w:shd w:val="clear" w:color="auto" w:fill="auto"/>
                  <w:noWrap w:val="0"/>
                  <w:vAlign w:val="center"/>
                </w:tcPr>
                <w:p w14:paraId="502C4904">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p>
              </w:tc>
            </w:tr>
            <w:tr w14:paraId="05E358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366" w:type="pct"/>
                  <w:vMerge w:val="continue"/>
                  <w:tcBorders>
                    <w:tl2br w:val="nil"/>
                    <w:tr2bl w:val="nil"/>
                  </w:tcBorders>
                  <w:noWrap w:val="0"/>
                  <w:vAlign w:val="center"/>
                </w:tcPr>
                <w:p w14:paraId="760C37ED">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p>
              </w:tc>
              <w:tc>
                <w:tcPr>
                  <w:tcW w:w="916" w:type="pct"/>
                  <w:vMerge w:val="continue"/>
                  <w:tcBorders>
                    <w:tl2br w:val="nil"/>
                    <w:tr2bl w:val="nil"/>
                  </w:tcBorders>
                  <w:shd w:val="clear" w:color="auto" w:fill="auto"/>
                  <w:noWrap w:val="0"/>
                  <w:vAlign w:val="center"/>
                </w:tcPr>
                <w:p w14:paraId="5CE10214">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bCs/>
                      <w:color w:val="000000"/>
                      <w:sz w:val="21"/>
                      <w:szCs w:val="21"/>
                      <w:lang w:val="en-US" w:eastAsia="zh-CN"/>
                    </w:rPr>
                  </w:pPr>
                </w:p>
              </w:tc>
              <w:tc>
                <w:tcPr>
                  <w:tcW w:w="842" w:type="pct"/>
                  <w:tcBorders>
                    <w:tl2br w:val="nil"/>
                    <w:tr2bl w:val="nil"/>
                  </w:tcBorders>
                  <w:shd w:val="clear" w:color="auto" w:fill="auto"/>
                  <w:noWrap w:val="0"/>
                  <w:vAlign w:val="center"/>
                </w:tcPr>
                <w:p w14:paraId="7C2F7754">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bCs/>
                      <w:color w:val="000000"/>
                      <w:sz w:val="21"/>
                      <w:szCs w:val="21"/>
                      <w:lang w:val="en-US" w:eastAsia="zh-CN"/>
                    </w:rPr>
                  </w:pPr>
                  <w:r>
                    <w:rPr>
                      <w:rFonts w:hint="eastAsia"/>
                      <w:bCs/>
                      <w:color w:val="000000"/>
                      <w:sz w:val="21"/>
                      <w:szCs w:val="21"/>
                      <w:lang w:val="en-US" w:eastAsia="zh-CN"/>
                    </w:rPr>
                    <w:t>毒性药材药渣</w:t>
                  </w:r>
                </w:p>
              </w:tc>
              <w:tc>
                <w:tcPr>
                  <w:tcW w:w="684" w:type="pct"/>
                  <w:tcBorders>
                    <w:tl2br w:val="nil"/>
                    <w:tr2bl w:val="nil"/>
                  </w:tcBorders>
                  <w:shd w:val="clear" w:color="auto" w:fill="auto"/>
                  <w:noWrap w:val="0"/>
                  <w:vAlign w:val="center"/>
                </w:tcPr>
                <w:p w14:paraId="637D48C5">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毒性</w:t>
                  </w:r>
                  <w:r>
                    <w:rPr>
                      <w:rFonts w:hint="eastAsia"/>
                      <w:bCs/>
                      <w:color w:val="000000"/>
                      <w:sz w:val="21"/>
                      <w:szCs w:val="21"/>
                    </w:rPr>
                    <w:t>药材废弃物</w:t>
                  </w:r>
                </w:p>
              </w:tc>
              <w:tc>
                <w:tcPr>
                  <w:tcW w:w="402" w:type="pct"/>
                  <w:tcBorders>
                    <w:tl2br w:val="nil"/>
                    <w:tr2bl w:val="nil"/>
                  </w:tcBorders>
                  <w:shd w:val="clear" w:color="auto" w:fill="auto"/>
                  <w:noWrap w:val="0"/>
                  <w:vAlign w:val="center"/>
                </w:tcPr>
                <w:p w14:paraId="0ECCA113">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u w:val="none"/>
                      <w:lang w:val="en-US" w:eastAsia="zh-CN" w:bidi="ar-SA"/>
                    </w:rPr>
                  </w:pPr>
                  <w:r>
                    <w:rPr>
                      <w:rFonts w:hint="default" w:ascii="Times New Roman" w:hAnsi="Times New Roman" w:cs="Times New Roman"/>
                      <w:sz w:val="21"/>
                      <w:szCs w:val="21"/>
                      <w:u w:val="none"/>
                      <w:lang w:eastAsia="zh-CN"/>
                    </w:rPr>
                    <w:t>间断</w:t>
                  </w:r>
                </w:p>
              </w:tc>
              <w:tc>
                <w:tcPr>
                  <w:tcW w:w="1788" w:type="pct"/>
                  <w:vMerge w:val="continue"/>
                  <w:tcBorders>
                    <w:tl2br w:val="nil"/>
                    <w:tr2bl w:val="nil"/>
                  </w:tcBorders>
                  <w:shd w:val="clear" w:color="auto" w:fill="auto"/>
                  <w:noWrap w:val="0"/>
                  <w:vAlign w:val="center"/>
                </w:tcPr>
                <w:p w14:paraId="6A35417F">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p>
              </w:tc>
            </w:tr>
            <w:tr w14:paraId="47FD11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366" w:type="pct"/>
                  <w:vMerge w:val="continue"/>
                  <w:tcBorders>
                    <w:tl2br w:val="nil"/>
                    <w:tr2bl w:val="nil"/>
                  </w:tcBorders>
                  <w:noWrap w:val="0"/>
                  <w:vAlign w:val="center"/>
                </w:tcPr>
                <w:p w14:paraId="67FAC73E">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p>
              </w:tc>
              <w:tc>
                <w:tcPr>
                  <w:tcW w:w="916" w:type="pct"/>
                  <w:vMerge w:val="continue"/>
                  <w:tcBorders>
                    <w:tl2br w:val="nil"/>
                    <w:tr2bl w:val="nil"/>
                  </w:tcBorders>
                  <w:shd w:val="clear" w:color="auto" w:fill="auto"/>
                  <w:noWrap w:val="0"/>
                  <w:vAlign w:val="center"/>
                </w:tcPr>
                <w:p w14:paraId="6AA03EF6">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Cs/>
                      <w:sz w:val="21"/>
                      <w:szCs w:val="21"/>
                      <w:u w:val="none"/>
                    </w:rPr>
                  </w:pPr>
                </w:p>
              </w:tc>
              <w:tc>
                <w:tcPr>
                  <w:tcW w:w="842" w:type="pct"/>
                  <w:tcBorders>
                    <w:tl2br w:val="nil"/>
                    <w:tr2bl w:val="nil"/>
                  </w:tcBorders>
                  <w:shd w:val="clear" w:color="auto" w:fill="auto"/>
                  <w:noWrap w:val="0"/>
                  <w:vAlign w:val="center"/>
                </w:tcPr>
                <w:p w14:paraId="59684182">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毒性饮片除尘器截留药尘</w:t>
                  </w:r>
                </w:p>
              </w:tc>
              <w:tc>
                <w:tcPr>
                  <w:tcW w:w="684" w:type="pct"/>
                  <w:tcBorders>
                    <w:tl2br w:val="nil"/>
                    <w:tr2bl w:val="nil"/>
                  </w:tcBorders>
                  <w:shd w:val="clear" w:color="auto" w:fill="auto"/>
                  <w:noWrap w:val="0"/>
                  <w:vAlign w:val="center"/>
                </w:tcPr>
                <w:p w14:paraId="16977752">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毒性饮片除尘器截留药尘</w:t>
                  </w:r>
                </w:p>
              </w:tc>
              <w:tc>
                <w:tcPr>
                  <w:tcW w:w="402" w:type="pct"/>
                  <w:tcBorders>
                    <w:tl2br w:val="nil"/>
                    <w:tr2bl w:val="nil"/>
                  </w:tcBorders>
                  <w:shd w:val="clear" w:color="auto" w:fill="auto"/>
                  <w:noWrap w:val="0"/>
                  <w:vAlign w:val="center"/>
                </w:tcPr>
                <w:p w14:paraId="7BB539B8">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lang w:eastAsia="zh-CN"/>
                    </w:rPr>
                    <w:t>间断</w:t>
                  </w:r>
                </w:p>
              </w:tc>
              <w:tc>
                <w:tcPr>
                  <w:tcW w:w="1788" w:type="pct"/>
                  <w:vMerge w:val="continue"/>
                  <w:tcBorders>
                    <w:tl2br w:val="nil"/>
                    <w:tr2bl w:val="nil"/>
                  </w:tcBorders>
                  <w:shd w:val="clear" w:color="auto" w:fill="auto"/>
                  <w:noWrap w:val="0"/>
                  <w:vAlign w:val="center"/>
                </w:tcPr>
                <w:p w14:paraId="693678BF">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p>
              </w:tc>
            </w:tr>
            <w:tr w14:paraId="785D6D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366" w:type="pct"/>
                  <w:vMerge w:val="continue"/>
                  <w:tcBorders>
                    <w:tl2br w:val="nil"/>
                    <w:tr2bl w:val="nil"/>
                  </w:tcBorders>
                  <w:noWrap w:val="0"/>
                  <w:vAlign w:val="center"/>
                </w:tcPr>
                <w:p w14:paraId="744BFE2B">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p>
              </w:tc>
              <w:tc>
                <w:tcPr>
                  <w:tcW w:w="916" w:type="pct"/>
                  <w:vMerge w:val="continue"/>
                  <w:tcBorders>
                    <w:tl2br w:val="nil"/>
                    <w:tr2bl w:val="nil"/>
                  </w:tcBorders>
                  <w:shd w:val="clear" w:color="auto" w:fill="auto"/>
                  <w:noWrap w:val="0"/>
                  <w:vAlign w:val="center"/>
                </w:tcPr>
                <w:p w14:paraId="637B295B">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Cs/>
                      <w:sz w:val="21"/>
                      <w:szCs w:val="21"/>
                      <w:u w:val="none"/>
                    </w:rPr>
                  </w:pPr>
                </w:p>
              </w:tc>
              <w:tc>
                <w:tcPr>
                  <w:tcW w:w="842" w:type="pct"/>
                  <w:tcBorders>
                    <w:tl2br w:val="nil"/>
                    <w:tr2bl w:val="nil"/>
                  </w:tcBorders>
                  <w:shd w:val="clear" w:color="auto" w:fill="auto"/>
                  <w:noWrap w:val="0"/>
                  <w:vAlign w:val="center"/>
                </w:tcPr>
                <w:p w14:paraId="14DB36D1">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毒性饮片检验过程中不合格品</w:t>
                  </w:r>
                </w:p>
              </w:tc>
              <w:tc>
                <w:tcPr>
                  <w:tcW w:w="684" w:type="pct"/>
                  <w:tcBorders>
                    <w:tl2br w:val="nil"/>
                    <w:tr2bl w:val="nil"/>
                  </w:tcBorders>
                  <w:shd w:val="clear" w:color="auto" w:fill="auto"/>
                  <w:noWrap w:val="0"/>
                  <w:vAlign w:val="center"/>
                </w:tcPr>
                <w:p w14:paraId="45B61BA1">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毒性饮片检验过程中不合格品</w:t>
                  </w:r>
                </w:p>
              </w:tc>
              <w:tc>
                <w:tcPr>
                  <w:tcW w:w="402" w:type="pct"/>
                  <w:tcBorders>
                    <w:tl2br w:val="nil"/>
                    <w:tr2bl w:val="nil"/>
                  </w:tcBorders>
                  <w:shd w:val="clear" w:color="auto" w:fill="auto"/>
                  <w:noWrap w:val="0"/>
                  <w:vAlign w:val="center"/>
                </w:tcPr>
                <w:p w14:paraId="01E1F0E3">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lang w:eastAsia="zh-CN"/>
                    </w:rPr>
                    <w:t>间断</w:t>
                  </w:r>
                </w:p>
              </w:tc>
              <w:tc>
                <w:tcPr>
                  <w:tcW w:w="1788" w:type="pct"/>
                  <w:vMerge w:val="continue"/>
                  <w:tcBorders>
                    <w:tl2br w:val="nil"/>
                    <w:tr2bl w:val="nil"/>
                  </w:tcBorders>
                  <w:shd w:val="clear" w:color="auto" w:fill="auto"/>
                  <w:noWrap w:val="0"/>
                  <w:vAlign w:val="center"/>
                </w:tcPr>
                <w:p w14:paraId="067200B2">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p>
              </w:tc>
            </w:tr>
            <w:tr w14:paraId="01D4DA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366" w:type="pct"/>
                  <w:vMerge w:val="continue"/>
                  <w:tcBorders>
                    <w:tl2br w:val="nil"/>
                    <w:tr2bl w:val="nil"/>
                  </w:tcBorders>
                  <w:noWrap w:val="0"/>
                  <w:vAlign w:val="center"/>
                </w:tcPr>
                <w:p w14:paraId="31903FC9">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p>
              </w:tc>
              <w:tc>
                <w:tcPr>
                  <w:tcW w:w="916" w:type="pct"/>
                  <w:vMerge w:val="continue"/>
                  <w:tcBorders>
                    <w:tl2br w:val="nil"/>
                    <w:tr2bl w:val="nil"/>
                  </w:tcBorders>
                  <w:shd w:val="clear" w:color="auto" w:fill="auto"/>
                  <w:noWrap w:val="0"/>
                  <w:vAlign w:val="center"/>
                </w:tcPr>
                <w:p w14:paraId="3AC84927">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Cs/>
                      <w:sz w:val="21"/>
                      <w:szCs w:val="21"/>
                      <w:u w:val="none"/>
                    </w:rPr>
                  </w:pPr>
                </w:p>
              </w:tc>
              <w:tc>
                <w:tcPr>
                  <w:tcW w:w="842" w:type="pct"/>
                  <w:tcBorders>
                    <w:tl2br w:val="nil"/>
                    <w:tr2bl w:val="nil"/>
                  </w:tcBorders>
                  <w:shd w:val="clear" w:color="auto" w:fill="auto"/>
                  <w:noWrap w:val="0"/>
                  <w:vAlign w:val="center"/>
                </w:tcPr>
                <w:p w14:paraId="0170FC34">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rPr>
                    <w:t>解毒池沉渣</w:t>
                  </w:r>
                </w:p>
              </w:tc>
              <w:tc>
                <w:tcPr>
                  <w:tcW w:w="684" w:type="pct"/>
                  <w:tcBorders>
                    <w:tl2br w:val="nil"/>
                    <w:tr2bl w:val="nil"/>
                  </w:tcBorders>
                  <w:shd w:val="clear" w:color="auto" w:fill="auto"/>
                  <w:noWrap w:val="0"/>
                  <w:vAlign w:val="center"/>
                </w:tcPr>
                <w:p w14:paraId="0658DEDC">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rPr>
                    <w:t>解毒池沉渣</w:t>
                  </w:r>
                </w:p>
              </w:tc>
              <w:tc>
                <w:tcPr>
                  <w:tcW w:w="402" w:type="pct"/>
                  <w:tcBorders>
                    <w:tl2br w:val="nil"/>
                    <w:tr2bl w:val="nil"/>
                  </w:tcBorders>
                  <w:shd w:val="clear" w:color="auto" w:fill="auto"/>
                  <w:noWrap w:val="0"/>
                  <w:vAlign w:val="center"/>
                </w:tcPr>
                <w:p w14:paraId="761ACB9A">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lang w:eastAsia="zh-CN"/>
                    </w:rPr>
                    <w:t>间断</w:t>
                  </w:r>
                </w:p>
              </w:tc>
              <w:tc>
                <w:tcPr>
                  <w:tcW w:w="1788" w:type="pct"/>
                  <w:vMerge w:val="continue"/>
                  <w:tcBorders>
                    <w:tl2br w:val="nil"/>
                    <w:tr2bl w:val="nil"/>
                  </w:tcBorders>
                  <w:shd w:val="clear" w:color="auto" w:fill="auto"/>
                  <w:noWrap w:val="0"/>
                  <w:vAlign w:val="center"/>
                </w:tcPr>
                <w:p w14:paraId="7BB1D7D8">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p>
              </w:tc>
            </w:tr>
            <w:tr w14:paraId="15F72B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366" w:type="pct"/>
                  <w:vMerge w:val="continue"/>
                  <w:tcBorders>
                    <w:tl2br w:val="nil"/>
                    <w:tr2bl w:val="nil"/>
                  </w:tcBorders>
                  <w:noWrap w:val="0"/>
                  <w:vAlign w:val="center"/>
                </w:tcPr>
                <w:p w14:paraId="50C1F3C4">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p>
              </w:tc>
              <w:tc>
                <w:tcPr>
                  <w:tcW w:w="916" w:type="pct"/>
                  <w:tcBorders>
                    <w:tl2br w:val="nil"/>
                    <w:tr2bl w:val="nil"/>
                  </w:tcBorders>
                  <w:shd w:val="clear" w:color="auto" w:fill="auto"/>
                  <w:noWrap w:val="0"/>
                  <w:vAlign w:val="center"/>
                </w:tcPr>
                <w:p w14:paraId="3BAFF6D8">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rPr>
                    <w:t>办公生活</w:t>
                  </w:r>
                </w:p>
              </w:tc>
              <w:tc>
                <w:tcPr>
                  <w:tcW w:w="842" w:type="pct"/>
                  <w:tcBorders>
                    <w:tl2br w:val="nil"/>
                    <w:tr2bl w:val="nil"/>
                  </w:tcBorders>
                  <w:shd w:val="clear" w:color="auto" w:fill="auto"/>
                  <w:noWrap w:val="0"/>
                  <w:vAlign w:val="center"/>
                </w:tcPr>
                <w:p w14:paraId="70052D3D">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rPr>
                    <w:t>生活垃圾</w:t>
                  </w:r>
                </w:p>
              </w:tc>
              <w:tc>
                <w:tcPr>
                  <w:tcW w:w="684" w:type="pct"/>
                  <w:tcBorders>
                    <w:tl2br w:val="nil"/>
                    <w:tr2bl w:val="nil"/>
                  </w:tcBorders>
                  <w:shd w:val="clear" w:color="auto" w:fill="auto"/>
                  <w:noWrap w:val="0"/>
                  <w:vAlign w:val="center"/>
                </w:tcPr>
                <w:p w14:paraId="52481FF2">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rPr>
                    <w:t>生活垃圾</w:t>
                  </w:r>
                </w:p>
              </w:tc>
              <w:tc>
                <w:tcPr>
                  <w:tcW w:w="402" w:type="pct"/>
                  <w:tcBorders>
                    <w:tl2br w:val="nil"/>
                    <w:tr2bl w:val="nil"/>
                  </w:tcBorders>
                  <w:shd w:val="clear" w:color="auto" w:fill="auto"/>
                  <w:noWrap w:val="0"/>
                  <w:vAlign w:val="center"/>
                </w:tcPr>
                <w:p w14:paraId="1FBFB3CB">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lang w:eastAsia="zh-CN"/>
                    </w:rPr>
                    <w:t>间断</w:t>
                  </w:r>
                </w:p>
              </w:tc>
              <w:tc>
                <w:tcPr>
                  <w:tcW w:w="1788" w:type="pct"/>
                  <w:tcBorders>
                    <w:tl2br w:val="nil"/>
                    <w:tr2bl w:val="nil"/>
                  </w:tcBorders>
                  <w:shd w:val="clear" w:color="auto" w:fill="auto"/>
                  <w:noWrap w:val="0"/>
                  <w:vAlign w:val="center"/>
                </w:tcPr>
                <w:p w14:paraId="5CBB5BF0">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r>
                    <w:rPr>
                      <w:rFonts w:hint="eastAsia"/>
                      <w:bCs/>
                      <w:color w:val="000000"/>
                      <w:sz w:val="21"/>
                      <w:szCs w:val="21"/>
                    </w:rPr>
                    <w:t>交由环卫部门处置</w:t>
                  </w:r>
                </w:p>
              </w:tc>
            </w:tr>
            <w:tr w14:paraId="289B8F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366" w:type="pct"/>
                  <w:tcBorders>
                    <w:tl2br w:val="nil"/>
                    <w:tr2bl w:val="nil"/>
                  </w:tcBorders>
                  <w:noWrap w:val="0"/>
                  <w:vAlign w:val="center"/>
                </w:tcPr>
                <w:p w14:paraId="1C7F16E1">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噪声</w:t>
                  </w:r>
                </w:p>
              </w:tc>
              <w:tc>
                <w:tcPr>
                  <w:tcW w:w="916" w:type="pct"/>
                  <w:tcBorders>
                    <w:tl2br w:val="nil"/>
                    <w:tr2bl w:val="nil"/>
                  </w:tcBorders>
                  <w:shd w:val="clear" w:color="auto" w:fill="auto"/>
                  <w:noWrap w:val="0"/>
                  <w:vAlign w:val="center"/>
                </w:tcPr>
                <w:p w14:paraId="14CA65F5">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kern w:val="2"/>
                      <w:sz w:val="21"/>
                      <w:szCs w:val="21"/>
                      <w:u w:val="none"/>
                      <w:lang w:val="en-US" w:eastAsia="zh-CN" w:bidi="ar-SA"/>
                    </w:rPr>
                  </w:pPr>
                  <w:r>
                    <w:rPr>
                      <w:rFonts w:hint="default" w:ascii="Times New Roman" w:hAnsi="Times New Roman" w:cs="Times New Roman"/>
                      <w:sz w:val="21"/>
                      <w:szCs w:val="21"/>
                      <w:u w:val="none"/>
                      <w:lang w:eastAsia="zh-CN"/>
                    </w:rPr>
                    <w:t>生产车间</w:t>
                  </w:r>
                </w:p>
              </w:tc>
              <w:tc>
                <w:tcPr>
                  <w:tcW w:w="842" w:type="pct"/>
                  <w:tcBorders>
                    <w:tl2br w:val="nil"/>
                    <w:tr2bl w:val="nil"/>
                  </w:tcBorders>
                  <w:shd w:val="clear" w:color="auto" w:fill="auto"/>
                  <w:noWrap w:val="0"/>
                  <w:vAlign w:val="center"/>
                </w:tcPr>
                <w:p w14:paraId="2D6C75E4">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u w:val="none"/>
                      <w:lang w:val="en-US" w:eastAsia="zh-CN" w:bidi="ar-SA"/>
                    </w:rPr>
                  </w:pPr>
                  <w:r>
                    <w:rPr>
                      <w:rFonts w:hint="eastAsia" w:cs="Times New Roman"/>
                      <w:kern w:val="2"/>
                      <w:sz w:val="21"/>
                      <w:szCs w:val="21"/>
                      <w:u w:val="none"/>
                      <w:lang w:val="en-US" w:eastAsia="zh-CN" w:bidi="ar-SA"/>
                    </w:rPr>
                    <w:t>各生产设备运行时</w:t>
                  </w:r>
                </w:p>
              </w:tc>
              <w:tc>
                <w:tcPr>
                  <w:tcW w:w="684" w:type="pct"/>
                  <w:tcBorders>
                    <w:tl2br w:val="nil"/>
                    <w:tr2bl w:val="nil"/>
                  </w:tcBorders>
                  <w:noWrap w:val="0"/>
                  <w:vAlign w:val="center"/>
                </w:tcPr>
                <w:p w14:paraId="47FEF5B7">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u w:val="none"/>
                      <w:lang w:val="en-US" w:eastAsia="zh-CN"/>
                    </w:rPr>
                  </w:pPr>
                  <w:r>
                    <w:rPr>
                      <w:rFonts w:hint="default" w:ascii="Times New Roman" w:hAnsi="Times New Roman" w:cs="Times New Roman"/>
                      <w:bCs/>
                      <w:kern w:val="0"/>
                      <w:sz w:val="21"/>
                      <w:szCs w:val="21"/>
                      <w:u w:val="none"/>
                    </w:rPr>
                    <w:t>设备</w:t>
                  </w:r>
                  <w:r>
                    <w:rPr>
                      <w:rFonts w:hint="default" w:ascii="Times New Roman" w:hAnsi="Times New Roman" w:cs="Times New Roman"/>
                      <w:sz w:val="21"/>
                      <w:szCs w:val="21"/>
                      <w:u w:val="none"/>
                    </w:rPr>
                    <w:t>噪声</w:t>
                  </w:r>
                </w:p>
              </w:tc>
              <w:tc>
                <w:tcPr>
                  <w:tcW w:w="402" w:type="pct"/>
                  <w:tcBorders>
                    <w:tl2br w:val="nil"/>
                    <w:tr2bl w:val="nil"/>
                  </w:tcBorders>
                  <w:noWrap w:val="0"/>
                  <w:vAlign w:val="center"/>
                </w:tcPr>
                <w:p w14:paraId="50827D62">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lang w:val="en-US" w:eastAsia="zh-CN"/>
                    </w:rPr>
                    <w:t>连</w:t>
                  </w:r>
                  <w:r>
                    <w:rPr>
                      <w:rFonts w:hint="default" w:ascii="Times New Roman" w:hAnsi="Times New Roman" w:cs="Times New Roman"/>
                      <w:sz w:val="21"/>
                      <w:szCs w:val="21"/>
                      <w:u w:val="none"/>
                    </w:rPr>
                    <w:cr/>
                  </w:r>
                  <w:r>
                    <w:rPr>
                      <w:rFonts w:hint="default" w:ascii="Times New Roman" w:hAnsi="Times New Roman" w:cs="Times New Roman"/>
                      <w:sz w:val="21"/>
                      <w:szCs w:val="21"/>
                      <w:u w:val="none"/>
                    </w:rPr>
                    <w:t>续</w:t>
                  </w:r>
                </w:p>
              </w:tc>
              <w:tc>
                <w:tcPr>
                  <w:tcW w:w="1788" w:type="pct"/>
                  <w:tcBorders>
                    <w:tl2br w:val="nil"/>
                    <w:tr2bl w:val="nil"/>
                  </w:tcBorders>
                  <w:noWrap w:val="0"/>
                  <w:vAlign w:val="center"/>
                </w:tcPr>
                <w:p w14:paraId="53CBB464">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Cs/>
                      <w:kern w:val="0"/>
                      <w:sz w:val="21"/>
                      <w:szCs w:val="21"/>
                      <w:highlight w:val="none"/>
                      <w:u w:val="none"/>
                    </w:rPr>
                  </w:pPr>
                  <w:r>
                    <w:rPr>
                      <w:rFonts w:hint="default" w:ascii="Times New Roman" w:hAnsi="Times New Roman" w:cs="Times New Roman"/>
                      <w:bCs/>
                      <w:kern w:val="0"/>
                      <w:sz w:val="21"/>
                      <w:szCs w:val="21"/>
                      <w:highlight w:val="none"/>
                      <w:u w:val="none"/>
                    </w:rPr>
                    <w:t>选用低噪设备，建筑隔声，合理布局、墙体隔声、距离衰减</w:t>
                  </w:r>
                </w:p>
              </w:tc>
            </w:tr>
          </w:tbl>
          <w:p w14:paraId="45A996EA">
            <w:pPr>
              <w:adjustRightInd w:val="0"/>
              <w:snapToGrid w:val="0"/>
              <w:ind w:firstLine="0" w:firstLineChars="0"/>
              <w:rPr>
                <w:rFonts w:hint="eastAsia" w:ascii="宋体" w:hAnsi="宋体"/>
                <w:bCs/>
                <w:color w:val="auto"/>
              </w:rPr>
            </w:pPr>
          </w:p>
        </w:tc>
      </w:tr>
      <w:tr w14:paraId="0C8B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80" w:hRule="atLeast"/>
          <w:jc w:val="center"/>
        </w:trPr>
        <w:tc>
          <w:tcPr>
            <w:tcW w:w="165" w:type="pct"/>
            <w:vAlign w:val="center"/>
          </w:tcPr>
          <w:p w14:paraId="166E224F">
            <w:pPr>
              <w:adjustRightInd w:val="0"/>
              <w:snapToGrid w:val="0"/>
              <w:spacing w:line="240" w:lineRule="auto"/>
              <w:ind w:firstLine="0" w:firstLineChars="0"/>
              <w:jc w:val="center"/>
              <w:rPr>
                <w:rFonts w:cs="宋体"/>
                <w:color w:val="auto"/>
              </w:rPr>
            </w:pPr>
            <w:r>
              <w:rPr>
                <w:rFonts w:hint="eastAsia" w:cs="宋体"/>
                <w:bCs/>
                <w:color w:val="auto"/>
              </w:rPr>
              <w:t>与项目有关的原有环境污染问题</w:t>
            </w:r>
          </w:p>
        </w:tc>
        <w:tc>
          <w:tcPr>
            <w:tcW w:w="4834" w:type="pct"/>
          </w:tcPr>
          <w:p w14:paraId="420253F4">
            <w:pPr>
              <w:ind w:firstLine="482"/>
              <w:rPr>
                <w:b/>
                <w:color w:val="auto"/>
              </w:rPr>
            </w:pPr>
            <w:r>
              <w:rPr>
                <w:rFonts w:hint="eastAsia"/>
                <w:b/>
                <w:color w:val="auto"/>
                <w:lang w:val="en-US" w:eastAsia="zh-CN"/>
              </w:rPr>
              <w:t>三</w:t>
            </w:r>
            <w:r>
              <w:rPr>
                <w:rFonts w:hint="eastAsia"/>
                <w:b/>
                <w:color w:val="auto"/>
              </w:rPr>
              <w:t>、与项目有关的原有环境污染问题</w:t>
            </w:r>
          </w:p>
          <w:p w14:paraId="674F70C8">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本项目为新建项目，租赁南乐县中成园区运营管理有限公司的土地进行建设</w:t>
            </w:r>
            <w:r>
              <w:rPr>
                <w:rFonts w:hint="eastAsia" w:cs="Times New Roman"/>
                <w:color w:val="000000"/>
                <w:lang w:val="en-US" w:eastAsia="zh-CN"/>
              </w:rPr>
              <w:t>。</w:t>
            </w:r>
            <w:r>
              <w:rPr>
                <w:rFonts w:hint="eastAsia" w:ascii="Times New Roman" w:hAnsi="Times New Roman" w:eastAsia="宋体" w:cs="Times New Roman"/>
                <w:color w:val="000000"/>
                <w:lang w:val="en-US" w:eastAsia="zh-CN"/>
              </w:rPr>
              <w:t>该地块原企业为原河南天人健生物科技有限公司，该公司于2013年10月成立，建设</w:t>
            </w:r>
            <w:r>
              <w:rPr>
                <w:rFonts w:hint="eastAsia" w:cs="Times New Roman"/>
                <w:color w:val="000000"/>
                <w:lang w:val="en-US" w:eastAsia="zh-CN"/>
              </w:rPr>
              <w:t>亚麻籽油生产</w:t>
            </w:r>
            <w:r>
              <w:rPr>
                <w:rFonts w:hint="eastAsia" w:ascii="Times New Roman" w:hAnsi="Times New Roman" w:eastAsia="宋体" w:cs="Times New Roman"/>
                <w:color w:val="000000"/>
                <w:lang w:val="en-US" w:eastAsia="zh-CN"/>
              </w:rPr>
              <w:t>项目，属于食品行业，共2座生产厂房和1栋办公楼，于</w:t>
            </w:r>
            <w:r>
              <w:rPr>
                <w:rFonts w:hint="eastAsia" w:cs="Times New Roman"/>
                <w:color w:val="000000"/>
                <w:lang w:val="en-US" w:eastAsia="zh-CN"/>
              </w:rPr>
              <w:t>2018</w:t>
            </w:r>
            <w:r>
              <w:rPr>
                <w:rFonts w:hint="eastAsia" w:ascii="Times New Roman" w:hAnsi="Times New Roman" w:eastAsia="宋体" w:cs="Times New Roman"/>
                <w:color w:val="000000"/>
                <w:lang w:val="en-US" w:eastAsia="zh-CN"/>
              </w:rPr>
              <w:t>年10停产并注销</w:t>
            </w:r>
            <w:r>
              <w:rPr>
                <w:rFonts w:hint="eastAsia" w:cs="Times New Roman"/>
                <w:color w:val="000000"/>
                <w:lang w:val="en-US" w:eastAsia="zh-CN"/>
              </w:rPr>
              <w:t>。由于该企业停产时间久远，相关环保材料已遗失。</w:t>
            </w:r>
          </w:p>
          <w:p w14:paraId="211D8A71">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lang w:val="en-US" w:eastAsia="zh-CN"/>
              </w:rPr>
            </w:pPr>
            <w:r>
              <w:rPr>
                <w:rFonts w:hint="eastAsia" w:ascii="Times New Roman" w:hAnsi="Times New Roman" w:eastAsia="宋体" w:cs="Times New Roman"/>
                <w:color w:val="000000"/>
                <w:lang w:val="en-US" w:eastAsia="zh-CN"/>
              </w:rPr>
              <w:t>经过现场勘查，目前场地上遗留有2座生产厂房和1栋办公楼，本项目利用现有设施的基础上进行建设和布置，</w:t>
            </w:r>
            <w:r>
              <w:rPr>
                <w:rFonts w:hint="eastAsia" w:cs="Times New Roman"/>
                <w:color w:val="000000"/>
                <w:lang w:val="en-US" w:eastAsia="zh-CN"/>
              </w:rPr>
              <w:t>现场未发现</w:t>
            </w:r>
            <w:r>
              <w:rPr>
                <w:rFonts w:hint="eastAsia" w:ascii="Times New Roman" w:hAnsi="Times New Roman" w:eastAsia="宋体" w:cs="Times New Roman"/>
                <w:color w:val="000000"/>
                <w:lang w:val="en-US" w:eastAsia="zh-CN"/>
              </w:rPr>
              <w:t>与本项目有关的原有污染情况及主要环境问题。</w:t>
            </w:r>
          </w:p>
          <w:p w14:paraId="5C93CBB0">
            <w:pPr>
              <w:pStyle w:val="2"/>
              <w:rPr>
                <w:color w:val="auto"/>
              </w:rPr>
            </w:pPr>
          </w:p>
          <w:p w14:paraId="082634E1">
            <w:pPr>
              <w:pStyle w:val="19"/>
              <w:rPr>
                <w:color w:val="auto"/>
              </w:rPr>
            </w:pPr>
          </w:p>
          <w:p w14:paraId="0F50D89C">
            <w:pPr>
              <w:rPr>
                <w:color w:val="auto"/>
              </w:rPr>
            </w:pPr>
          </w:p>
          <w:p w14:paraId="682AFF0E">
            <w:pPr>
              <w:pStyle w:val="19"/>
              <w:rPr>
                <w:color w:val="auto"/>
              </w:rPr>
            </w:pPr>
          </w:p>
          <w:p w14:paraId="38710573">
            <w:pPr>
              <w:rPr>
                <w:color w:val="auto"/>
              </w:rPr>
            </w:pPr>
          </w:p>
          <w:p w14:paraId="04112F60">
            <w:pPr>
              <w:pStyle w:val="19"/>
            </w:pPr>
          </w:p>
          <w:p w14:paraId="67068AD2">
            <w:pPr>
              <w:rPr>
                <w:color w:val="auto"/>
              </w:rPr>
            </w:pPr>
          </w:p>
          <w:p w14:paraId="2D2174E1">
            <w:pPr>
              <w:rPr>
                <w:color w:val="auto"/>
              </w:rPr>
            </w:pPr>
          </w:p>
          <w:p w14:paraId="55AE740E">
            <w:pPr>
              <w:rPr>
                <w:color w:val="auto"/>
              </w:rPr>
            </w:pPr>
          </w:p>
          <w:p w14:paraId="64693566">
            <w:pPr>
              <w:rPr>
                <w:color w:val="auto"/>
              </w:rPr>
            </w:pPr>
          </w:p>
          <w:p w14:paraId="092B68FA">
            <w:pPr>
              <w:rPr>
                <w:color w:val="auto"/>
              </w:rPr>
            </w:pPr>
          </w:p>
          <w:p w14:paraId="5C429961">
            <w:pPr>
              <w:rPr>
                <w:color w:val="auto"/>
              </w:rPr>
            </w:pPr>
          </w:p>
          <w:p w14:paraId="3E1233B9">
            <w:pPr>
              <w:rPr>
                <w:color w:val="auto"/>
              </w:rPr>
            </w:pPr>
          </w:p>
          <w:p w14:paraId="0D8228E0">
            <w:pPr>
              <w:rPr>
                <w:color w:val="auto"/>
              </w:rPr>
            </w:pPr>
          </w:p>
          <w:p w14:paraId="3D67D96E">
            <w:pPr>
              <w:rPr>
                <w:color w:val="auto"/>
              </w:rPr>
            </w:pPr>
          </w:p>
          <w:p w14:paraId="7A04AFBC">
            <w:pPr>
              <w:rPr>
                <w:color w:val="auto"/>
              </w:rPr>
            </w:pPr>
          </w:p>
          <w:p w14:paraId="5C82E66D">
            <w:pPr>
              <w:rPr>
                <w:color w:val="auto"/>
              </w:rPr>
            </w:pPr>
          </w:p>
          <w:p w14:paraId="62F9739A">
            <w:pPr>
              <w:rPr>
                <w:color w:val="auto"/>
              </w:rPr>
            </w:pPr>
          </w:p>
          <w:p w14:paraId="708C618E">
            <w:pPr>
              <w:rPr>
                <w:color w:val="auto"/>
              </w:rPr>
            </w:pPr>
          </w:p>
          <w:p w14:paraId="5F5A1AD6">
            <w:pPr>
              <w:pStyle w:val="19"/>
            </w:pPr>
          </w:p>
        </w:tc>
      </w:tr>
    </w:tbl>
    <w:p w14:paraId="52DBED2D">
      <w:pPr>
        <w:widowControl/>
        <w:spacing w:line="240" w:lineRule="auto"/>
        <w:ind w:firstLine="0" w:firstLineChars="0"/>
        <w:jc w:val="left"/>
        <w:rPr>
          <w:rFonts w:eastAsia="黑体"/>
          <w:bCs/>
          <w:snapToGrid w:val="0"/>
          <w:color w:val="auto"/>
          <w:kern w:val="44"/>
          <w:sz w:val="30"/>
          <w:szCs w:val="30"/>
        </w:rPr>
      </w:pPr>
      <w:r>
        <w:rPr>
          <w:rFonts w:eastAsia="黑体"/>
          <w:bCs/>
          <w:snapToGrid w:val="0"/>
          <w:color w:val="auto"/>
          <w:kern w:val="44"/>
          <w:sz w:val="30"/>
          <w:szCs w:val="30"/>
        </w:rPr>
        <w:br w:type="page"/>
      </w:r>
    </w:p>
    <w:p w14:paraId="6950176A">
      <w:pPr>
        <w:pStyle w:val="2"/>
        <w:rPr>
          <w:snapToGrid w:val="0"/>
          <w:color w:val="auto"/>
        </w:rPr>
      </w:pPr>
      <w:bookmarkStart w:id="7" w:name="_Toc16578"/>
      <w:r>
        <w:rPr>
          <w:rFonts w:hint="eastAsia"/>
          <w:snapToGrid w:val="0"/>
          <w:color w:val="auto"/>
        </w:rPr>
        <w:t>三、区域环境质量现状、环境保护目标及评价标准</w:t>
      </w:r>
      <w:bookmarkEnd w:id="7"/>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28" w:type="dxa"/>
          <w:bottom w:w="28" w:type="dxa"/>
          <w:right w:w="28" w:type="dxa"/>
        </w:tblCellMar>
      </w:tblPr>
      <w:tblGrid>
        <w:gridCol w:w="455"/>
        <w:gridCol w:w="8501"/>
      </w:tblGrid>
      <w:tr w14:paraId="51E4F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254" w:type="pct"/>
            <w:vAlign w:val="center"/>
          </w:tcPr>
          <w:p w14:paraId="0BF2F63F">
            <w:pPr>
              <w:adjustRightInd w:val="0"/>
              <w:snapToGrid w:val="0"/>
              <w:spacing w:line="240" w:lineRule="auto"/>
              <w:ind w:firstLine="0" w:firstLineChars="0"/>
              <w:jc w:val="center"/>
              <w:rPr>
                <w:rFonts w:hint="eastAsia" w:ascii="宋体" w:hAnsi="宋体" w:cs="宋体"/>
                <w:color w:val="auto"/>
                <w:kern w:val="0"/>
                <w:szCs w:val="21"/>
              </w:rPr>
            </w:pPr>
            <w:r>
              <w:rPr>
                <w:rFonts w:hint="eastAsia" w:ascii="宋体" w:hAnsi="宋体" w:cs="宋体"/>
                <w:color w:val="auto"/>
                <w:kern w:val="0"/>
                <w:szCs w:val="21"/>
              </w:rPr>
              <w:t>区域环境质量现状</w:t>
            </w:r>
          </w:p>
        </w:tc>
        <w:tc>
          <w:tcPr>
            <w:tcW w:w="4745" w:type="pct"/>
            <w:vAlign w:val="center"/>
          </w:tcPr>
          <w:p w14:paraId="794CD0E7">
            <w:pPr>
              <w:keepNext w:val="0"/>
              <w:keepLines w:val="0"/>
              <w:pageBreakBefore w:val="0"/>
              <w:widowControl w:val="0"/>
              <w:kinsoku/>
              <w:wordWrap w:val="0"/>
              <w:overflowPunct/>
              <w:topLinePunct w:val="0"/>
              <w:autoSpaceDE/>
              <w:autoSpaceDN/>
              <w:bidi w:val="0"/>
              <w:adjustRightInd/>
              <w:snapToGrid/>
              <w:ind w:firstLine="0" w:firstLineChars="0"/>
              <w:textAlignment w:val="auto"/>
              <w:rPr>
                <w:b/>
                <w:bCs/>
                <w:color w:val="auto"/>
                <w:lang w:val="en-GB"/>
              </w:rPr>
            </w:pPr>
            <w:r>
              <w:rPr>
                <w:rFonts w:hint="eastAsia"/>
                <w:b/>
                <w:bCs/>
                <w:color w:val="auto"/>
                <w:lang w:val="en-GB"/>
              </w:rPr>
              <w:t>一</w:t>
            </w:r>
            <w:r>
              <w:rPr>
                <w:b/>
                <w:bCs/>
                <w:color w:val="auto"/>
                <w:lang w:val="en-GB"/>
              </w:rPr>
              <w:t>、环境空气质量现状调查与评价</w:t>
            </w:r>
          </w:p>
          <w:p w14:paraId="7602BB1F">
            <w:pPr>
              <w:keepNext w:val="0"/>
              <w:keepLines w:val="0"/>
              <w:pageBreakBefore w:val="0"/>
              <w:widowControl w:val="0"/>
              <w:kinsoku/>
              <w:wordWrap w:val="0"/>
              <w:overflowPunct/>
              <w:topLinePunct w:val="0"/>
              <w:autoSpaceDE/>
              <w:autoSpaceDN/>
              <w:bidi w:val="0"/>
              <w:adjustRightInd/>
              <w:snapToGrid/>
              <w:ind w:firstLine="0" w:firstLineChars="0"/>
              <w:textAlignment w:val="auto"/>
              <w:rPr>
                <w:b/>
                <w:bCs/>
                <w:color w:val="auto"/>
              </w:rPr>
            </w:pPr>
            <w:r>
              <w:rPr>
                <w:b/>
                <w:bCs/>
                <w:color w:val="auto"/>
              </w:rPr>
              <w:t>1.常规因子环境空气质量</w:t>
            </w:r>
          </w:p>
          <w:p w14:paraId="4EF1CE2E">
            <w:pPr>
              <w:pStyle w:val="19"/>
              <w:keepNext w:val="0"/>
              <w:keepLines w:val="0"/>
              <w:pageBreakBefore w:val="0"/>
              <w:widowControl w:val="0"/>
              <w:kinsoku/>
              <w:wordWrap w:val="0"/>
              <w:overflowPunct/>
              <w:topLinePunct w:val="0"/>
              <w:autoSpaceDE/>
              <w:autoSpaceDN/>
              <w:bidi w:val="0"/>
              <w:adjustRightInd/>
              <w:snapToGrid/>
              <w:spacing w:after="0"/>
              <w:ind w:left="0" w:leftChars="0"/>
              <w:textAlignment w:val="auto"/>
              <w:rPr>
                <w:b/>
                <w:bCs/>
                <w:color w:val="auto"/>
                <w:u w:val="single"/>
                <w:lang w:val="en-GB"/>
              </w:rPr>
            </w:pPr>
            <w:r>
              <w:rPr>
                <w:rFonts w:hint="eastAsia"/>
                <w:b/>
                <w:bCs/>
                <w:color w:val="auto"/>
                <w:u w:val="single"/>
                <w:lang w:val="en-GB"/>
              </w:rPr>
              <w:t>根据大气功能区划分，项目所在地为二类功能区，环境空气质量执行《环境空气质量标准》（</w:t>
            </w:r>
            <w:r>
              <w:rPr>
                <w:b/>
                <w:bCs/>
                <w:color w:val="auto"/>
                <w:u w:val="single"/>
                <w:lang w:val="en-GB"/>
              </w:rPr>
              <w:t>GB3095-2012</w:t>
            </w:r>
            <w:r>
              <w:rPr>
                <w:rFonts w:hint="eastAsia"/>
                <w:b/>
                <w:bCs/>
                <w:color w:val="auto"/>
                <w:u w:val="single"/>
                <w:lang w:val="en-GB"/>
              </w:rPr>
              <w:t>）中二级标准。根据《环境影响评价技术导则-大气环境》（HJ2.2-2018），项目所在区域达标判定，优先采用国家或地方生态环境主管部门公开发布的评价基准年环境质量公告或环境质量报告中的数据或结论，评价选取</w:t>
            </w:r>
            <w:r>
              <w:rPr>
                <w:rFonts w:hint="eastAsia"/>
                <w:b/>
                <w:bCs/>
                <w:color w:val="auto"/>
                <w:u w:val="single"/>
                <w:lang w:val="en-US" w:eastAsia="zh-CN"/>
              </w:rPr>
              <w:t>2023</w:t>
            </w:r>
            <w:r>
              <w:rPr>
                <w:rFonts w:hint="eastAsia"/>
                <w:b/>
                <w:bCs/>
                <w:color w:val="auto"/>
                <w:u w:val="single"/>
                <w:lang w:val="en-GB"/>
              </w:rPr>
              <w:t>年作为评价基准年</w:t>
            </w:r>
            <w:r>
              <w:rPr>
                <w:rFonts w:hint="eastAsia"/>
                <w:b/>
                <w:bCs/>
                <w:color w:val="auto"/>
                <w:u w:val="single"/>
                <w:lang w:val="en-GB" w:eastAsia="zh-CN"/>
              </w:rPr>
              <w:t>。</w:t>
            </w:r>
            <w:r>
              <w:rPr>
                <w:rFonts w:hint="eastAsia"/>
                <w:b/>
                <w:bCs/>
                <w:color w:val="auto"/>
                <w:u w:val="single"/>
                <w:lang w:val="en-US" w:eastAsia="zh-CN"/>
              </w:rPr>
              <w:t>本项目引用《南乐县先进制造业开发区发展规划（2022-2035年）环境影响报告书》中“环境空气质量现状评价”章节中的</w:t>
            </w:r>
            <w:r>
              <w:rPr>
                <w:rFonts w:hint="eastAsia"/>
                <w:b/>
                <w:bCs/>
                <w:color w:val="auto"/>
                <w:u w:val="single"/>
                <w:lang w:val="en-GB" w:eastAsia="zh-CN"/>
              </w:rPr>
              <w:t>濮阳市生态环境局南乐县分局2023年的环境空气质量常规监测数据。</w:t>
            </w:r>
            <w:r>
              <w:rPr>
                <w:rFonts w:hint="eastAsia"/>
                <w:b/>
                <w:bCs/>
                <w:color w:val="auto"/>
                <w:u w:val="single"/>
              </w:rPr>
              <w:t>具体浓度情况及达标判断情况见下表</w:t>
            </w:r>
            <w:r>
              <w:rPr>
                <w:b/>
                <w:bCs/>
                <w:color w:val="auto"/>
                <w:u w:val="single"/>
              </w:rPr>
              <w:t>。</w:t>
            </w:r>
          </w:p>
          <w:p w14:paraId="3F2750CB">
            <w:pPr>
              <w:keepNext w:val="0"/>
              <w:keepLines w:val="0"/>
              <w:pageBreakBefore w:val="0"/>
              <w:widowControl w:val="0"/>
              <w:numPr>
                <w:ilvl w:val="0"/>
                <w:numId w:val="7"/>
              </w:numPr>
              <w:kinsoku/>
              <w:wordWrap w:val="0"/>
              <w:overflowPunct/>
              <w:topLinePunct w:val="0"/>
              <w:autoSpaceDE/>
              <w:autoSpaceDN/>
              <w:bidi w:val="0"/>
              <w:adjustRightInd/>
              <w:snapToGrid/>
              <w:spacing w:line="240" w:lineRule="auto"/>
              <w:ind w:left="425" w:leftChars="0" w:hanging="425" w:firstLineChars="0"/>
              <w:jc w:val="center"/>
              <w:textAlignment w:val="auto"/>
              <w:rPr>
                <w:rFonts w:hint="eastAsia" w:ascii="Times New Roman" w:hAnsi="Times New Roman" w:eastAsia="宋体" w:cs="Times New Roman"/>
                <w:b/>
                <w:bCs/>
                <w:color w:val="auto"/>
                <w:sz w:val="21"/>
                <w:szCs w:val="21"/>
                <w:u w:val="none"/>
                <w:lang w:val="en-GB"/>
              </w:rPr>
            </w:pPr>
            <w:r>
              <w:rPr>
                <w:rFonts w:hint="eastAsia" w:ascii="Times New Roman" w:hAnsi="Times New Roman" w:eastAsia="宋体" w:cs="Times New Roman"/>
                <w:b/>
                <w:bCs/>
                <w:color w:val="auto"/>
                <w:sz w:val="21"/>
                <w:szCs w:val="21"/>
                <w:u w:val="none"/>
                <w:lang w:val="en-GB"/>
              </w:rPr>
              <w:t>濮阳市环境空气质量达标情况</w:t>
            </w:r>
          </w:p>
          <w:tbl>
            <w:tblPr>
              <w:tblStyle w:val="20"/>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22"/>
              <w:gridCol w:w="2612"/>
              <w:gridCol w:w="1579"/>
              <w:gridCol w:w="1200"/>
              <w:gridCol w:w="1100"/>
              <w:gridCol w:w="938"/>
            </w:tblGrid>
            <w:tr w14:paraId="58321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2" w:type="pct"/>
                  <w:tcBorders>
                    <w:tl2br w:val="nil"/>
                    <w:tr2bl w:val="nil"/>
                  </w:tcBorders>
                  <w:vAlign w:val="center"/>
                </w:tcPr>
                <w:p w14:paraId="1A19FCF7">
                  <w:pPr>
                    <w:spacing w:line="240" w:lineRule="auto"/>
                    <w:ind w:firstLine="0" w:firstLineChars="0"/>
                    <w:jc w:val="center"/>
                    <w:rPr>
                      <w:b/>
                      <w:bCs/>
                      <w:color w:val="auto"/>
                      <w:sz w:val="21"/>
                      <w:szCs w:val="21"/>
                      <w:u w:val="single"/>
                      <w:lang w:val="en-GB"/>
                    </w:rPr>
                  </w:pPr>
                  <w:r>
                    <w:rPr>
                      <w:rFonts w:hint="eastAsia"/>
                      <w:b/>
                      <w:bCs/>
                      <w:color w:val="auto"/>
                      <w:sz w:val="21"/>
                      <w:szCs w:val="21"/>
                      <w:u w:val="single"/>
                      <w:lang w:val="en-GB"/>
                    </w:rPr>
                    <w:t>评价因子</w:t>
                  </w:r>
                </w:p>
              </w:tc>
              <w:tc>
                <w:tcPr>
                  <w:tcW w:w="1563" w:type="pct"/>
                  <w:tcBorders>
                    <w:tl2br w:val="nil"/>
                    <w:tr2bl w:val="nil"/>
                  </w:tcBorders>
                  <w:vAlign w:val="center"/>
                </w:tcPr>
                <w:p w14:paraId="336B5BC5">
                  <w:pPr>
                    <w:spacing w:line="240" w:lineRule="auto"/>
                    <w:ind w:firstLine="0" w:firstLineChars="0"/>
                    <w:jc w:val="center"/>
                    <w:rPr>
                      <w:b/>
                      <w:bCs/>
                      <w:color w:val="auto"/>
                      <w:sz w:val="21"/>
                      <w:szCs w:val="21"/>
                      <w:u w:val="single"/>
                      <w:lang w:val="en-GB"/>
                    </w:rPr>
                  </w:pPr>
                  <w:r>
                    <w:rPr>
                      <w:rFonts w:hint="eastAsia"/>
                      <w:b/>
                      <w:bCs/>
                      <w:color w:val="auto"/>
                      <w:sz w:val="21"/>
                      <w:szCs w:val="21"/>
                      <w:u w:val="single"/>
                      <w:lang w:val="en-GB"/>
                    </w:rPr>
                    <w:t>年评价指标</w:t>
                  </w:r>
                </w:p>
              </w:tc>
              <w:tc>
                <w:tcPr>
                  <w:tcW w:w="945" w:type="pct"/>
                  <w:tcBorders>
                    <w:tl2br w:val="nil"/>
                    <w:tr2bl w:val="nil"/>
                  </w:tcBorders>
                  <w:vAlign w:val="center"/>
                </w:tcPr>
                <w:p w14:paraId="01CD6C02">
                  <w:pPr>
                    <w:spacing w:line="240" w:lineRule="auto"/>
                    <w:ind w:firstLine="0" w:firstLineChars="0"/>
                    <w:jc w:val="center"/>
                    <w:rPr>
                      <w:b/>
                      <w:bCs/>
                      <w:color w:val="auto"/>
                      <w:sz w:val="21"/>
                      <w:szCs w:val="21"/>
                      <w:u w:val="single"/>
                      <w:lang w:val="en-GB"/>
                    </w:rPr>
                  </w:pPr>
                  <w:r>
                    <w:rPr>
                      <w:rFonts w:hint="eastAsia"/>
                      <w:b/>
                      <w:bCs/>
                      <w:color w:val="auto"/>
                      <w:sz w:val="21"/>
                      <w:szCs w:val="21"/>
                      <w:u w:val="single"/>
                    </w:rPr>
                    <w:t>年均</w:t>
                  </w:r>
                  <w:r>
                    <w:rPr>
                      <w:rFonts w:hint="eastAsia"/>
                      <w:b/>
                      <w:bCs/>
                      <w:color w:val="auto"/>
                      <w:sz w:val="21"/>
                      <w:szCs w:val="21"/>
                      <w:u w:val="single"/>
                      <w:lang w:val="en-GB"/>
                    </w:rPr>
                    <w:t>浓度</w:t>
                  </w:r>
                </w:p>
                <w:p w14:paraId="0850CCA5">
                  <w:pPr>
                    <w:spacing w:line="240" w:lineRule="auto"/>
                    <w:ind w:firstLine="0" w:firstLineChars="0"/>
                    <w:jc w:val="center"/>
                    <w:rPr>
                      <w:b/>
                      <w:bCs/>
                      <w:color w:val="auto"/>
                      <w:sz w:val="21"/>
                      <w:szCs w:val="21"/>
                      <w:u w:val="single"/>
                      <w:lang w:val="en-GB"/>
                    </w:rPr>
                  </w:pPr>
                  <w:r>
                    <w:rPr>
                      <w:rFonts w:hint="eastAsia"/>
                      <w:b/>
                      <w:bCs/>
                      <w:color w:val="auto"/>
                      <w:sz w:val="21"/>
                      <w:szCs w:val="21"/>
                      <w:u w:val="single"/>
                      <w:lang w:val="en-GB"/>
                    </w:rPr>
                    <w:t>（μg/m</w:t>
                  </w:r>
                  <w:r>
                    <w:rPr>
                      <w:rFonts w:hint="eastAsia"/>
                      <w:b/>
                      <w:bCs/>
                      <w:color w:val="auto"/>
                      <w:sz w:val="21"/>
                      <w:szCs w:val="21"/>
                      <w:u w:val="single"/>
                      <w:vertAlign w:val="superscript"/>
                      <w:lang w:val="en-GB"/>
                    </w:rPr>
                    <w:t>3</w:t>
                  </w:r>
                  <w:r>
                    <w:rPr>
                      <w:rFonts w:hint="eastAsia"/>
                      <w:b/>
                      <w:bCs/>
                      <w:color w:val="auto"/>
                      <w:sz w:val="21"/>
                      <w:szCs w:val="21"/>
                      <w:u w:val="single"/>
                      <w:lang w:val="en-GB"/>
                    </w:rPr>
                    <w:t>）</w:t>
                  </w:r>
                </w:p>
              </w:tc>
              <w:tc>
                <w:tcPr>
                  <w:tcW w:w="718" w:type="pct"/>
                  <w:tcBorders>
                    <w:tl2br w:val="nil"/>
                    <w:tr2bl w:val="nil"/>
                  </w:tcBorders>
                  <w:vAlign w:val="center"/>
                </w:tcPr>
                <w:p w14:paraId="1A39E3CF">
                  <w:pPr>
                    <w:spacing w:line="240" w:lineRule="auto"/>
                    <w:ind w:firstLine="0" w:firstLineChars="0"/>
                    <w:jc w:val="center"/>
                    <w:rPr>
                      <w:b/>
                      <w:bCs/>
                      <w:color w:val="auto"/>
                      <w:sz w:val="21"/>
                      <w:szCs w:val="21"/>
                      <w:u w:val="single"/>
                      <w:lang w:val="en-GB"/>
                    </w:rPr>
                  </w:pPr>
                  <w:r>
                    <w:rPr>
                      <w:rFonts w:hint="eastAsia"/>
                      <w:b/>
                      <w:bCs/>
                      <w:color w:val="auto"/>
                      <w:sz w:val="21"/>
                      <w:szCs w:val="21"/>
                      <w:u w:val="single"/>
                      <w:lang w:val="en-GB"/>
                    </w:rPr>
                    <w:t>标准值</w:t>
                  </w:r>
                </w:p>
                <w:p w14:paraId="338CF830">
                  <w:pPr>
                    <w:spacing w:line="240" w:lineRule="auto"/>
                    <w:ind w:firstLine="0" w:firstLineChars="0"/>
                    <w:jc w:val="center"/>
                    <w:rPr>
                      <w:b/>
                      <w:bCs/>
                      <w:color w:val="auto"/>
                      <w:sz w:val="21"/>
                      <w:szCs w:val="21"/>
                      <w:u w:val="single"/>
                      <w:lang w:val="en-GB"/>
                    </w:rPr>
                  </w:pPr>
                  <w:r>
                    <w:rPr>
                      <w:rFonts w:hint="eastAsia"/>
                      <w:b/>
                      <w:bCs/>
                      <w:color w:val="auto"/>
                      <w:sz w:val="21"/>
                      <w:szCs w:val="21"/>
                      <w:u w:val="single"/>
                      <w:lang w:val="en-GB"/>
                    </w:rPr>
                    <w:t>（μg/m</w:t>
                  </w:r>
                  <w:r>
                    <w:rPr>
                      <w:rFonts w:hint="eastAsia"/>
                      <w:b/>
                      <w:bCs/>
                      <w:color w:val="auto"/>
                      <w:sz w:val="21"/>
                      <w:szCs w:val="21"/>
                      <w:u w:val="single"/>
                      <w:vertAlign w:val="superscript"/>
                      <w:lang w:val="en-GB"/>
                    </w:rPr>
                    <w:t>3</w:t>
                  </w:r>
                  <w:r>
                    <w:rPr>
                      <w:rFonts w:hint="eastAsia"/>
                      <w:b/>
                      <w:bCs/>
                      <w:color w:val="auto"/>
                      <w:sz w:val="21"/>
                      <w:szCs w:val="21"/>
                      <w:u w:val="single"/>
                      <w:lang w:val="en-GB"/>
                    </w:rPr>
                    <w:t>）</w:t>
                  </w:r>
                </w:p>
              </w:tc>
              <w:tc>
                <w:tcPr>
                  <w:tcW w:w="658" w:type="pct"/>
                  <w:tcBorders>
                    <w:tl2br w:val="nil"/>
                    <w:tr2bl w:val="nil"/>
                  </w:tcBorders>
                  <w:vAlign w:val="center"/>
                </w:tcPr>
                <w:p w14:paraId="50533459">
                  <w:pPr>
                    <w:spacing w:line="240" w:lineRule="auto"/>
                    <w:ind w:firstLine="0" w:firstLineChars="0"/>
                    <w:jc w:val="center"/>
                    <w:rPr>
                      <w:b/>
                      <w:bCs/>
                      <w:color w:val="auto"/>
                      <w:sz w:val="21"/>
                      <w:szCs w:val="21"/>
                      <w:u w:val="single"/>
                      <w:lang w:val="en-GB"/>
                    </w:rPr>
                  </w:pPr>
                  <w:r>
                    <w:rPr>
                      <w:rFonts w:hint="eastAsia"/>
                      <w:b/>
                      <w:bCs/>
                      <w:color w:val="auto"/>
                      <w:sz w:val="21"/>
                      <w:szCs w:val="21"/>
                      <w:u w:val="single"/>
                      <w:lang w:val="en-GB"/>
                    </w:rPr>
                    <w:t>占标率</w:t>
                  </w:r>
                </w:p>
              </w:tc>
              <w:tc>
                <w:tcPr>
                  <w:tcW w:w="561" w:type="pct"/>
                  <w:tcBorders>
                    <w:tl2br w:val="nil"/>
                    <w:tr2bl w:val="nil"/>
                  </w:tcBorders>
                  <w:vAlign w:val="center"/>
                </w:tcPr>
                <w:p w14:paraId="591E6A9D">
                  <w:pPr>
                    <w:spacing w:line="240" w:lineRule="auto"/>
                    <w:ind w:firstLine="0" w:firstLineChars="0"/>
                    <w:jc w:val="center"/>
                    <w:rPr>
                      <w:b/>
                      <w:bCs/>
                      <w:color w:val="auto"/>
                      <w:sz w:val="21"/>
                      <w:szCs w:val="21"/>
                      <w:u w:val="single"/>
                      <w:lang w:val="en-GB"/>
                    </w:rPr>
                  </w:pPr>
                  <w:r>
                    <w:rPr>
                      <w:rFonts w:hint="eastAsia"/>
                      <w:b/>
                      <w:bCs/>
                      <w:color w:val="auto"/>
                      <w:sz w:val="21"/>
                      <w:szCs w:val="21"/>
                      <w:u w:val="single"/>
                      <w:lang w:val="en-GB"/>
                    </w:rPr>
                    <w:t>达标情况</w:t>
                  </w:r>
                </w:p>
              </w:tc>
            </w:tr>
            <w:tr w14:paraId="75A51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2" w:type="pct"/>
                  <w:tcBorders>
                    <w:tl2br w:val="nil"/>
                    <w:tr2bl w:val="nil"/>
                  </w:tcBorders>
                  <w:vAlign w:val="center"/>
                </w:tcPr>
                <w:p w14:paraId="5F56B5A9">
                  <w:pPr>
                    <w:spacing w:line="240" w:lineRule="auto"/>
                    <w:ind w:firstLine="0" w:firstLineChars="0"/>
                    <w:jc w:val="center"/>
                    <w:rPr>
                      <w:b/>
                      <w:bCs/>
                      <w:color w:val="auto"/>
                      <w:sz w:val="21"/>
                      <w:szCs w:val="21"/>
                      <w:u w:val="single"/>
                      <w:lang w:val="en-GB"/>
                    </w:rPr>
                  </w:pPr>
                  <w:r>
                    <w:rPr>
                      <w:rFonts w:hint="eastAsia"/>
                      <w:b/>
                      <w:bCs/>
                      <w:color w:val="auto"/>
                      <w:sz w:val="21"/>
                      <w:szCs w:val="21"/>
                      <w:u w:val="single"/>
                      <w:lang w:val="en-GB"/>
                    </w:rPr>
                    <w:t>SO</w:t>
                  </w:r>
                  <w:r>
                    <w:rPr>
                      <w:rFonts w:hint="eastAsia"/>
                      <w:b/>
                      <w:bCs/>
                      <w:color w:val="auto"/>
                      <w:sz w:val="21"/>
                      <w:szCs w:val="21"/>
                      <w:u w:val="single"/>
                      <w:vertAlign w:val="subscript"/>
                      <w:lang w:val="en-GB"/>
                    </w:rPr>
                    <w:t>2</w:t>
                  </w:r>
                </w:p>
              </w:tc>
              <w:tc>
                <w:tcPr>
                  <w:tcW w:w="1563" w:type="pct"/>
                  <w:tcBorders>
                    <w:tl2br w:val="nil"/>
                    <w:tr2bl w:val="nil"/>
                  </w:tcBorders>
                  <w:vAlign w:val="center"/>
                </w:tcPr>
                <w:p w14:paraId="2E1F0A89">
                  <w:pPr>
                    <w:spacing w:line="240" w:lineRule="auto"/>
                    <w:ind w:firstLine="0" w:firstLineChars="0"/>
                    <w:jc w:val="center"/>
                    <w:rPr>
                      <w:b/>
                      <w:bCs/>
                      <w:color w:val="auto"/>
                      <w:sz w:val="21"/>
                      <w:szCs w:val="21"/>
                      <w:u w:val="single"/>
                      <w:lang w:val="en-GB"/>
                    </w:rPr>
                  </w:pPr>
                  <w:r>
                    <w:rPr>
                      <w:rFonts w:hint="eastAsia"/>
                      <w:b/>
                      <w:bCs/>
                      <w:color w:val="auto"/>
                      <w:sz w:val="21"/>
                      <w:szCs w:val="21"/>
                      <w:u w:val="single"/>
                      <w:lang w:val="en-GB"/>
                    </w:rPr>
                    <w:t>年均值</w:t>
                  </w:r>
                </w:p>
              </w:tc>
              <w:tc>
                <w:tcPr>
                  <w:tcW w:w="945" w:type="pct"/>
                  <w:tcBorders>
                    <w:tl2br w:val="nil"/>
                    <w:tr2bl w:val="nil"/>
                  </w:tcBorders>
                  <w:vAlign w:val="center"/>
                </w:tcPr>
                <w:p w14:paraId="4C90F277">
                  <w:pPr>
                    <w:spacing w:line="240" w:lineRule="auto"/>
                    <w:ind w:firstLine="0" w:firstLineChars="0"/>
                    <w:jc w:val="center"/>
                    <w:rPr>
                      <w:rFonts w:hint="eastAsia" w:eastAsia="宋体"/>
                      <w:b/>
                      <w:bCs/>
                      <w:color w:val="auto"/>
                      <w:sz w:val="21"/>
                      <w:szCs w:val="21"/>
                      <w:u w:val="single"/>
                      <w:lang w:val="en-US" w:eastAsia="zh-CN"/>
                    </w:rPr>
                  </w:pPr>
                  <w:r>
                    <w:rPr>
                      <w:rFonts w:hint="eastAsia"/>
                      <w:b/>
                      <w:bCs/>
                      <w:color w:val="auto"/>
                      <w:sz w:val="21"/>
                      <w:szCs w:val="21"/>
                      <w:u w:val="single"/>
                      <w:lang w:val="en-US" w:eastAsia="zh-CN"/>
                    </w:rPr>
                    <w:t>9</w:t>
                  </w:r>
                </w:p>
              </w:tc>
              <w:tc>
                <w:tcPr>
                  <w:tcW w:w="718" w:type="pct"/>
                  <w:tcBorders>
                    <w:tl2br w:val="nil"/>
                    <w:tr2bl w:val="nil"/>
                  </w:tcBorders>
                  <w:vAlign w:val="center"/>
                </w:tcPr>
                <w:p w14:paraId="435C86A2">
                  <w:pPr>
                    <w:spacing w:line="240" w:lineRule="auto"/>
                    <w:ind w:firstLine="0" w:firstLineChars="0"/>
                    <w:jc w:val="center"/>
                    <w:rPr>
                      <w:b/>
                      <w:bCs/>
                      <w:color w:val="auto"/>
                      <w:sz w:val="21"/>
                      <w:szCs w:val="21"/>
                      <w:u w:val="single"/>
                      <w:lang w:val="en-GB"/>
                    </w:rPr>
                  </w:pPr>
                  <w:r>
                    <w:rPr>
                      <w:rFonts w:hint="eastAsia"/>
                      <w:b/>
                      <w:bCs/>
                      <w:color w:val="auto"/>
                      <w:sz w:val="21"/>
                      <w:szCs w:val="21"/>
                      <w:u w:val="single"/>
                      <w:lang w:val="en-GB"/>
                    </w:rPr>
                    <w:t>60</w:t>
                  </w:r>
                </w:p>
              </w:tc>
              <w:tc>
                <w:tcPr>
                  <w:tcW w:w="658" w:type="pct"/>
                  <w:tcBorders>
                    <w:tl2br w:val="nil"/>
                    <w:tr2bl w:val="nil"/>
                  </w:tcBorders>
                  <w:vAlign w:val="center"/>
                </w:tcPr>
                <w:p w14:paraId="7EB7C5CA">
                  <w:pPr>
                    <w:spacing w:line="240" w:lineRule="auto"/>
                    <w:ind w:firstLine="0" w:firstLineChars="0"/>
                    <w:jc w:val="center"/>
                    <w:rPr>
                      <w:rFonts w:hint="default" w:eastAsia="宋体"/>
                      <w:b/>
                      <w:bCs/>
                      <w:color w:val="auto"/>
                      <w:sz w:val="21"/>
                      <w:szCs w:val="21"/>
                      <w:u w:val="single"/>
                      <w:lang w:val="en-US" w:eastAsia="zh-CN"/>
                    </w:rPr>
                  </w:pPr>
                  <w:r>
                    <w:rPr>
                      <w:rFonts w:hint="eastAsia"/>
                      <w:b/>
                      <w:bCs/>
                      <w:color w:val="auto"/>
                      <w:sz w:val="21"/>
                      <w:szCs w:val="21"/>
                      <w:u w:val="single"/>
                      <w:lang w:val="en-US" w:eastAsia="zh-CN"/>
                    </w:rPr>
                    <w:t>0.150</w:t>
                  </w:r>
                </w:p>
              </w:tc>
              <w:tc>
                <w:tcPr>
                  <w:tcW w:w="561" w:type="pct"/>
                  <w:tcBorders>
                    <w:tl2br w:val="nil"/>
                    <w:tr2bl w:val="nil"/>
                  </w:tcBorders>
                  <w:vAlign w:val="center"/>
                </w:tcPr>
                <w:p w14:paraId="4B0CF97A">
                  <w:pPr>
                    <w:spacing w:line="240" w:lineRule="auto"/>
                    <w:ind w:firstLine="0" w:firstLineChars="0"/>
                    <w:jc w:val="center"/>
                    <w:rPr>
                      <w:b/>
                      <w:bCs/>
                      <w:color w:val="auto"/>
                      <w:sz w:val="21"/>
                      <w:szCs w:val="21"/>
                      <w:u w:val="single"/>
                      <w:lang w:val="en-GB"/>
                    </w:rPr>
                  </w:pPr>
                  <w:r>
                    <w:rPr>
                      <w:rFonts w:hint="eastAsia"/>
                      <w:b/>
                      <w:bCs/>
                      <w:color w:val="auto"/>
                      <w:sz w:val="21"/>
                      <w:szCs w:val="21"/>
                      <w:u w:val="single"/>
                      <w:lang w:val="en-GB"/>
                    </w:rPr>
                    <w:t>达标</w:t>
                  </w:r>
                </w:p>
              </w:tc>
            </w:tr>
            <w:tr w14:paraId="3D75C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2" w:type="pct"/>
                  <w:tcBorders>
                    <w:tl2br w:val="nil"/>
                    <w:tr2bl w:val="nil"/>
                  </w:tcBorders>
                  <w:vAlign w:val="center"/>
                </w:tcPr>
                <w:p w14:paraId="02E0DE14">
                  <w:pPr>
                    <w:spacing w:line="240" w:lineRule="auto"/>
                    <w:ind w:firstLine="0" w:firstLineChars="0"/>
                    <w:jc w:val="center"/>
                    <w:rPr>
                      <w:b/>
                      <w:bCs/>
                      <w:color w:val="auto"/>
                      <w:sz w:val="21"/>
                      <w:szCs w:val="21"/>
                      <w:u w:val="single"/>
                      <w:lang w:val="en-GB"/>
                    </w:rPr>
                  </w:pPr>
                  <w:r>
                    <w:rPr>
                      <w:rFonts w:hint="eastAsia"/>
                      <w:b/>
                      <w:bCs/>
                      <w:color w:val="auto"/>
                      <w:sz w:val="21"/>
                      <w:szCs w:val="21"/>
                      <w:u w:val="single"/>
                      <w:lang w:val="en-GB"/>
                    </w:rPr>
                    <w:t>NO</w:t>
                  </w:r>
                  <w:r>
                    <w:rPr>
                      <w:rFonts w:hint="eastAsia"/>
                      <w:b/>
                      <w:bCs/>
                      <w:color w:val="auto"/>
                      <w:sz w:val="21"/>
                      <w:szCs w:val="21"/>
                      <w:u w:val="single"/>
                      <w:vertAlign w:val="subscript"/>
                      <w:lang w:val="en-GB"/>
                    </w:rPr>
                    <w:t>2</w:t>
                  </w:r>
                </w:p>
              </w:tc>
              <w:tc>
                <w:tcPr>
                  <w:tcW w:w="1563" w:type="pct"/>
                  <w:tcBorders>
                    <w:tl2br w:val="nil"/>
                    <w:tr2bl w:val="nil"/>
                  </w:tcBorders>
                  <w:vAlign w:val="center"/>
                </w:tcPr>
                <w:p w14:paraId="05A0558D">
                  <w:pPr>
                    <w:spacing w:line="240" w:lineRule="auto"/>
                    <w:ind w:firstLine="0" w:firstLineChars="0"/>
                    <w:jc w:val="center"/>
                    <w:rPr>
                      <w:b/>
                      <w:bCs/>
                      <w:color w:val="auto"/>
                      <w:sz w:val="21"/>
                      <w:szCs w:val="21"/>
                      <w:u w:val="single"/>
                      <w:lang w:val="en-GB"/>
                    </w:rPr>
                  </w:pPr>
                  <w:r>
                    <w:rPr>
                      <w:rFonts w:hint="eastAsia"/>
                      <w:b/>
                      <w:bCs/>
                      <w:color w:val="auto"/>
                      <w:sz w:val="21"/>
                      <w:szCs w:val="21"/>
                      <w:u w:val="single"/>
                      <w:lang w:val="en-GB"/>
                    </w:rPr>
                    <w:t>年均值</w:t>
                  </w:r>
                </w:p>
              </w:tc>
              <w:tc>
                <w:tcPr>
                  <w:tcW w:w="945" w:type="pct"/>
                  <w:tcBorders>
                    <w:tl2br w:val="nil"/>
                    <w:tr2bl w:val="nil"/>
                  </w:tcBorders>
                  <w:vAlign w:val="center"/>
                </w:tcPr>
                <w:p w14:paraId="15E16626">
                  <w:pPr>
                    <w:spacing w:line="240" w:lineRule="auto"/>
                    <w:ind w:firstLine="0" w:firstLineChars="0"/>
                    <w:jc w:val="center"/>
                    <w:rPr>
                      <w:rFonts w:hint="default" w:eastAsia="宋体"/>
                      <w:b/>
                      <w:bCs/>
                      <w:color w:val="auto"/>
                      <w:sz w:val="21"/>
                      <w:szCs w:val="21"/>
                      <w:u w:val="single"/>
                      <w:lang w:val="en-US" w:eastAsia="zh-CN"/>
                    </w:rPr>
                  </w:pPr>
                  <w:r>
                    <w:rPr>
                      <w:rFonts w:hint="eastAsia"/>
                      <w:b/>
                      <w:bCs/>
                      <w:color w:val="auto"/>
                      <w:sz w:val="21"/>
                      <w:szCs w:val="21"/>
                      <w:u w:val="single"/>
                      <w:lang w:val="en-US" w:eastAsia="zh-CN"/>
                    </w:rPr>
                    <w:t>24</w:t>
                  </w:r>
                </w:p>
              </w:tc>
              <w:tc>
                <w:tcPr>
                  <w:tcW w:w="718" w:type="pct"/>
                  <w:tcBorders>
                    <w:tl2br w:val="nil"/>
                    <w:tr2bl w:val="nil"/>
                  </w:tcBorders>
                  <w:vAlign w:val="center"/>
                </w:tcPr>
                <w:p w14:paraId="2F6BE8CB">
                  <w:pPr>
                    <w:spacing w:line="240" w:lineRule="auto"/>
                    <w:ind w:firstLine="0" w:firstLineChars="0"/>
                    <w:jc w:val="center"/>
                    <w:rPr>
                      <w:b/>
                      <w:bCs/>
                      <w:color w:val="auto"/>
                      <w:sz w:val="21"/>
                      <w:szCs w:val="21"/>
                      <w:u w:val="single"/>
                      <w:lang w:val="en-GB"/>
                    </w:rPr>
                  </w:pPr>
                  <w:r>
                    <w:rPr>
                      <w:rFonts w:hint="eastAsia"/>
                      <w:b/>
                      <w:bCs/>
                      <w:color w:val="auto"/>
                      <w:sz w:val="21"/>
                      <w:szCs w:val="21"/>
                      <w:u w:val="single"/>
                      <w:lang w:val="en-GB"/>
                    </w:rPr>
                    <w:t>40</w:t>
                  </w:r>
                </w:p>
              </w:tc>
              <w:tc>
                <w:tcPr>
                  <w:tcW w:w="658" w:type="pct"/>
                  <w:tcBorders>
                    <w:tl2br w:val="nil"/>
                    <w:tr2bl w:val="nil"/>
                  </w:tcBorders>
                  <w:vAlign w:val="center"/>
                </w:tcPr>
                <w:p w14:paraId="5543F2D3">
                  <w:pPr>
                    <w:spacing w:line="240" w:lineRule="auto"/>
                    <w:ind w:firstLine="0" w:firstLineChars="0"/>
                    <w:jc w:val="center"/>
                    <w:rPr>
                      <w:rFonts w:hint="default" w:eastAsia="宋体"/>
                      <w:b/>
                      <w:bCs/>
                      <w:color w:val="auto"/>
                      <w:sz w:val="21"/>
                      <w:szCs w:val="21"/>
                      <w:u w:val="single"/>
                      <w:lang w:val="en-US" w:eastAsia="zh-CN"/>
                    </w:rPr>
                  </w:pPr>
                  <w:r>
                    <w:rPr>
                      <w:rFonts w:hint="eastAsia"/>
                      <w:b/>
                      <w:bCs/>
                      <w:color w:val="auto"/>
                      <w:sz w:val="21"/>
                      <w:szCs w:val="21"/>
                      <w:u w:val="single"/>
                      <w:lang w:val="en-US" w:eastAsia="zh-CN"/>
                    </w:rPr>
                    <w:t>0.600</w:t>
                  </w:r>
                </w:p>
              </w:tc>
              <w:tc>
                <w:tcPr>
                  <w:tcW w:w="561" w:type="pct"/>
                  <w:tcBorders>
                    <w:tl2br w:val="nil"/>
                    <w:tr2bl w:val="nil"/>
                  </w:tcBorders>
                  <w:vAlign w:val="center"/>
                </w:tcPr>
                <w:p w14:paraId="7EA8C79C">
                  <w:pPr>
                    <w:spacing w:line="240" w:lineRule="auto"/>
                    <w:ind w:firstLine="0" w:firstLineChars="0"/>
                    <w:jc w:val="center"/>
                    <w:rPr>
                      <w:b/>
                      <w:bCs/>
                      <w:color w:val="auto"/>
                      <w:sz w:val="21"/>
                      <w:szCs w:val="21"/>
                      <w:u w:val="single"/>
                      <w:lang w:val="en-GB"/>
                    </w:rPr>
                  </w:pPr>
                  <w:r>
                    <w:rPr>
                      <w:rFonts w:hint="eastAsia"/>
                      <w:b/>
                      <w:bCs/>
                      <w:color w:val="auto"/>
                      <w:sz w:val="21"/>
                      <w:szCs w:val="21"/>
                      <w:u w:val="single"/>
                      <w:lang w:val="en-GB"/>
                    </w:rPr>
                    <w:t>达标</w:t>
                  </w:r>
                </w:p>
              </w:tc>
            </w:tr>
            <w:tr w14:paraId="5FA16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2" w:type="pct"/>
                  <w:tcBorders>
                    <w:tl2br w:val="nil"/>
                    <w:tr2bl w:val="nil"/>
                  </w:tcBorders>
                  <w:vAlign w:val="center"/>
                </w:tcPr>
                <w:p w14:paraId="60D23A7E">
                  <w:pPr>
                    <w:spacing w:line="240" w:lineRule="auto"/>
                    <w:ind w:firstLine="0" w:firstLineChars="0"/>
                    <w:jc w:val="center"/>
                    <w:rPr>
                      <w:b/>
                      <w:bCs/>
                      <w:color w:val="auto"/>
                      <w:sz w:val="21"/>
                      <w:szCs w:val="21"/>
                      <w:u w:val="single"/>
                      <w:lang w:val="en-GB"/>
                    </w:rPr>
                  </w:pPr>
                  <w:r>
                    <w:rPr>
                      <w:rFonts w:hint="eastAsia"/>
                      <w:b/>
                      <w:bCs/>
                      <w:color w:val="auto"/>
                      <w:sz w:val="21"/>
                      <w:szCs w:val="21"/>
                      <w:u w:val="single"/>
                      <w:lang w:val="en-GB"/>
                    </w:rPr>
                    <w:t>PM</w:t>
                  </w:r>
                  <w:r>
                    <w:rPr>
                      <w:rFonts w:hint="eastAsia"/>
                      <w:b/>
                      <w:bCs/>
                      <w:color w:val="auto"/>
                      <w:sz w:val="21"/>
                      <w:szCs w:val="21"/>
                      <w:u w:val="single"/>
                      <w:vertAlign w:val="subscript"/>
                      <w:lang w:val="en-GB"/>
                    </w:rPr>
                    <w:t>2.5</w:t>
                  </w:r>
                </w:p>
              </w:tc>
              <w:tc>
                <w:tcPr>
                  <w:tcW w:w="1563" w:type="pct"/>
                  <w:tcBorders>
                    <w:tl2br w:val="nil"/>
                    <w:tr2bl w:val="nil"/>
                  </w:tcBorders>
                  <w:vAlign w:val="center"/>
                </w:tcPr>
                <w:p w14:paraId="0A02CE54">
                  <w:pPr>
                    <w:spacing w:line="240" w:lineRule="auto"/>
                    <w:ind w:firstLine="0" w:firstLineChars="0"/>
                    <w:jc w:val="center"/>
                    <w:rPr>
                      <w:b/>
                      <w:bCs/>
                      <w:color w:val="auto"/>
                      <w:sz w:val="21"/>
                      <w:szCs w:val="21"/>
                      <w:u w:val="single"/>
                      <w:lang w:val="en-GB"/>
                    </w:rPr>
                  </w:pPr>
                  <w:r>
                    <w:rPr>
                      <w:rFonts w:hint="eastAsia"/>
                      <w:b/>
                      <w:bCs/>
                      <w:color w:val="auto"/>
                      <w:sz w:val="21"/>
                      <w:szCs w:val="21"/>
                      <w:u w:val="single"/>
                      <w:lang w:val="en-GB"/>
                    </w:rPr>
                    <w:t>年均值</w:t>
                  </w:r>
                </w:p>
              </w:tc>
              <w:tc>
                <w:tcPr>
                  <w:tcW w:w="945" w:type="pct"/>
                  <w:tcBorders>
                    <w:tl2br w:val="nil"/>
                    <w:tr2bl w:val="nil"/>
                  </w:tcBorders>
                  <w:vAlign w:val="center"/>
                </w:tcPr>
                <w:p w14:paraId="021459DA">
                  <w:pPr>
                    <w:spacing w:line="240" w:lineRule="auto"/>
                    <w:ind w:firstLine="0" w:firstLineChars="0"/>
                    <w:jc w:val="center"/>
                    <w:rPr>
                      <w:rFonts w:hint="default" w:eastAsia="宋体"/>
                      <w:b/>
                      <w:bCs/>
                      <w:color w:val="auto"/>
                      <w:sz w:val="21"/>
                      <w:szCs w:val="21"/>
                      <w:u w:val="single"/>
                      <w:lang w:val="en-US" w:eastAsia="zh-CN"/>
                    </w:rPr>
                  </w:pPr>
                  <w:r>
                    <w:rPr>
                      <w:rFonts w:hint="eastAsia"/>
                      <w:b/>
                      <w:bCs/>
                      <w:color w:val="auto"/>
                      <w:sz w:val="21"/>
                      <w:szCs w:val="21"/>
                      <w:u w:val="single"/>
                      <w:lang w:val="en-US" w:eastAsia="zh-CN"/>
                    </w:rPr>
                    <w:t>47</w:t>
                  </w:r>
                </w:p>
              </w:tc>
              <w:tc>
                <w:tcPr>
                  <w:tcW w:w="718" w:type="pct"/>
                  <w:tcBorders>
                    <w:tl2br w:val="nil"/>
                    <w:tr2bl w:val="nil"/>
                  </w:tcBorders>
                  <w:vAlign w:val="center"/>
                </w:tcPr>
                <w:p w14:paraId="707A868A">
                  <w:pPr>
                    <w:spacing w:line="240" w:lineRule="auto"/>
                    <w:ind w:firstLine="0" w:firstLineChars="0"/>
                    <w:jc w:val="center"/>
                    <w:rPr>
                      <w:b/>
                      <w:bCs/>
                      <w:color w:val="auto"/>
                      <w:sz w:val="21"/>
                      <w:szCs w:val="21"/>
                      <w:u w:val="single"/>
                      <w:lang w:val="en-GB"/>
                    </w:rPr>
                  </w:pPr>
                  <w:r>
                    <w:rPr>
                      <w:rFonts w:hint="eastAsia"/>
                      <w:b/>
                      <w:bCs/>
                      <w:color w:val="auto"/>
                      <w:sz w:val="21"/>
                      <w:szCs w:val="21"/>
                      <w:u w:val="single"/>
                      <w:lang w:val="en-GB"/>
                    </w:rPr>
                    <w:t>35</w:t>
                  </w:r>
                </w:p>
              </w:tc>
              <w:tc>
                <w:tcPr>
                  <w:tcW w:w="658" w:type="pct"/>
                  <w:tcBorders>
                    <w:tl2br w:val="nil"/>
                    <w:tr2bl w:val="nil"/>
                  </w:tcBorders>
                  <w:vAlign w:val="center"/>
                </w:tcPr>
                <w:p w14:paraId="6C0D2EB1">
                  <w:pPr>
                    <w:spacing w:line="240" w:lineRule="auto"/>
                    <w:ind w:firstLine="0" w:firstLineChars="0"/>
                    <w:jc w:val="center"/>
                    <w:rPr>
                      <w:rFonts w:hint="default" w:eastAsia="宋体"/>
                      <w:b/>
                      <w:bCs/>
                      <w:color w:val="auto"/>
                      <w:sz w:val="21"/>
                      <w:szCs w:val="21"/>
                      <w:u w:val="single"/>
                      <w:lang w:val="en-US" w:eastAsia="zh-CN"/>
                    </w:rPr>
                  </w:pPr>
                  <w:r>
                    <w:rPr>
                      <w:rFonts w:hint="eastAsia"/>
                      <w:b/>
                      <w:bCs/>
                      <w:color w:val="auto"/>
                      <w:sz w:val="21"/>
                      <w:szCs w:val="21"/>
                      <w:u w:val="single"/>
                      <w:lang w:val="en-US" w:eastAsia="zh-CN"/>
                    </w:rPr>
                    <w:t>1.343</w:t>
                  </w:r>
                </w:p>
              </w:tc>
              <w:tc>
                <w:tcPr>
                  <w:tcW w:w="561" w:type="pct"/>
                  <w:tcBorders>
                    <w:tl2br w:val="nil"/>
                    <w:tr2bl w:val="nil"/>
                  </w:tcBorders>
                  <w:vAlign w:val="center"/>
                </w:tcPr>
                <w:p w14:paraId="420EE74D">
                  <w:pPr>
                    <w:spacing w:line="240" w:lineRule="auto"/>
                    <w:ind w:firstLine="0" w:firstLineChars="0"/>
                    <w:jc w:val="center"/>
                    <w:rPr>
                      <w:b/>
                      <w:bCs/>
                      <w:color w:val="auto"/>
                      <w:sz w:val="21"/>
                      <w:szCs w:val="21"/>
                      <w:u w:val="single"/>
                      <w:lang w:val="en-GB"/>
                    </w:rPr>
                  </w:pPr>
                  <w:r>
                    <w:rPr>
                      <w:rFonts w:hint="eastAsia"/>
                      <w:b/>
                      <w:bCs/>
                      <w:color w:val="auto"/>
                      <w:sz w:val="21"/>
                      <w:szCs w:val="21"/>
                      <w:u w:val="single"/>
                      <w:lang w:val="en-US" w:eastAsia="zh-CN"/>
                    </w:rPr>
                    <w:t>不</w:t>
                  </w:r>
                  <w:r>
                    <w:rPr>
                      <w:rFonts w:hint="eastAsia"/>
                      <w:b/>
                      <w:bCs/>
                      <w:color w:val="auto"/>
                      <w:sz w:val="21"/>
                      <w:szCs w:val="21"/>
                      <w:u w:val="single"/>
                      <w:lang w:val="en-GB"/>
                    </w:rPr>
                    <w:t>达标</w:t>
                  </w:r>
                </w:p>
              </w:tc>
            </w:tr>
            <w:tr w14:paraId="489CB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2" w:type="pct"/>
                  <w:tcBorders>
                    <w:tl2br w:val="nil"/>
                    <w:tr2bl w:val="nil"/>
                  </w:tcBorders>
                  <w:vAlign w:val="center"/>
                </w:tcPr>
                <w:p w14:paraId="33BEB16E">
                  <w:pPr>
                    <w:spacing w:line="240" w:lineRule="auto"/>
                    <w:ind w:firstLine="0" w:firstLineChars="0"/>
                    <w:jc w:val="center"/>
                    <w:rPr>
                      <w:b/>
                      <w:bCs/>
                      <w:color w:val="auto"/>
                      <w:sz w:val="21"/>
                      <w:szCs w:val="21"/>
                      <w:u w:val="single"/>
                      <w:lang w:val="en-GB"/>
                    </w:rPr>
                  </w:pPr>
                  <w:r>
                    <w:rPr>
                      <w:rFonts w:hint="eastAsia"/>
                      <w:b/>
                      <w:bCs/>
                      <w:color w:val="auto"/>
                      <w:sz w:val="21"/>
                      <w:szCs w:val="21"/>
                      <w:u w:val="single"/>
                      <w:lang w:val="en-GB"/>
                    </w:rPr>
                    <w:t>PM</w:t>
                  </w:r>
                  <w:r>
                    <w:rPr>
                      <w:rFonts w:hint="eastAsia"/>
                      <w:b/>
                      <w:bCs/>
                      <w:color w:val="auto"/>
                      <w:sz w:val="21"/>
                      <w:szCs w:val="21"/>
                      <w:u w:val="single"/>
                      <w:vertAlign w:val="subscript"/>
                      <w:lang w:val="en-GB"/>
                    </w:rPr>
                    <w:t>10</w:t>
                  </w:r>
                </w:p>
              </w:tc>
              <w:tc>
                <w:tcPr>
                  <w:tcW w:w="1563" w:type="pct"/>
                  <w:tcBorders>
                    <w:tl2br w:val="nil"/>
                    <w:tr2bl w:val="nil"/>
                  </w:tcBorders>
                  <w:vAlign w:val="center"/>
                </w:tcPr>
                <w:p w14:paraId="07D93BE0">
                  <w:pPr>
                    <w:spacing w:line="240" w:lineRule="auto"/>
                    <w:ind w:firstLine="0" w:firstLineChars="0"/>
                    <w:jc w:val="center"/>
                    <w:rPr>
                      <w:b/>
                      <w:bCs/>
                      <w:color w:val="auto"/>
                      <w:sz w:val="21"/>
                      <w:szCs w:val="21"/>
                      <w:u w:val="single"/>
                      <w:lang w:val="en-GB"/>
                    </w:rPr>
                  </w:pPr>
                  <w:r>
                    <w:rPr>
                      <w:rFonts w:hint="eastAsia"/>
                      <w:b/>
                      <w:bCs/>
                      <w:color w:val="auto"/>
                      <w:sz w:val="21"/>
                      <w:szCs w:val="21"/>
                      <w:u w:val="single"/>
                      <w:lang w:val="en-GB"/>
                    </w:rPr>
                    <w:t>年均值</w:t>
                  </w:r>
                </w:p>
              </w:tc>
              <w:tc>
                <w:tcPr>
                  <w:tcW w:w="945" w:type="pct"/>
                  <w:tcBorders>
                    <w:tl2br w:val="nil"/>
                    <w:tr2bl w:val="nil"/>
                  </w:tcBorders>
                  <w:vAlign w:val="center"/>
                </w:tcPr>
                <w:p w14:paraId="58332EA0">
                  <w:pPr>
                    <w:spacing w:line="240" w:lineRule="auto"/>
                    <w:ind w:firstLine="0" w:firstLineChars="0"/>
                    <w:jc w:val="center"/>
                    <w:rPr>
                      <w:b/>
                      <w:bCs/>
                      <w:color w:val="auto"/>
                      <w:sz w:val="21"/>
                      <w:szCs w:val="21"/>
                      <w:u w:val="single"/>
                    </w:rPr>
                  </w:pPr>
                  <w:r>
                    <w:rPr>
                      <w:rFonts w:hint="eastAsia"/>
                      <w:b/>
                      <w:bCs/>
                      <w:color w:val="auto"/>
                      <w:sz w:val="21"/>
                      <w:szCs w:val="21"/>
                      <w:u w:val="single"/>
                      <w:lang w:val="en-US" w:eastAsia="zh-CN"/>
                    </w:rPr>
                    <w:t>77</w:t>
                  </w:r>
                </w:p>
              </w:tc>
              <w:tc>
                <w:tcPr>
                  <w:tcW w:w="718" w:type="pct"/>
                  <w:tcBorders>
                    <w:tl2br w:val="nil"/>
                    <w:tr2bl w:val="nil"/>
                  </w:tcBorders>
                  <w:vAlign w:val="center"/>
                </w:tcPr>
                <w:p w14:paraId="2C5215DA">
                  <w:pPr>
                    <w:spacing w:line="240" w:lineRule="auto"/>
                    <w:ind w:firstLine="0" w:firstLineChars="0"/>
                    <w:jc w:val="center"/>
                    <w:rPr>
                      <w:b/>
                      <w:bCs/>
                      <w:color w:val="auto"/>
                      <w:sz w:val="21"/>
                      <w:szCs w:val="21"/>
                      <w:u w:val="single"/>
                      <w:lang w:val="en-GB"/>
                    </w:rPr>
                  </w:pPr>
                  <w:r>
                    <w:rPr>
                      <w:rFonts w:hint="eastAsia"/>
                      <w:b/>
                      <w:bCs/>
                      <w:color w:val="auto"/>
                      <w:sz w:val="21"/>
                      <w:szCs w:val="21"/>
                      <w:u w:val="single"/>
                      <w:lang w:val="en-GB"/>
                    </w:rPr>
                    <w:t>70</w:t>
                  </w:r>
                </w:p>
              </w:tc>
              <w:tc>
                <w:tcPr>
                  <w:tcW w:w="658" w:type="pct"/>
                  <w:tcBorders>
                    <w:tl2br w:val="nil"/>
                    <w:tr2bl w:val="nil"/>
                  </w:tcBorders>
                  <w:vAlign w:val="center"/>
                </w:tcPr>
                <w:p w14:paraId="335A4447">
                  <w:pPr>
                    <w:spacing w:line="240" w:lineRule="auto"/>
                    <w:ind w:firstLine="0" w:firstLineChars="0"/>
                    <w:jc w:val="center"/>
                    <w:rPr>
                      <w:rFonts w:hint="default" w:eastAsia="宋体"/>
                      <w:b/>
                      <w:bCs/>
                      <w:color w:val="auto"/>
                      <w:sz w:val="21"/>
                      <w:szCs w:val="21"/>
                      <w:u w:val="single"/>
                      <w:lang w:val="en-US" w:eastAsia="zh-CN"/>
                    </w:rPr>
                  </w:pPr>
                  <w:r>
                    <w:rPr>
                      <w:rFonts w:hint="eastAsia"/>
                      <w:b/>
                      <w:bCs/>
                      <w:color w:val="auto"/>
                      <w:sz w:val="21"/>
                      <w:szCs w:val="21"/>
                      <w:u w:val="single"/>
                      <w:lang w:val="en-US" w:eastAsia="zh-CN"/>
                    </w:rPr>
                    <w:t>1.100</w:t>
                  </w:r>
                </w:p>
              </w:tc>
              <w:tc>
                <w:tcPr>
                  <w:tcW w:w="561" w:type="pct"/>
                  <w:tcBorders>
                    <w:tl2br w:val="nil"/>
                    <w:tr2bl w:val="nil"/>
                  </w:tcBorders>
                  <w:vAlign w:val="center"/>
                </w:tcPr>
                <w:p w14:paraId="343F9310">
                  <w:pPr>
                    <w:spacing w:line="240" w:lineRule="auto"/>
                    <w:ind w:firstLine="0" w:firstLineChars="0"/>
                    <w:jc w:val="center"/>
                    <w:rPr>
                      <w:b/>
                      <w:bCs/>
                      <w:color w:val="auto"/>
                      <w:sz w:val="21"/>
                      <w:szCs w:val="21"/>
                      <w:u w:val="single"/>
                      <w:lang w:val="en-GB"/>
                    </w:rPr>
                  </w:pPr>
                  <w:r>
                    <w:rPr>
                      <w:rFonts w:hint="eastAsia"/>
                      <w:b/>
                      <w:bCs/>
                      <w:color w:val="auto"/>
                      <w:sz w:val="21"/>
                      <w:szCs w:val="21"/>
                      <w:u w:val="single"/>
                      <w:lang w:val="en-US" w:eastAsia="zh-CN"/>
                    </w:rPr>
                    <w:t>不</w:t>
                  </w:r>
                  <w:r>
                    <w:rPr>
                      <w:rFonts w:hint="eastAsia"/>
                      <w:b/>
                      <w:bCs/>
                      <w:color w:val="auto"/>
                      <w:sz w:val="21"/>
                      <w:szCs w:val="21"/>
                      <w:u w:val="single"/>
                      <w:lang w:val="en-GB"/>
                    </w:rPr>
                    <w:t>达标</w:t>
                  </w:r>
                </w:p>
              </w:tc>
            </w:tr>
            <w:tr w14:paraId="5F307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2" w:type="pct"/>
                  <w:tcBorders>
                    <w:tl2br w:val="nil"/>
                    <w:tr2bl w:val="nil"/>
                  </w:tcBorders>
                  <w:vAlign w:val="center"/>
                </w:tcPr>
                <w:p w14:paraId="6B8DA776">
                  <w:pPr>
                    <w:spacing w:line="240" w:lineRule="auto"/>
                    <w:ind w:firstLine="0" w:firstLineChars="0"/>
                    <w:jc w:val="center"/>
                    <w:rPr>
                      <w:b/>
                      <w:bCs/>
                      <w:color w:val="auto"/>
                      <w:sz w:val="21"/>
                      <w:szCs w:val="21"/>
                      <w:u w:val="single"/>
                      <w:lang w:val="en-GB"/>
                    </w:rPr>
                  </w:pPr>
                  <w:r>
                    <w:rPr>
                      <w:rFonts w:hint="eastAsia"/>
                      <w:b/>
                      <w:bCs/>
                      <w:color w:val="auto"/>
                      <w:sz w:val="21"/>
                      <w:szCs w:val="21"/>
                      <w:u w:val="single"/>
                      <w:lang w:val="en-GB"/>
                    </w:rPr>
                    <w:t>CO</w:t>
                  </w:r>
                </w:p>
              </w:tc>
              <w:tc>
                <w:tcPr>
                  <w:tcW w:w="1563" w:type="pct"/>
                  <w:tcBorders>
                    <w:tl2br w:val="nil"/>
                    <w:tr2bl w:val="nil"/>
                  </w:tcBorders>
                  <w:vAlign w:val="center"/>
                </w:tcPr>
                <w:p w14:paraId="34A97FEE">
                  <w:pPr>
                    <w:spacing w:line="240" w:lineRule="auto"/>
                    <w:ind w:firstLine="0" w:firstLineChars="0"/>
                    <w:jc w:val="center"/>
                    <w:rPr>
                      <w:b/>
                      <w:bCs/>
                      <w:color w:val="auto"/>
                      <w:sz w:val="21"/>
                      <w:szCs w:val="21"/>
                      <w:u w:val="single"/>
                      <w:lang w:val="en-GB"/>
                    </w:rPr>
                  </w:pPr>
                  <w:r>
                    <w:rPr>
                      <w:rFonts w:hint="eastAsia"/>
                      <w:b/>
                      <w:bCs/>
                      <w:color w:val="auto"/>
                      <w:sz w:val="21"/>
                      <w:szCs w:val="21"/>
                      <w:u w:val="single"/>
                      <w:lang w:val="en-GB"/>
                    </w:rPr>
                    <w:t>日均值第95百分位数浓度</w:t>
                  </w:r>
                </w:p>
              </w:tc>
              <w:tc>
                <w:tcPr>
                  <w:tcW w:w="945" w:type="pct"/>
                  <w:tcBorders>
                    <w:tl2br w:val="nil"/>
                    <w:tr2bl w:val="nil"/>
                  </w:tcBorders>
                  <w:vAlign w:val="center"/>
                </w:tcPr>
                <w:p w14:paraId="03EE6963">
                  <w:pPr>
                    <w:spacing w:line="240" w:lineRule="auto"/>
                    <w:ind w:firstLine="0" w:firstLineChars="0"/>
                    <w:jc w:val="center"/>
                    <w:rPr>
                      <w:rFonts w:hint="default" w:eastAsia="宋体"/>
                      <w:b/>
                      <w:bCs/>
                      <w:color w:val="auto"/>
                      <w:sz w:val="21"/>
                      <w:szCs w:val="21"/>
                      <w:u w:val="single"/>
                      <w:lang w:val="en-US" w:eastAsia="zh-CN"/>
                    </w:rPr>
                  </w:pPr>
                  <w:r>
                    <w:rPr>
                      <w:rFonts w:hint="eastAsia"/>
                      <w:b/>
                      <w:bCs/>
                      <w:color w:val="auto"/>
                      <w:sz w:val="21"/>
                      <w:szCs w:val="21"/>
                      <w:u w:val="single"/>
                      <w:lang w:val="en-US" w:eastAsia="zh-CN"/>
                    </w:rPr>
                    <w:t>1100</w:t>
                  </w:r>
                </w:p>
              </w:tc>
              <w:tc>
                <w:tcPr>
                  <w:tcW w:w="718" w:type="pct"/>
                  <w:tcBorders>
                    <w:tl2br w:val="nil"/>
                    <w:tr2bl w:val="nil"/>
                  </w:tcBorders>
                  <w:vAlign w:val="center"/>
                </w:tcPr>
                <w:p w14:paraId="1E768DB2">
                  <w:pPr>
                    <w:spacing w:line="240" w:lineRule="auto"/>
                    <w:ind w:firstLine="0" w:firstLineChars="0"/>
                    <w:jc w:val="center"/>
                    <w:rPr>
                      <w:b/>
                      <w:bCs/>
                      <w:color w:val="auto"/>
                      <w:sz w:val="21"/>
                      <w:szCs w:val="21"/>
                      <w:u w:val="single"/>
                      <w:lang w:val="en-GB"/>
                    </w:rPr>
                  </w:pPr>
                  <w:r>
                    <w:rPr>
                      <w:rFonts w:hint="eastAsia"/>
                      <w:b/>
                      <w:bCs/>
                      <w:color w:val="auto"/>
                      <w:sz w:val="21"/>
                      <w:szCs w:val="21"/>
                      <w:u w:val="single"/>
                      <w:lang w:val="en-GB"/>
                    </w:rPr>
                    <w:t>4000</w:t>
                  </w:r>
                </w:p>
              </w:tc>
              <w:tc>
                <w:tcPr>
                  <w:tcW w:w="658" w:type="pct"/>
                  <w:tcBorders>
                    <w:tl2br w:val="nil"/>
                    <w:tr2bl w:val="nil"/>
                  </w:tcBorders>
                  <w:vAlign w:val="center"/>
                </w:tcPr>
                <w:p w14:paraId="460177A8">
                  <w:pPr>
                    <w:spacing w:line="240" w:lineRule="auto"/>
                    <w:ind w:firstLine="0" w:firstLineChars="0"/>
                    <w:jc w:val="center"/>
                    <w:rPr>
                      <w:rFonts w:hint="default" w:eastAsia="宋体"/>
                      <w:b/>
                      <w:bCs/>
                      <w:color w:val="auto"/>
                      <w:sz w:val="21"/>
                      <w:szCs w:val="21"/>
                      <w:u w:val="single"/>
                      <w:lang w:val="en-US" w:eastAsia="zh-CN"/>
                    </w:rPr>
                  </w:pPr>
                  <w:r>
                    <w:rPr>
                      <w:rFonts w:hint="eastAsia"/>
                      <w:b/>
                      <w:bCs/>
                      <w:color w:val="auto"/>
                      <w:sz w:val="21"/>
                      <w:szCs w:val="21"/>
                      <w:u w:val="single"/>
                      <w:lang w:val="en-US" w:eastAsia="zh-CN"/>
                    </w:rPr>
                    <w:t>0.275</w:t>
                  </w:r>
                </w:p>
              </w:tc>
              <w:tc>
                <w:tcPr>
                  <w:tcW w:w="561" w:type="pct"/>
                  <w:tcBorders>
                    <w:tl2br w:val="nil"/>
                    <w:tr2bl w:val="nil"/>
                  </w:tcBorders>
                  <w:vAlign w:val="center"/>
                </w:tcPr>
                <w:p w14:paraId="2CC9A224">
                  <w:pPr>
                    <w:spacing w:line="240" w:lineRule="auto"/>
                    <w:ind w:firstLine="0" w:firstLineChars="0"/>
                    <w:jc w:val="center"/>
                    <w:rPr>
                      <w:b/>
                      <w:bCs/>
                      <w:color w:val="auto"/>
                      <w:sz w:val="21"/>
                      <w:szCs w:val="21"/>
                      <w:u w:val="single"/>
                      <w:lang w:val="en-GB"/>
                    </w:rPr>
                  </w:pPr>
                  <w:r>
                    <w:rPr>
                      <w:rFonts w:hint="eastAsia"/>
                      <w:b/>
                      <w:bCs/>
                      <w:color w:val="auto"/>
                      <w:sz w:val="21"/>
                      <w:szCs w:val="21"/>
                      <w:u w:val="single"/>
                      <w:lang w:val="en-GB"/>
                    </w:rPr>
                    <w:t>达标</w:t>
                  </w:r>
                </w:p>
              </w:tc>
            </w:tr>
            <w:tr w14:paraId="13493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2" w:type="pct"/>
                  <w:tcBorders>
                    <w:tl2br w:val="nil"/>
                    <w:tr2bl w:val="nil"/>
                  </w:tcBorders>
                  <w:vAlign w:val="center"/>
                </w:tcPr>
                <w:p w14:paraId="6BA5842A">
                  <w:pPr>
                    <w:spacing w:line="240" w:lineRule="auto"/>
                    <w:ind w:firstLine="0" w:firstLineChars="0"/>
                    <w:jc w:val="center"/>
                    <w:rPr>
                      <w:b/>
                      <w:bCs/>
                      <w:color w:val="auto"/>
                      <w:sz w:val="21"/>
                      <w:szCs w:val="21"/>
                      <w:u w:val="single"/>
                      <w:lang w:val="en-GB"/>
                    </w:rPr>
                  </w:pPr>
                  <w:r>
                    <w:rPr>
                      <w:rFonts w:hint="eastAsia"/>
                      <w:b/>
                      <w:bCs/>
                      <w:color w:val="auto"/>
                      <w:sz w:val="21"/>
                      <w:szCs w:val="21"/>
                      <w:u w:val="single"/>
                      <w:lang w:val="en-GB"/>
                    </w:rPr>
                    <w:t>O</w:t>
                  </w:r>
                  <w:r>
                    <w:rPr>
                      <w:rFonts w:hint="eastAsia"/>
                      <w:b/>
                      <w:bCs/>
                      <w:color w:val="auto"/>
                      <w:sz w:val="21"/>
                      <w:szCs w:val="21"/>
                      <w:u w:val="single"/>
                      <w:vertAlign w:val="subscript"/>
                      <w:lang w:val="en-GB"/>
                    </w:rPr>
                    <w:t>3</w:t>
                  </w:r>
                </w:p>
              </w:tc>
              <w:tc>
                <w:tcPr>
                  <w:tcW w:w="1563" w:type="pct"/>
                  <w:tcBorders>
                    <w:tl2br w:val="nil"/>
                    <w:tr2bl w:val="nil"/>
                  </w:tcBorders>
                  <w:vAlign w:val="center"/>
                </w:tcPr>
                <w:p w14:paraId="7A2C3058">
                  <w:pPr>
                    <w:spacing w:line="240" w:lineRule="auto"/>
                    <w:ind w:firstLine="0" w:firstLineChars="0"/>
                    <w:jc w:val="center"/>
                    <w:rPr>
                      <w:b/>
                      <w:bCs/>
                      <w:color w:val="auto"/>
                      <w:sz w:val="21"/>
                      <w:szCs w:val="21"/>
                      <w:u w:val="single"/>
                      <w:lang w:val="en-GB"/>
                    </w:rPr>
                  </w:pPr>
                  <w:r>
                    <w:rPr>
                      <w:rFonts w:hint="eastAsia"/>
                      <w:b/>
                      <w:bCs/>
                      <w:color w:val="auto"/>
                      <w:sz w:val="21"/>
                      <w:szCs w:val="21"/>
                      <w:u w:val="single"/>
                      <w:lang w:val="en-GB"/>
                    </w:rPr>
                    <w:t>日最大8小时平均均值第90百分位数浓度</w:t>
                  </w:r>
                </w:p>
              </w:tc>
              <w:tc>
                <w:tcPr>
                  <w:tcW w:w="945" w:type="pct"/>
                  <w:tcBorders>
                    <w:tl2br w:val="nil"/>
                    <w:tr2bl w:val="nil"/>
                  </w:tcBorders>
                  <w:vAlign w:val="center"/>
                </w:tcPr>
                <w:p w14:paraId="5BD3D296">
                  <w:pPr>
                    <w:spacing w:line="240" w:lineRule="auto"/>
                    <w:ind w:firstLine="0" w:firstLineChars="0"/>
                    <w:jc w:val="center"/>
                    <w:rPr>
                      <w:b/>
                      <w:bCs/>
                      <w:color w:val="auto"/>
                      <w:sz w:val="21"/>
                      <w:szCs w:val="21"/>
                      <w:u w:val="single"/>
                    </w:rPr>
                  </w:pPr>
                  <w:r>
                    <w:rPr>
                      <w:rFonts w:hint="eastAsia"/>
                      <w:b/>
                      <w:bCs/>
                      <w:color w:val="auto"/>
                      <w:sz w:val="21"/>
                      <w:szCs w:val="21"/>
                      <w:u w:val="single"/>
                      <w:lang w:val="en-US" w:eastAsia="zh-CN"/>
                    </w:rPr>
                    <w:t>156</w:t>
                  </w:r>
                </w:p>
              </w:tc>
              <w:tc>
                <w:tcPr>
                  <w:tcW w:w="718" w:type="pct"/>
                  <w:tcBorders>
                    <w:tl2br w:val="nil"/>
                    <w:tr2bl w:val="nil"/>
                  </w:tcBorders>
                  <w:vAlign w:val="center"/>
                </w:tcPr>
                <w:p w14:paraId="612A3B06">
                  <w:pPr>
                    <w:spacing w:line="240" w:lineRule="auto"/>
                    <w:ind w:firstLine="0" w:firstLineChars="0"/>
                    <w:jc w:val="center"/>
                    <w:rPr>
                      <w:b/>
                      <w:bCs/>
                      <w:color w:val="auto"/>
                      <w:sz w:val="21"/>
                      <w:szCs w:val="21"/>
                      <w:u w:val="single"/>
                      <w:lang w:val="en-GB"/>
                    </w:rPr>
                  </w:pPr>
                  <w:r>
                    <w:rPr>
                      <w:rFonts w:hint="eastAsia"/>
                      <w:b/>
                      <w:bCs/>
                      <w:color w:val="auto"/>
                      <w:sz w:val="21"/>
                      <w:szCs w:val="21"/>
                      <w:u w:val="single"/>
                      <w:lang w:val="en-GB"/>
                    </w:rPr>
                    <w:t>160</w:t>
                  </w:r>
                </w:p>
              </w:tc>
              <w:tc>
                <w:tcPr>
                  <w:tcW w:w="658" w:type="pct"/>
                  <w:tcBorders>
                    <w:tl2br w:val="nil"/>
                    <w:tr2bl w:val="nil"/>
                  </w:tcBorders>
                  <w:vAlign w:val="center"/>
                </w:tcPr>
                <w:p w14:paraId="35EB6395">
                  <w:pPr>
                    <w:spacing w:line="240" w:lineRule="auto"/>
                    <w:ind w:firstLine="0" w:firstLineChars="0"/>
                    <w:jc w:val="center"/>
                    <w:rPr>
                      <w:rFonts w:hint="default" w:eastAsia="宋体"/>
                      <w:b/>
                      <w:bCs/>
                      <w:color w:val="auto"/>
                      <w:sz w:val="21"/>
                      <w:szCs w:val="21"/>
                      <w:u w:val="single"/>
                      <w:lang w:val="en-US" w:eastAsia="zh-CN"/>
                    </w:rPr>
                  </w:pPr>
                  <w:r>
                    <w:rPr>
                      <w:rFonts w:hint="eastAsia"/>
                      <w:b/>
                      <w:bCs/>
                      <w:color w:val="auto"/>
                      <w:sz w:val="21"/>
                      <w:szCs w:val="21"/>
                      <w:u w:val="single"/>
                      <w:lang w:val="en-US" w:eastAsia="zh-CN"/>
                    </w:rPr>
                    <w:t>0.975</w:t>
                  </w:r>
                </w:p>
              </w:tc>
              <w:tc>
                <w:tcPr>
                  <w:tcW w:w="561" w:type="pct"/>
                  <w:tcBorders>
                    <w:tl2br w:val="nil"/>
                    <w:tr2bl w:val="nil"/>
                  </w:tcBorders>
                  <w:vAlign w:val="center"/>
                </w:tcPr>
                <w:p w14:paraId="58AFF8BA">
                  <w:pPr>
                    <w:spacing w:line="240" w:lineRule="auto"/>
                    <w:ind w:firstLine="0" w:firstLineChars="0"/>
                    <w:jc w:val="center"/>
                    <w:rPr>
                      <w:b/>
                      <w:bCs/>
                      <w:color w:val="auto"/>
                      <w:sz w:val="21"/>
                      <w:szCs w:val="21"/>
                      <w:u w:val="single"/>
                      <w:lang w:val="en-GB"/>
                    </w:rPr>
                  </w:pPr>
                  <w:r>
                    <w:rPr>
                      <w:rFonts w:hint="eastAsia"/>
                      <w:b/>
                      <w:bCs/>
                      <w:color w:val="auto"/>
                      <w:sz w:val="21"/>
                      <w:szCs w:val="21"/>
                      <w:u w:val="single"/>
                      <w:lang w:val="en-GB"/>
                    </w:rPr>
                    <w:t>达标</w:t>
                  </w:r>
                </w:p>
              </w:tc>
            </w:tr>
          </w:tbl>
          <w:p w14:paraId="5E786848">
            <w:pPr>
              <w:ind w:firstLine="480"/>
              <w:rPr>
                <w:rFonts w:eastAsia="Times New Roman"/>
                <w:b/>
                <w:bCs/>
                <w:color w:val="auto"/>
              </w:rPr>
            </w:pPr>
            <w:r>
              <w:rPr>
                <w:rFonts w:hint="eastAsia"/>
                <w:b/>
                <w:bCs/>
                <w:color w:val="auto"/>
                <w:u w:val="single"/>
              </w:rPr>
              <w:t>由上表可知，本项目所在区域PM</w:t>
            </w:r>
            <w:r>
              <w:rPr>
                <w:rFonts w:hint="eastAsia"/>
                <w:b/>
                <w:bCs/>
                <w:color w:val="auto"/>
                <w:u w:val="single"/>
                <w:vertAlign w:val="subscript"/>
              </w:rPr>
              <w:t>10</w:t>
            </w:r>
            <w:r>
              <w:rPr>
                <w:rFonts w:hint="eastAsia"/>
                <w:b/>
                <w:bCs/>
                <w:color w:val="auto"/>
                <w:u w:val="single"/>
              </w:rPr>
              <w:t>、PM</w:t>
            </w:r>
            <w:r>
              <w:rPr>
                <w:rFonts w:hint="eastAsia"/>
                <w:b/>
                <w:bCs/>
                <w:color w:val="auto"/>
                <w:u w:val="single"/>
                <w:vertAlign w:val="subscript"/>
              </w:rPr>
              <w:t>2.5</w:t>
            </w:r>
            <w:r>
              <w:rPr>
                <w:rFonts w:hint="eastAsia"/>
                <w:b/>
                <w:bCs/>
                <w:color w:val="auto"/>
                <w:u w:val="single"/>
              </w:rPr>
              <w:t>均超过环境空气质量二级标准，因此，项目区域环境空气质量为不达标区。</w:t>
            </w:r>
          </w:p>
          <w:p w14:paraId="2336B21F">
            <w:pPr>
              <w:pStyle w:val="19"/>
              <w:keepNext w:val="0"/>
              <w:keepLines w:val="0"/>
              <w:pageBreakBefore w:val="0"/>
              <w:widowControl w:val="0"/>
              <w:kinsoku/>
              <w:wordWrap w:val="0"/>
              <w:overflowPunct/>
              <w:topLinePunct w:val="0"/>
              <w:autoSpaceDE/>
              <w:autoSpaceDN/>
              <w:bidi w:val="0"/>
              <w:adjustRightInd/>
              <w:snapToGrid/>
              <w:spacing w:after="0"/>
              <w:ind w:left="0" w:leftChars="0"/>
              <w:textAlignment w:val="auto"/>
              <w:rPr>
                <w:rFonts w:hint="eastAsia"/>
              </w:rPr>
            </w:pPr>
            <w:r>
              <w:rPr>
                <w:rFonts w:hint="eastAsia"/>
                <w:lang w:val="en-US" w:eastAsia="zh-CN"/>
              </w:rPr>
              <w:t>同时，</w:t>
            </w:r>
            <w:r>
              <w:rPr>
                <w:rFonts w:hint="eastAsia"/>
              </w:rPr>
              <w:t>项目废气无组织排放污染物为颗粒物，以TSP计，根据现有检测资料调查，《南乐县先进制造业开发区总体发展规划（2022-2035年）环境影响报告书》环评期间对区域TSP进行了检测，监测时间2023年12月。监测点位及浓度：1#王方山固村TSP日均浓度0.12-0.14mg/m</w:t>
            </w:r>
            <w:r>
              <w:rPr>
                <w:rFonts w:hint="eastAsia"/>
                <w:vertAlign w:val="superscript"/>
              </w:rPr>
              <w:t>3</w:t>
            </w:r>
            <w:r>
              <w:rPr>
                <w:rFonts w:hint="eastAsia"/>
              </w:rPr>
              <w:t>、2#徐屯村TSP日均浓度0.14-0.17mg/m</w:t>
            </w:r>
            <w:r>
              <w:rPr>
                <w:rFonts w:hint="eastAsia"/>
                <w:vertAlign w:val="superscript"/>
              </w:rPr>
              <w:t>3</w:t>
            </w:r>
            <w:r>
              <w:rPr>
                <w:rFonts w:hint="eastAsia"/>
              </w:rPr>
              <w:t>、3#南乐县东湖公园TSP日均浓度0.13-0.15mg/m</w:t>
            </w:r>
            <w:r>
              <w:rPr>
                <w:rFonts w:hint="eastAsia"/>
                <w:vertAlign w:val="superscript"/>
              </w:rPr>
              <w:t>3</w:t>
            </w:r>
            <w:r>
              <w:rPr>
                <w:rFonts w:hint="eastAsia"/>
              </w:rPr>
              <w:t>，可以反应区域TSP现状，区域TSP浓度满足《环境空气质量标准》（GB3095-2012）二级标准。</w:t>
            </w:r>
          </w:p>
          <w:p w14:paraId="21BE27B8">
            <w:pPr>
              <w:rPr>
                <w:rFonts w:hint="eastAsia"/>
              </w:rPr>
            </w:pPr>
            <w:r>
              <w:rPr>
                <w:rFonts w:hint="eastAsia"/>
              </w:rPr>
              <w:t>针对区域空气质量不达标情况，为进一步促进空气质量改善，濮阳市正在实施《濮阳市“十四五”生态环境规划》、《濮阳市2024年蓝天保卫战实施方案》等相关措施，</w:t>
            </w:r>
            <w:r>
              <w:rPr>
                <w:rFonts w:hint="eastAsia"/>
                <w:lang w:val="en-US" w:eastAsia="zh-CN"/>
              </w:rPr>
              <w:t>通过</w:t>
            </w:r>
            <w:r>
              <w:rPr>
                <w:rFonts w:hint="eastAsia"/>
              </w:rPr>
              <w:t>过采取减污降碳协同增效行动</w:t>
            </w:r>
            <w:r>
              <w:rPr>
                <w:rFonts w:hint="eastAsia"/>
                <w:lang w:eastAsia="zh-CN"/>
              </w:rPr>
              <w:t>、工业污染治理减排行动、移动源污染排放控制行动、面源污染综合防治攻坚行动、重污染天气联合应对行动、科技支撑能力建设提升行动</w:t>
            </w:r>
            <w:r>
              <w:rPr>
                <w:rFonts w:hint="eastAsia"/>
              </w:rPr>
              <w:t>，区域环境质量将得到逐步改善。</w:t>
            </w:r>
          </w:p>
          <w:p w14:paraId="608DA93B">
            <w:pPr>
              <w:keepNext w:val="0"/>
              <w:keepLines w:val="0"/>
              <w:pageBreakBefore w:val="0"/>
              <w:widowControl w:val="0"/>
              <w:kinsoku/>
              <w:wordWrap w:val="0"/>
              <w:overflowPunct/>
              <w:topLinePunct w:val="0"/>
              <w:autoSpaceDE/>
              <w:autoSpaceDN/>
              <w:bidi w:val="0"/>
              <w:adjustRightInd/>
              <w:snapToGrid/>
              <w:ind w:firstLine="0" w:firstLineChars="0"/>
              <w:textAlignment w:val="auto"/>
              <w:rPr>
                <w:b/>
                <w:bCs/>
                <w:color w:val="auto"/>
              </w:rPr>
            </w:pPr>
            <w:r>
              <w:rPr>
                <w:rFonts w:hint="eastAsia"/>
                <w:b/>
                <w:bCs/>
                <w:color w:val="auto"/>
              </w:rPr>
              <w:t>2.特征因子环境空气质量</w:t>
            </w:r>
          </w:p>
          <w:p w14:paraId="74DDF992">
            <w:pPr>
              <w:ind w:firstLine="480"/>
              <w:rPr>
                <w:rFonts w:hint="eastAsia"/>
                <w:color w:val="auto"/>
                <w:lang w:eastAsia="zh-CN"/>
              </w:rPr>
            </w:pPr>
            <w:r>
              <w:rPr>
                <w:rFonts w:hint="eastAsia"/>
                <w:color w:val="auto"/>
                <w:lang w:val="en-US" w:eastAsia="zh-CN"/>
              </w:rPr>
              <w:t>本项目</w:t>
            </w:r>
            <w:r>
              <w:rPr>
                <w:rFonts w:hint="eastAsia"/>
                <w:color w:val="auto"/>
              </w:rPr>
              <w:t>特征因子非甲烷总烃、氨气、硫化氢</w:t>
            </w:r>
            <w:r>
              <w:rPr>
                <w:rFonts w:hint="eastAsia"/>
                <w:color w:val="auto"/>
                <w:lang w:eastAsia="zh-CN"/>
              </w:rPr>
              <w:t>，</w:t>
            </w:r>
            <w:r>
              <w:rPr>
                <w:color w:val="auto"/>
              </w:rPr>
              <w:t>评价范围内无</w:t>
            </w:r>
            <w:r>
              <w:rPr>
                <w:rFonts w:hint="eastAsia"/>
                <w:color w:val="auto"/>
              </w:rPr>
              <w:t>特征因子氨、硫化氢、氯化氢</w:t>
            </w:r>
            <w:r>
              <w:rPr>
                <w:color w:val="auto"/>
              </w:rPr>
              <w:t>环境空气例行监测点，</w:t>
            </w:r>
            <w:r>
              <w:rPr>
                <w:rFonts w:hint="eastAsia"/>
                <w:color w:val="auto"/>
              </w:rPr>
              <w:t>为充分反映所在区域环境空气的质量现状，现状数据引用《南乐县先进制造业开发区总体发展规划（2022-2035年）环境影响报告书》，监测时间2023年12月。监测点位：1#王方山固村、2#徐屯村、3#南乐县东湖公园。三个监测点位分别位于本项目北2390m、东150m、南830m处</w:t>
            </w:r>
            <w:r>
              <w:rPr>
                <w:rFonts w:hint="eastAsia"/>
                <w:color w:val="auto"/>
                <w:lang w:eastAsia="zh-CN"/>
              </w:rPr>
              <w:t>；</w:t>
            </w:r>
          </w:p>
          <w:p w14:paraId="0B5487C5">
            <w:pPr>
              <w:ind w:firstLine="480"/>
              <w:rPr>
                <w:color w:val="auto"/>
              </w:rPr>
            </w:pPr>
            <w:r>
              <w:rPr>
                <w:rFonts w:hint="eastAsia"/>
                <w:color w:val="auto"/>
                <w:lang w:val="en-US" w:eastAsia="zh-CN"/>
              </w:rPr>
              <w:t>同时引用《河南永乐生物工程有限公司秸秆制纤维素葡萄糖、木质素等智能化柔性技术改造项目环境影响报告表》，监测时间为2024年7月10日~7月16日，监测点位：</w:t>
            </w:r>
            <w:r>
              <w:rPr>
                <w:rFonts w:hint="eastAsia"/>
                <w:color w:val="auto"/>
              </w:rPr>
              <w:t>南乐县公共租赁房</w:t>
            </w:r>
            <w:r>
              <w:rPr>
                <w:rFonts w:hint="eastAsia"/>
                <w:color w:val="auto"/>
                <w:lang w:eastAsia="zh-CN"/>
              </w:rPr>
              <w:t>，</w:t>
            </w:r>
            <w:r>
              <w:rPr>
                <w:rFonts w:hint="eastAsia"/>
                <w:color w:val="auto"/>
                <w:lang w:val="en-US" w:eastAsia="zh-CN"/>
              </w:rPr>
              <w:t>位于本项目西侧590m。以上4个监测点位</w:t>
            </w:r>
            <w:r>
              <w:rPr>
                <w:rFonts w:hint="eastAsia"/>
                <w:color w:val="auto"/>
              </w:rPr>
              <w:t>位于项目常年主导风向上，引用可行。三个监测点位监测统计结果见详见表4.3-2。</w:t>
            </w:r>
          </w:p>
          <w:p w14:paraId="138C5306">
            <w:pPr>
              <w:keepNext w:val="0"/>
              <w:keepLines w:val="0"/>
              <w:pageBreakBefore w:val="0"/>
              <w:widowControl w:val="0"/>
              <w:numPr>
                <w:ilvl w:val="0"/>
                <w:numId w:val="7"/>
              </w:numPr>
              <w:kinsoku/>
              <w:wordWrap w:val="0"/>
              <w:overflowPunct/>
              <w:topLinePunct w:val="0"/>
              <w:autoSpaceDE/>
              <w:autoSpaceDN/>
              <w:bidi w:val="0"/>
              <w:adjustRightInd/>
              <w:snapToGrid/>
              <w:spacing w:line="240" w:lineRule="auto"/>
              <w:ind w:left="425" w:leftChars="0" w:hanging="425" w:firstLineChars="0"/>
              <w:jc w:val="center"/>
              <w:textAlignment w:val="auto"/>
              <w:rPr>
                <w:rFonts w:hint="eastAsia" w:ascii="Times New Roman" w:hAnsi="Times New Roman" w:eastAsia="宋体" w:cs="Times New Roman"/>
                <w:b/>
                <w:bCs/>
                <w:color w:val="auto"/>
                <w:sz w:val="21"/>
                <w:szCs w:val="21"/>
                <w:u w:val="none"/>
                <w:lang w:val="en-GB"/>
              </w:rPr>
            </w:pPr>
            <w:r>
              <w:rPr>
                <w:rFonts w:hint="eastAsia" w:ascii="Times New Roman" w:hAnsi="Times New Roman" w:eastAsia="宋体" w:cs="Times New Roman"/>
                <w:b/>
                <w:bCs/>
                <w:color w:val="auto"/>
                <w:sz w:val="21"/>
                <w:szCs w:val="21"/>
                <w:u w:val="none"/>
                <w:lang w:val="en-GB"/>
              </w:rPr>
              <w:t xml:space="preserve">特征因子环境空气监测结果统计  </w:t>
            </w:r>
            <m:oMath>
              <m:d>
                <m:dPr>
                  <m:sepChr m:val=","/>
                  <m:ctrlPr>
                    <w:rPr>
                      <w:rFonts w:hint="eastAsia" w:ascii="Cambria Math" w:hAnsi="Cambria Math" w:eastAsia="宋体" w:cs="Times New Roman"/>
                      <w:b/>
                      <w:bCs/>
                      <w:color w:val="auto"/>
                      <w:sz w:val="21"/>
                      <w:szCs w:val="21"/>
                      <w:u w:val="none"/>
                      <w:lang w:val="en-GB"/>
                    </w:rPr>
                  </m:ctrlPr>
                </m:dPr>
                <m:e>
                  <m:r>
                    <m:rPr>
                      <m:sty m:val="b"/>
                    </m:rPr>
                    <w:rPr>
                      <w:rFonts w:hint="eastAsia" w:ascii="Cambria Math" w:hAnsi="Cambria Math" w:eastAsia="宋体" w:cs="Times New Roman"/>
                      <w:color w:val="auto"/>
                      <w:sz w:val="21"/>
                      <w:szCs w:val="21"/>
                      <w:u w:val="none"/>
                      <w:lang w:val="en-GB"/>
                    </w:rPr>
                    <m:t>μg/m³</m:t>
                  </m:r>
                  <m:ctrlPr>
                    <w:rPr>
                      <w:rFonts w:hint="eastAsia" w:ascii="Cambria Math" w:hAnsi="Cambria Math" w:eastAsia="宋体" w:cs="Times New Roman"/>
                      <w:b/>
                      <w:bCs/>
                      <w:color w:val="auto"/>
                      <w:sz w:val="21"/>
                      <w:szCs w:val="21"/>
                      <w:u w:val="none"/>
                      <w:lang w:val="en-GB"/>
                    </w:rPr>
                  </m:ctrlPr>
                </m:e>
              </m:d>
            </m:oMath>
          </w:p>
          <w:tbl>
            <w:tblPr>
              <w:tblStyle w:val="20"/>
              <w:tblW w:w="4994"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1921"/>
              <w:gridCol w:w="894"/>
              <w:gridCol w:w="1028"/>
              <w:gridCol w:w="1021"/>
              <w:gridCol w:w="886"/>
              <w:gridCol w:w="800"/>
              <w:gridCol w:w="989"/>
              <w:gridCol w:w="891"/>
            </w:tblGrid>
            <w:tr w14:paraId="213F90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680" w:hRule="atLeast"/>
                <w:jc w:val="center"/>
              </w:trPr>
              <w:tc>
                <w:tcPr>
                  <w:tcW w:w="1139" w:type="pct"/>
                  <w:vAlign w:val="center"/>
                </w:tcPr>
                <w:p w14:paraId="10D82867">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baseline"/>
                    <w:rPr>
                      <w:rFonts w:hint="eastAsia" w:ascii="Times New Roman" w:hAnsi="Times New Roman" w:eastAsia="宋体" w:cs="Times New Roman"/>
                      <w:b w:val="0"/>
                      <w:i w:val="0"/>
                      <w:color w:val="000000"/>
                      <w:sz w:val="21"/>
                      <w:szCs w:val="21"/>
                      <w:lang w:val="en-US" w:eastAsia="zh-CN"/>
                    </w:rPr>
                  </w:pPr>
                  <w:r>
                    <w:rPr>
                      <w:rFonts w:hint="eastAsia" w:ascii="Times New Roman" w:hAnsi="Times New Roman" w:eastAsia="宋体" w:cs="Times New Roman"/>
                      <w:b w:val="0"/>
                      <w:i w:val="0"/>
                      <w:color w:val="000000"/>
                      <w:sz w:val="21"/>
                      <w:szCs w:val="21"/>
                      <w:lang w:val="en-US" w:eastAsia="zh-CN"/>
                    </w:rPr>
                    <w:t>监测点位</w:t>
                  </w:r>
                </w:p>
              </w:tc>
              <w:tc>
                <w:tcPr>
                  <w:tcW w:w="1139" w:type="pct"/>
                  <w:gridSpan w:val="2"/>
                  <w:vAlign w:val="center"/>
                </w:tcPr>
                <w:p w14:paraId="5745BC0C">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baseline"/>
                    <w:rPr>
                      <w:rFonts w:hint="default" w:ascii="Times New Roman" w:hAnsi="Times New Roman" w:cs="Times New Roman"/>
                      <w:sz w:val="21"/>
                      <w:szCs w:val="21"/>
                    </w:rPr>
                  </w:pPr>
                  <w:r>
                    <w:rPr>
                      <w:rFonts w:hint="default" w:ascii="Times New Roman" w:hAnsi="Times New Roman" w:eastAsia="宋体" w:cs="Times New Roman"/>
                      <w:b w:val="0"/>
                      <w:i w:val="0"/>
                      <w:color w:val="000000"/>
                      <w:sz w:val="21"/>
                      <w:szCs w:val="21"/>
                    </w:rPr>
                    <w:t>评价因子</w:t>
                  </w:r>
                </w:p>
              </w:tc>
              <w:tc>
                <w:tcPr>
                  <w:tcW w:w="605" w:type="pct"/>
                  <w:vAlign w:val="top"/>
                </w:tcPr>
                <w:p w14:paraId="4C2E8114">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baseline"/>
                    <w:rPr>
                      <w:rFonts w:hint="default" w:ascii="Times New Roman" w:hAnsi="Times New Roman" w:cs="Times New Roman"/>
                      <w:sz w:val="21"/>
                      <w:szCs w:val="21"/>
                    </w:rPr>
                  </w:pPr>
                  <w:r>
                    <w:rPr>
                      <w:rFonts w:hint="default" w:ascii="Times New Roman" w:hAnsi="Times New Roman" w:eastAsia="宋体" w:cs="Times New Roman"/>
                      <w:b w:val="0"/>
                      <w:i w:val="0"/>
                      <w:color w:val="000000"/>
                      <w:sz w:val="21"/>
                      <w:szCs w:val="21"/>
                    </w:rPr>
                    <w:t>检测值</w:t>
                  </w:r>
                </w:p>
                <w:p w14:paraId="14EB6936">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baseline"/>
                    <w:rPr>
                      <w:rFonts w:hint="default" w:ascii="Times New Roman" w:hAnsi="Times New Roman" w:cs="Times New Roman"/>
                      <w:sz w:val="21"/>
                      <w:szCs w:val="21"/>
                    </w:rPr>
                  </w:pPr>
                  <w:r>
                    <w:rPr>
                      <w:rFonts w:hint="default" w:ascii="Times New Roman" w:hAnsi="Times New Roman" w:eastAsia="宋体" w:cs="Times New Roman"/>
                      <w:b w:val="0"/>
                      <w:i w:val="0"/>
                      <w:color w:val="000000"/>
                      <w:sz w:val="21"/>
                      <w:szCs w:val="21"/>
                    </w:rPr>
                    <w:t>(mg/m³)</w:t>
                  </w:r>
                </w:p>
              </w:tc>
              <w:tc>
                <w:tcPr>
                  <w:tcW w:w="525" w:type="pct"/>
                  <w:vAlign w:val="center"/>
                </w:tcPr>
                <w:p w14:paraId="150F6E53">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baseline"/>
                    <w:rPr>
                      <w:rFonts w:hint="default" w:ascii="Times New Roman" w:hAnsi="Times New Roman" w:cs="Times New Roman"/>
                      <w:sz w:val="21"/>
                      <w:szCs w:val="21"/>
                    </w:rPr>
                  </w:pPr>
                  <w:r>
                    <w:rPr>
                      <w:rFonts w:hint="default" w:ascii="Times New Roman" w:hAnsi="Times New Roman" w:eastAsia="宋体" w:cs="Times New Roman"/>
                      <w:b w:val="0"/>
                      <w:i w:val="0"/>
                      <w:color w:val="000000"/>
                      <w:sz w:val="21"/>
                      <w:szCs w:val="21"/>
                    </w:rPr>
                    <w:t>标准值</w:t>
                  </w:r>
                </w:p>
                <w:p w14:paraId="0E2D24B7">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baseline"/>
                    <w:rPr>
                      <w:rFonts w:hint="default" w:ascii="Times New Roman" w:hAnsi="Times New Roman" w:cs="Times New Roman"/>
                      <w:sz w:val="21"/>
                      <w:szCs w:val="21"/>
                    </w:rPr>
                  </w:pPr>
                  <w:r>
                    <w:rPr>
                      <w:rFonts w:hint="default" w:ascii="Times New Roman" w:hAnsi="Times New Roman" w:eastAsia="宋体" w:cs="Times New Roman"/>
                      <w:b w:val="0"/>
                      <w:i w:val="0"/>
                      <w:color w:val="000000"/>
                      <w:sz w:val="21"/>
                      <w:szCs w:val="21"/>
                    </w:rPr>
                    <w:t>(mg/m³)</w:t>
                  </w:r>
                </w:p>
              </w:tc>
              <w:tc>
                <w:tcPr>
                  <w:tcW w:w="474" w:type="pct"/>
                  <w:vAlign w:val="center"/>
                </w:tcPr>
                <w:p w14:paraId="549DC564">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baseline"/>
                    <w:rPr>
                      <w:rFonts w:hint="default" w:ascii="Times New Roman" w:hAnsi="Times New Roman" w:cs="Times New Roman"/>
                      <w:sz w:val="21"/>
                      <w:szCs w:val="21"/>
                    </w:rPr>
                  </w:pPr>
                  <w:r>
                    <w:rPr>
                      <w:rFonts w:hint="default" w:ascii="Times New Roman" w:hAnsi="Times New Roman" w:eastAsia="宋体" w:cs="Times New Roman"/>
                      <w:b w:val="0"/>
                      <w:i w:val="0"/>
                      <w:color w:val="000000"/>
                      <w:sz w:val="21"/>
                      <w:szCs w:val="21"/>
                    </w:rPr>
                    <w:t>标准指数</w:t>
                  </w:r>
                </w:p>
              </w:tc>
              <w:tc>
                <w:tcPr>
                  <w:tcW w:w="586" w:type="pct"/>
                  <w:vAlign w:val="top"/>
                </w:tcPr>
                <w:p w14:paraId="1A7ABE74">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baseline"/>
                    <w:rPr>
                      <w:rFonts w:hint="default" w:ascii="Times New Roman" w:hAnsi="Times New Roman" w:cs="Times New Roman"/>
                      <w:sz w:val="21"/>
                      <w:szCs w:val="21"/>
                    </w:rPr>
                  </w:pPr>
                  <w:r>
                    <w:rPr>
                      <w:rFonts w:hint="default" w:ascii="Times New Roman" w:hAnsi="Times New Roman" w:eastAsia="宋体" w:cs="Times New Roman"/>
                      <w:b w:val="0"/>
                      <w:i w:val="0"/>
                      <w:color w:val="000000"/>
                      <w:sz w:val="21"/>
                      <w:szCs w:val="21"/>
                    </w:rPr>
                    <w:t>超标率</w:t>
                  </w:r>
                </w:p>
                <w:p w14:paraId="57448DB2">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baseline"/>
                    <w:rPr>
                      <w:rFonts w:hint="default" w:ascii="Times New Roman" w:hAnsi="Times New Roman" w:cs="Times New Roman"/>
                      <w:sz w:val="21"/>
                      <w:szCs w:val="21"/>
                    </w:rPr>
                  </w:pPr>
                  <w:r>
                    <w:rPr>
                      <w:rFonts w:hint="default" w:ascii="Times New Roman" w:hAnsi="Times New Roman" w:eastAsia="宋体" w:cs="Times New Roman"/>
                      <w:b w:val="0"/>
                      <w:i w:val="0"/>
                      <w:color w:val="000000"/>
                      <w:sz w:val="21"/>
                      <w:szCs w:val="21"/>
                    </w:rPr>
                    <w:t>(%)</w:t>
                  </w:r>
                </w:p>
              </w:tc>
              <w:tc>
                <w:tcPr>
                  <w:tcW w:w="528" w:type="pct"/>
                  <w:vAlign w:val="center"/>
                </w:tcPr>
                <w:p w14:paraId="332B4256">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baseline"/>
                    <w:rPr>
                      <w:rFonts w:hint="default" w:ascii="Times New Roman" w:hAnsi="Times New Roman" w:cs="Times New Roman"/>
                      <w:sz w:val="21"/>
                      <w:szCs w:val="21"/>
                    </w:rPr>
                  </w:pPr>
                  <w:r>
                    <w:rPr>
                      <w:rFonts w:hint="default" w:ascii="Times New Roman" w:hAnsi="Times New Roman" w:eastAsia="宋体" w:cs="Times New Roman"/>
                      <w:b w:val="0"/>
                      <w:i w:val="0"/>
                      <w:color w:val="000000"/>
                      <w:sz w:val="21"/>
                      <w:szCs w:val="21"/>
                    </w:rPr>
                    <w:t>达标分析</w:t>
                  </w:r>
                </w:p>
              </w:tc>
            </w:tr>
            <w:tr w14:paraId="3F879D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00" w:hRule="atLeast"/>
                <w:jc w:val="center"/>
              </w:trPr>
              <w:tc>
                <w:tcPr>
                  <w:tcW w:w="1139" w:type="pct"/>
                  <w:vMerge w:val="restart"/>
                  <w:vAlign w:val="center"/>
                </w:tcPr>
                <w:p w14:paraId="01A41399">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baseline"/>
                    <w:rPr>
                      <w:rFonts w:hint="default" w:ascii="Times New Roman" w:hAnsi="Times New Roman" w:eastAsia="宋体" w:cs="Times New Roman"/>
                      <w:b w:val="0"/>
                      <w:i w:val="0"/>
                      <w:color w:val="000000"/>
                      <w:sz w:val="21"/>
                      <w:szCs w:val="21"/>
                    </w:rPr>
                  </w:pPr>
                  <w:r>
                    <w:rPr>
                      <w:rFonts w:hint="default" w:ascii="Times New Roman" w:hAnsi="Times New Roman" w:eastAsia="宋体" w:cs="Times New Roman"/>
                      <w:b w:val="0"/>
                      <w:i w:val="0"/>
                      <w:color w:val="000000"/>
                      <w:sz w:val="21"/>
                      <w:szCs w:val="21"/>
                    </w:rPr>
                    <w:t>1#王方山固村</w:t>
                  </w:r>
                </w:p>
                <w:p w14:paraId="0F004FA9">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baseline"/>
                    <w:rPr>
                      <w:rFonts w:hint="default" w:ascii="Times New Roman" w:hAnsi="Times New Roman" w:eastAsia="宋体" w:cs="Times New Roman"/>
                      <w:b w:val="0"/>
                      <w:i w:val="0"/>
                      <w:color w:val="000000"/>
                      <w:sz w:val="21"/>
                      <w:szCs w:val="21"/>
                    </w:rPr>
                  </w:pPr>
                  <w:r>
                    <w:rPr>
                      <w:rFonts w:hint="default" w:ascii="Times New Roman" w:hAnsi="Times New Roman" w:eastAsia="宋体" w:cs="Times New Roman"/>
                      <w:b w:val="0"/>
                      <w:i w:val="0"/>
                      <w:color w:val="000000"/>
                      <w:sz w:val="21"/>
                      <w:szCs w:val="21"/>
                    </w:rPr>
                    <w:t>2#徐屯村</w:t>
                  </w:r>
                </w:p>
                <w:p w14:paraId="06EB584E">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baseline"/>
                    <w:rPr>
                      <w:rFonts w:hint="default" w:ascii="Times New Roman" w:hAnsi="Times New Roman" w:eastAsia="宋体" w:cs="Times New Roman"/>
                      <w:b w:val="0"/>
                      <w:i w:val="0"/>
                      <w:color w:val="000000"/>
                      <w:sz w:val="21"/>
                      <w:szCs w:val="21"/>
                    </w:rPr>
                  </w:pPr>
                  <w:r>
                    <w:rPr>
                      <w:rFonts w:hint="default" w:ascii="Times New Roman" w:hAnsi="Times New Roman" w:eastAsia="宋体" w:cs="Times New Roman"/>
                      <w:b w:val="0"/>
                      <w:i w:val="0"/>
                      <w:color w:val="000000"/>
                      <w:sz w:val="21"/>
                      <w:szCs w:val="21"/>
                    </w:rPr>
                    <w:t>3#南乐县东湖公园</w:t>
                  </w:r>
                </w:p>
              </w:tc>
              <w:tc>
                <w:tcPr>
                  <w:tcW w:w="530" w:type="pct"/>
                  <w:vAlign w:val="center"/>
                </w:tcPr>
                <w:p w14:paraId="29B79129">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baseline"/>
                    <w:rPr>
                      <w:rFonts w:hint="default" w:ascii="Times New Roman" w:hAnsi="Times New Roman" w:cs="Times New Roman"/>
                      <w:sz w:val="21"/>
                      <w:szCs w:val="21"/>
                    </w:rPr>
                  </w:pPr>
                  <w:r>
                    <w:rPr>
                      <w:rFonts w:hint="default" w:ascii="Times New Roman" w:hAnsi="Times New Roman" w:eastAsia="宋体" w:cs="Times New Roman"/>
                      <w:b w:val="0"/>
                      <w:i w:val="0"/>
                      <w:color w:val="000000"/>
                      <w:sz w:val="21"/>
                      <w:szCs w:val="21"/>
                    </w:rPr>
                    <w:t>H₂S</w:t>
                  </w:r>
                </w:p>
              </w:tc>
              <w:tc>
                <w:tcPr>
                  <w:tcW w:w="608" w:type="pct"/>
                  <w:vAlign w:val="center"/>
                </w:tcPr>
                <w:p w14:paraId="60298591">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baseline"/>
                    <w:rPr>
                      <w:rFonts w:hint="default" w:ascii="Times New Roman" w:hAnsi="Times New Roman" w:cs="Times New Roman"/>
                      <w:sz w:val="21"/>
                      <w:szCs w:val="21"/>
                    </w:rPr>
                  </w:pPr>
                  <w:r>
                    <w:rPr>
                      <w:rFonts w:hint="default" w:ascii="Times New Roman" w:hAnsi="Times New Roman" w:eastAsia="宋体" w:cs="Times New Roman"/>
                      <w:b w:val="0"/>
                      <w:i w:val="0"/>
                      <w:color w:val="000000"/>
                      <w:sz w:val="21"/>
                      <w:szCs w:val="21"/>
                    </w:rPr>
                    <w:t>1小时平均</w:t>
                  </w:r>
                </w:p>
              </w:tc>
              <w:tc>
                <w:tcPr>
                  <w:tcW w:w="605" w:type="pct"/>
                  <w:vAlign w:val="center"/>
                </w:tcPr>
                <w:p w14:paraId="450371CF">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baseline"/>
                    <w:rPr>
                      <w:rFonts w:hint="default" w:ascii="Times New Roman" w:hAnsi="Times New Roman" w:cs="Times New Roman"/>
                      <w:sz w:val="21"/>
                      <w:szCs w:val="21"/>
                    </w:rPr>
                  </w:pPr>
                  <w:r>
                    <w:rPr>
                      <w:rFonts w:hint="default" w:ascii="Times New Roman" w:hAnsi="Times New Roman" w:eastAsia="宋体" w:cs="Times New Roman"/>
                      <w:b w:val="0"/>
                      <w:i w:val="0"/>
                      <w:color w:val="000000"/>
                      <w:sz w:val="21"/>
                      <w:szCs w:val="21"/>
                    </w:rPr>
                    <w:t>未检出</w:t>
                  </w:r>
                </w:p>
              </w:tc>
              <w:tc>
                <w:tcPr>
                  <w:tcW w:w="525" w:type="pct"/>
                  <w:vAlign w:val="center"/>
                </w:tcPr>
                <w:p w14:paraId="295A51FB">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baseline"/>
                    <w:rPr>
                      <w:rFonts w:hint="default" w:ascii="Times New Roman" w:hAnsi="Times New Roman" w:cs="Times New Roman"/>
                      <w:sz w:val="21"/>
                      <w:szCs w:val="21"/>
                    </w:rPr>
                  </w:pPr>
                  <w:r>
                    <w:rPr>
                      <w:rFonts w:hint="default" w:ascii="Times New Roman" w:hAnsi="Times New Roman" w:eastAsia="宋体" w:cs="Times New Roman"/>
                      <w:b w:val="0"/>
                      <w:i w:val="0"/>
                      <w:color w:val="000000"/>
                      <w:sz w:val="21"/>
                      <w:szCs w:val="21"/>
                    </w:rPr>
                    <w:t>0.01</w:t>
                  </w:r>
                </w:p>
              </w:tc>
              <w:tc>
                <w:tcPr>
                  <w:tcW w:w="474" w:type="pct"/>
                  <w:vAlign w:val="center"/>
                </w:tcPr>
                <w:p w14:paraId="537D3E9E">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baseline"/>
                    <w:rPr>
                      <w:rFonts w:hint="default" w:ascii="Times New Roman" w:hAnsi="Times New Roman" w:cs="Times New Roman"/>
                      <w:sz w:val="21"/>
                      <w:szCs w:val="21"/>
                    </w:rPr>
                  </w:pPr>
                  <w:r>
                    <w:rPr>
                      <w:rFonts w:hint="default" w:ascii="Times New Roman" w:hAnsi="Times New Roman" w:eastAsia="宋体" w:cs="Times New Roman"/>
                      <w:b w:val="0"/>
                      <w:i w:val="0"/>
                      <w:color w:val="000000"/>
                      <w:sz w:val="21"/>
                      <w:szCs w:val="21"/>
                    </w:rPr>
                    <w:t>/</w:t>
                  </w:r>
                </w:p>
              </w:tc>
              <w:tc>
                <w:tcPr>
                  <w:tcW w:w="586" w:type="pct"/>
                  <w:vAlign w:val="center"/>
                </w:tcPr>
                <w:p w14:paraId="2F915515">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baseline"/>
                    <w:rPr>
                      <w:rFonts w:hint="default" w:ascii="Times New Roman" w:hAnsi="Times New Roman" w:cs="Times New Roman"/>
                      <w:sz w:val="21"/>
                      <w:szCs w:val="21"/>
                    </w:rPr>
                  </w:pPr>
                  <w:r>
                    <w:rPr>
                      <w:rFonts w:hint="default" w:ascii="Times New Roman" w:hAnsi="Times New Roman" w:eastAsia="宋体" w:cs="Times New Roman"/>
                      <w:b w:val="0"/>
                      <w:i w:val="0"/>
                      <w:color w:val="000000"/>
                      <w:sz w:val="21"/>
                      <w:szCs w:val="21"/>
                    </w:rPr>
                    <w:t>0</w:t>
                  </w:r>
                </w:p>
              </w:tc>
              <w:tc>
                <w:tcPr>
                  <w:tcW w:w="528" w:type="pct"/>
                  <w:vAlign w:val="center"/>
                </w:tcPr>
                <w:p w14:paraId="32B6E908">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baseline"/>
                    <w:rPr>
                      <w:rFonts w:hint="default" w:ascii="Times New Roman" w:hAnsi="Times New Roman" w:cs="Times New Roman"/>
                      <w:sz w:val="21"/>
                      <w:szCs w:val="21"/>
                    </w:rPr>
                  </w:pPr>
                  <w:r>
                    <w:rPr>
                      <w:rFonts w:hint="default" w:ascii="Times New Roman" w:hAnsi="Times New Roman" w:eastAsia="宋体" w:cs="Times New Roman"/>
                      <w:b w:val="0"/>
                      <w:i w:val="0"/>
                      <w:color w:val="000000"/>
                      <w:sz w:val="21"/>
                      <w:szCs w:val="21"/>
                    </w:rPr>
                    <w:t>达标</w:t>
                  </w:r>
                </w:p>
              </w:tc>
            </w:tr>
            <w:tr w14:paraId="0F65FC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00" w:hRule="atLeast"/>
                <w:jc w:val="center"/>
              </w:trPr>
              <w:tc>
                <w:tcPr>
                  <w:tcW w:w="1139" w:type="pct"/>
                  <w:vMerge w:val="continue"/>
                  <w:vAlign w:val="center"/>
                </w:tcPr>
                <w:p w14:paraId="1839160B">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baseline"/>
                    <w:rPr>
                      <w:rFonts w:hint="default" w:ascii="Times New Roman" w:hAnsi="Times New Roman" w:eastAsia="宋体" w:cs="Times New Roman"/>
                      <w:b w:val="0"/>
                      <w:i w:val="0"/>
                      <w:color w:val="000000"/>
                      <w:sz w:val="21"/>
                      <w:szCs w:val="21"/>
                    </w:rPr>
                  </w:pPr>
                </w:p>
              </w:tc>
              <w:tc>
                <w:tcPr>
                  <w:tcW w:w="530" w:type="pct"/>
                  <w:vAlign w:val="center"/>
                </w:tcPr>
                <w:p w14:paraId="2747DF91">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baseline"/>
                    <w:rPr>
                      <w:rFonts w:hint="default" w:ascii="Times New Roman" w:hAnsi="Times New Roman" w:cs="Times New Roman"/>
                      <w:sz w:val="21"/>
                      <w:szCs w:val="21"/>
                    </w:rPr>
                  </w:pPr>
                  <w:r>
                    <w:rPr>
                      <w:rFonts w:hint="default" w:ascii="Times New Roman" w:hAnsi="Times New Roman" w:eastAsia="宋体" w:cs="Times New Roman"/>
                      <w:b w:val="0"/>
                      <w:i w:val="0"/>
                      <w:color w:val="000000"/>
                      <w:sz w:val="21"/>
                      <w:szCs w:val="21"/>
                    </w:rPr>
                    <w:t>NH₃</w:t>
                  </w:r>
                </w:p>
              </w:tc>
              <w:tc>
                <w:tcPr>
                  <w:tcW w:w="608" w:type="pct"/>
                  <w:vAlign w:val="center"/>
                </w:tcPr>
                <w:p w14:paraId="20DAA767">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baseline"/>
                    <w:rPr>
                      <w:rFonts w:hint="default" w:ascii="Times New Roman" w:hAnsi="Times New Roman" w:cs="Times New Roman"/>
                      <w:sz w:val="21"/>
                      <w:szCs w:val="21"/>
                    </w:rPr>
                  </w:pPr>
                  <w:r>
                    <w:rPr>
                      <w:rFonts w:hint="default" w:ascii="Times New Roman" w:hAnsi="Times New Roman" w:eastAsia="宋体" w:cs="Times New Roman"/>
                      <w:b w:val="0"/>
                      <w:i w:val="0"/>
                      <w:color w:val="000000"/>
                      <w:sz w:val="21"/>
                      <w:szCs w:val="21"/>
                    </w:rPr>
                    <w:t>1小时平均</w:t>
                  </w:r>
                </w:p>
              </w:tc>
              <w:tc>
                <w:tcPr>
                  <w:tcW w:w="605" w:type="pct"/>
                  <w:vAlign w:val="center"/>
                </w:tcPr>
                <w:p w14:paraId="200D8AF7">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baseline"/>
                    <w:rPr>
                      <w:rFonts w:hint="default" w:ascii="Times New Roman" w:hAnsi="Times New Roman" w:cs="Times New Roman"/>
                      <w:sz w:val="21"/>
                      <w:szCs w:val="21"/>
                    </w:rPr>
                  </w:pPr>
                  <w:r>
                    <w:rPr>
                      <w:rFonts w:hint="default" w:ascii="Times New Roman" w:hAnsi="Times New Roman" w:eastAsia="宋体" w:cs="Times New Roman"/>
                      <w:b w:val="0"/>
                      <w:i w:val="0"/>
                      <w:color w:val="000000"/>
                      <w:sz w:val="21"/>
                      <w:szCs w:val="21"/>
                    </w:rPr>
                    <w:t>0.02-0.07</w:t>
                  </w:r>
                </w:p>
              </w:tc>
              <w:tc>
                <w:tcPr>
                  <w:tcW w:w="525" w:type="pct"/>
                  <w:vAlign w:val="center"/>
                </w:tcPr>
                <w:p w14:paraId="625F1484">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baseline"/>
                    <w:rPr>
                      <w:rFonts w:hint="default" w:ascii="Times New Roman" w:hAnsi="Times New Roman" w:cs="Times New Roman"/>
                      <w:sz w:val="21"/>
                      <w:szCs w:val="21"/>
                    </w:rPr>
                  </w:pPr>
                  <w:r>
                    <w:rPr>
                      <w:rFonts w:hint="default" w:ascii="Times New Roman" w:hAnsi="Times New Roman" w:eastAsia="宋体" w:cs="Times New Roman"/>
                      <w:b w:val="0"/>
                      <w:i w:val="0"/>
                      <w:color w:val="000000"/>
                      <w:sz w:val="21"/>
                      <w:szCs w:val="21"/>
                    </w:rPr>
                    <w:t>0.20</w:t>
                  </w:r>
                </w:p>
              </w:tc>
              <w:tc>
                <w:tcPr>
                  <w:tcW w:w="474" w:type="pct"/>
                  <w:vAlign w:val="center"/>
                </w:tcPr>
                <w:p w14:paraId="11FEACE2">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baseline"/>
                    <w:rPr>
                      <w:rFonts w:hint="default" w:ascii="Times New Roman" w:hAnsi="Times New Roman" w:cs="Times New Roman"/>
                      <w:sz w:val="21"/>
                      <w:szCs w:val="21"/>
                    </w:rPr>
                  </w:pPr>
                  <w:r>
                    <w:rPr>
                      <w:rFonts w:hint="default" w:ascii="Times New Roman" w:hAnsi="Times New Roman" w:eastAsia="宋体" w:cs="Times New Roman"/>
                      <w:b w:val="0"/>
                      <w:i w:val="0"/>
                      <w:color w:val="000000"/>
                      <w:sz w:val="21"/>
                      <w:szCs w:val="21"/>
                    </w:rPr>
                    <w:t>0.10-0.35</w:t>
                  </w:r>
                </w:p>
              </w:tc>
              <w:tc>
                <w:tcPr>
                  <w:tcW w:w="586" w:type="pct"/>
                  <w:vAlign w:val="center"/>
                </w:tcPr>
                <w:p w14:paraId="1C3FDBBC">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baseline"/>
                    <w:rPr>
                      <w:rFonts w:hint="default" w:ascii="Times New Roman" w:hAnsi="Times New Roman" w:cs="Times New Roman"/>
                      <w:sz w:val="21"/>
                      <w:szCs w:val="21"/>
                    </w:rPr>
                  </w:pPr>
                  <w:r>
                    <w:rPr>
                      <w:rFonts w:hint="default" w:ascii="Times New Roman" w:hAnsi="Times New Roman" w:eastAsia="宋体" w:cs="Times New Roman"/>
                      <w:b w:val="0"/>
                      <w:i w:val="0"/>
                      <w:color w:val="000000"/>
                      <w:sz w:val="21"/>
                      <w:szCs w:val="21"/>
                    </w:rPr>
                    <w:t>0</w:t>
                  </w:r>
                </w:p>
              </w:tc>
              <w:tc>
                <w:tcPr>
                  <w:tcW w:w="528" w:type="pct"/>
                  <w:vAlign w:val="center"/>
                </w:tcPr>
                <w:p w14:paraId="01752448">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baseline"/>
                    <w:rPr>
                      <w:rFonts w:hint="default" w:ascii="Times New Roman" w:hAnsi="Times New Roman" w:cs="Times New Roman"/>
                      <w:sz w:val="21"/>
                      <w:szCs w:val="21"/>
                    </w:rPr>
                  </w:pPr>
                  <w:r>
                    <w:rPr>
                      <w:rFonts w:hint="default" w:ascii="Times New Roman" w:hAnsi="Times New Roman" w:eastAsia="宋体" w:cs="Times New Roman"/>
                      <w:b w:val="0"/>
                      <w:i w:val="0"/>
                      <w:color w:val="000000"/>
                      <w:sz w:val="21"/>
                      <w:szCs w:val="21"/>
                    </w:rPr>
                    <w:t>达标</w:t>
                  </w:r>
                </w:p>
              </w:tc>
            </w:tr>
            <w:tr w14:paraId="2C6F50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80" w:hRule="atLeast"/>
                <w:jc w:val="center"/>
              </w:trPr>
              <w:tc>
                <w:tcPr>
                  <w:tcW w:w="1139" w:type="pct"/>
                  <w:vMerge w:val="continue"/>
                  <w:vAlign w:val="center"/>
                </w:tcPr>
                <w:p w14:paraId="2EB1E234">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baseline"/>
                    <w:rPr>
                      <w:rFonts w:hint="default" w:ascii="Times New Roman" w:hAnsi="Times New Roman" w:eastAsia="宋体" w:cs="Times New Roman"/>
                      <w:b w:val="0"/>
                      <w:i w:val="0"/>
                      <w:color w:val="000000"/>
                      <w:sz w:val="21"/>
                      <w:szCs w:val="21"/>
                    </w:rPr>
                  </w:pPr>
                </w:p>
              </w:tc>
              <w:tc>
                <w:tcPr>
                  <w:tcW w:w="530" w:type="pct"/>
                  <w:vAlign w:val="center"/>
                </w:tcPr>
                <w:p w14:paraId="20CEB75D">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baseline"/>
                    <w:rPr>
                      <w:rFonts w:hint="default" w:ascii="Times New Roman" w:hAnsi="Times New Roman" w:cs="Times New Roman"/>
                      <w:sz w:val="21"/>
                      <w:szCs w:val="21"/>
                    </w:rPr>
                  </w:pPr>
                  <w:r>
                    <w:rPr>
                      <w:rFonts w:hint="default" w:ascii="Times New Roman" w:hAnsi="Times New Roman" w:eastAsia="宋体" w:cs="Times New Roman"/>
                      <w:b w:val="0"/>
                      <w:i w:val="0"/>
                      <w:color w:val="000000"/>
                      <w:sz w:val="21"/>
                      <w:szCs w:val="21"/>
                    </w:rPr>
                    <w:t>非甲烷总烃</w:t>
                  </w:r>
                </w:p>
              </w:tc>
              <w:tc>
                <w:tcPr>
                  <w:tcW w:w="608" w:type="pct"/>
                  <w:vAlign w:val="center"/>
                </w:tcPr>
                <w:p w14:paraId="199DFEE2">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baseline"/>
                    <w:rPr>
                      <w:rFonts w:hint="default" w:ascii="Times New Roman" w:hAnsi="Times New Roman" w:cs="Times New Roman"/>
                      <w:sz w:val="21"/>
                      <w:szCs w:val="21"/>
                    </w:rPr>
                  </w:pPr>
                  <w:r>
                    <w:rPr>
                      <w:rFonts w:hint="default" w:ascii="Times New Roman" w:hAnsi="Times New Roman" w:eastAsia="宋体" w:cs="Times New Roman"/>
                      <w:b w:val="0"/>
                      <w:i w:val="0"/>
                      <w:color w:val="000000"/>
                      <w:sz w:val="21"/>
                      <w:szCs w:val="21"/>
                    </w:rPr>
                    <w:t>1小时平均</w:t>
                  </w:r>
                </w:p>
              </w:tc>
              <w:tc>
                <w:tcPr>
                  <w:tcW w:w="605" w:type="pct"/>
                  <w:vAlign w:val="center"/>
                </w:tcPr>
                <w:p w14:paraId="02C18F2F">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baseline"/>
                    <w:rPr>
                      <w:rFonts w:hint="default" w:ascii="Times New Roman" w:hAnsi="Times New Roman" w:cs="Times New Roman"/>
                      <w:sz w:val="21"/>
                      <w:szCs w:val="21"/>
                    </w:rPr>
                  </w:pPr>
                  <w:r>
                    <w:rPr>
                      <w:rFonts w:hint="default" w:ascii="Times New Roman" w:hAnsi="Times New Roman" w:eastAsia="宋体" w:cs="Times New Roman"/>
                      <w:b w:val="0"/>
                      <w:i w:val="0"/>
                      <w:color w:val="000000"/>
                      <w:sz w:val="21"/>
                      <w:szCs w:val="21"/>
                    </w:rPr>
                    <w:t>0.42-0.80</w:t>
                  </w:r>
                </w:p>
              </w:tc>
              <w:tc>
                <w:tcPr>
                  <w:tcW w:w="525" w:type="pct"/>
                  <w:vAlign w:val="center"/>
                </w:tcPr>
                <w:p w14:paraId="72ECB889">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baseline"/>
                    <w:rPr>
                      <w:rFonts w:hint="default" w:ascii="Times New Roman" w:hAnsi="Times New Roman" w:cs="Times New Roman"/>
                      <w:sz w:val="21"/>
                      <w:szCs w:val="21"/>
                    </w:rPr>
                  </w:pPr>
                  <w:r>
                    <w:rPr>
                      <w:rFonts w:hint="default" w:ascii="Times New Roman" w:hAnsi="Times New Roman" w:eastAsia="宋体" w:cs="Times New Roman"/>
                      <w:b w:val="0"/>
                      <w:i w:val="0"/>
                      <w:color w:val="000000"/>
                      <w:sz w:val="21"/>
                      <w:szCs w:val="21"/>
                    </w:rPr>
                    <w:t>2.0</w:t>
                  </w:r>
                </w:p>
              </w:tc>
              <w:tc>
                <w:tcPr>
                  <w:tcW w:w="474" w:type="pct"/>
                  <w:vAlign w:val="center"/>
                </w:tcPr>
                <w:p w14:paraId="0F1F3EC6">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baseline"/>
                    <w:rPr>
                      <w:rFonts w:hint="default" w:ascii="Times New Roman" w:hAnsi="Times New Roman" w:cs="Times New Roman"/>
                      <w:sz w:val="21"/>
                      <w:szCs w:val="21"/>
                    </w:rPr>
                  </w:pPr>
                  <w:r>
                    <w:rPr>
                      <w:rFonts w:hint="default" w:ascii="Times New Roman" w:hAnsi="Times New Roman" w:eastAsia="宋体" w:cs="Times New Roman"/>
                      <w:b w:val="0"/>
                      <w:i w:val="0"/>
                      <w:color w:val="000000"/>
                      <w:sz w:val="21"/>
                      <w:szCs w:val="21"/>
                    </w:rPr>
                    <w:t>0.21-0.40</w:t>
                  </w:r>
                </w:p>
              </w:tc>
              <w:tc>
                <w:tcPr>
                  <w:tcW w:w="586" w:type="pct"/>
                  <w:vAlign w:val="center"/>
                </w:tcPr>
                <w:p w14:paraId="21D30766">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baseline"/>
                    <w:rPr>
                      <w:rFonts w:hint="default" w:ascii="Times New Roman" w:hAnsi="Times New Roman" w:cs="Times New Roman"/>
                      <w:sz w:val="21"/>
                      <w:szCs w:val="21"/>
                    </w:rPr>
                  </w:pPr>
                  <w:r>
                    <w:rPr>
                      <w:rFonts w:hint="default" w:ascii="Times New Roman" w:hAnsi="Times New Roman" w:eastAsia="宋体" w:cs="Times New Roman"/>
                      <w:b w:val="0"/>
                      <w:i w:val="0"/>
                      <w:color w:val="000000"/>
                      <w:sz w:val="21"/>
                      <w:szCs w:val="21"/>
                    </w:rPr>
                    <w:t>0</w:t>
                  </w:r>
                </w:p>
              </w:tc>
              <w:tc>
                <w:tcPr>
                  <w:tcW w:w="528" w:type="pct"/>
                  <w:vAlign w:val="center"/>
                </w:tcPr>
                <w:p w14:paraId="672A0A89">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baseline"/>
                    <w:rPr>
                      <w:rFonts w:hint="default" w:ascii="Times New Roman" w:hAnsi="Times New Roman" w:cs="Times New Roman"/>
                      <w:sz w:val="21"/>
                      <w:szCs w:val="21"/>
                    </w:rPr>
                  </w:pPr>
                  <w:r>
                    <w:rPr>
                      <w:rFonts w:hint="default" w:ascii="Times New Roman" w:hAnsi="Times New Roman" w:eastAsia="宋体" w:cs="Times New Roman"/>
                      <w:b w:val="0"/>
                      <w:i w:val="0"/>
                      <w:color w:val="000000"/>
                      <w:sz w:val="21"/>
                      <w:szCs w:val="21"/>
                    </w:rPr>
                    <w:t>达标</w:t>
                  </w:r>
                </w:p>
              </w:tc>
            </w:tr>
            <w:tr w14:paraId="6DEE44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80" w:hRule="atLeast"/>
                <w:jc w:val="center"/>
              </w:trPr>
              <w:tc>
                <w:tcPr>
                  <w:tcW w:w="1139" w:type="pct"/>
                  <w:vMerge w:val="restart"/>
                  <w:vAlign w:val="center"/>
                </w:tcPr>
                <w:p w14:paraId="5436507C">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baseline"/>
                    <w:rPr>
                      <w:rFonts w:hint="default" w:ascii="Times New Roman" w:hAnsi="Times New Roman" w:eastAsia="宋体" w:cs="Times New Roman"/>
                      <w:b w:val="0"/>
                      <w:i w:val="0"/>
                      <w:color w:val="000000"/>
                      <w:sz w:val="21"/>
                      <w:szCs w:val="21"/>
                    </w:rPr>
                  </w:pPr>
                  <w:r>
                    <w:rPr>
                      <w:rFonts w:hint="default" w:ascii="Times New Roman" w:hAnsi="Times New Roman" w:eastAsia="宋体" w:cs="Times New Roman"/>
                      <w:b w:val="0"/>
                      <w:i w:val="0"/>
                      <w:color w:val="000000"/>
                      <w:sz w:val="21"/>
                      <w:szCs w:val="21"/>
                    </w:rPr>
                    <w:t>南乐县公共租赁房</w:t>
                  </w:r>
                </w:p>
              </w:tc>
              <w:tc>
                <w:tcPr>
                  <w:tcW w:w="530" w:type="pct"/>
                  <w:shd w:val="clear" w:color="auto" w:fill="auto"/>
                  <w:vAlign w:val="center"/>
                </w:tcPr>
                <w:p w14:paraId="6C5400AB">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i w:val="0"/>
                      <w:color w:val="000000"/>
                      <w:sz w:val="21"/>
                      <w:szCs w:val="21"/>
                    </w:rPr>
                    <w:t>H₂S</w:t>
                  </w:r>
                </w:p>
              </w:tc>
              <w:tc>
                <w:tcPr>
                  <w:tcW w:w="608" w:type="pct"/>
                  <w:vAlign w:val="center"/>
                </w:tcPr>
                <w:p w14:paraId="6D32668A">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baseline"/>
                    <w:rPr>
                      <w:rFonts w:hint="default" w:ascii="Times New Roman" w:hAnsi="Times New Roman" w:eastAsia="宋体" w:cs="Times New Roman"/>
                      <w:b w:val="0"/>
                      <w:i w:val="0"/>
                      <w:color w:val="000000"/>
                      <w:sz w:val="21"/>
                      <w:szCs w:val="21"/>
                    </w:rPr>
                  </w:pPr>
                  <w:r>
                    <w:rPr>
                      <w:rFonts w:hint="default" w:ascii="Times New Roman" w:hAnsi="Times New Roman" w:eastAsia="宋体" w:cs="Times New Roman"/>
                      <w:b w:val="0"/>
                      <w:i w:val="0"/>
                      <w:color w:val="000000"/>
                      <w:sz w:val="21"/>
                      <w:szCs w:val="21"/>
                    </w:rPr>
                    <w:t>1小时平均</w:t>
                  </w:r>
                </w:p>
              </w:tc>
              <w:tc>
                <w:tcPr>
                  <w:tcW w:w="605" w:type="pct"/>
                  <w:vAlign w:val="center"/>
                </w:tcPr>
                <w:p w14:paraId="701D5B39">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baseline"/>
                    <w:rPr>
                      <w:rFonts w:hint="default" w:ascii="Times New Roman" w:hAnsi="Times New Roman" w:eastAsia="宋体" w:cs="Times New Roman"/>
                      <w:b w:val="0"/>
                      <w:i w:val="0"/>
                      <w:color w:val="000000"/>
                      <w:sz w:val="21"/>
                      <w:szCs w:val="21"/>
                    </w:rPr>
                  </w:pPr>
                  <w:r>
                    <w:rPr>
                      <w:rFonts w:hint="default" w:ascii="Times New Roman" w:hAnsi="Times New Roman" w:eastAsia="宋体" w:cs="Times New Roman"/>
                      <w:b w:val="0"/>
                      <w:i w:val="0"/>
                      <w:color w:val="000000"/>
                      <w:sz w:val="21"/>
                      <w:szCs w:val="21"/>
                    </w:rPr>
                    <w:t>0.002-0.005</w:t>
                  </w:r>
                </w:p>
              </w:tc>
              <w:tc>
                <w:tcPr>
                  <w:tcW w:w="525" w:type="pct"/>
                  <w:vAlign w:val="center"/>
                </w:tcPr>
                <w:p w14:paraId="63AEF6E1">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baseline"/>
                    <w:rPr>
                      <w:rFonts w:hint="default" w:ascii="Times New Roman" w:hAnsi="Times New Roman" w:eastAsia="宋体" w:cs="Times New Roman"/>
                      <w:b w:val="0"/>
                      <w:i w:val="0"/>
                      <w:color w:val="000000"/>
                      <w:sz w:val="21"/>
                      <w:szCs w:val="21"/>
                    </w:rPr>
                  </w:pPr>
                  <w:r>
                    <w:rPr>
                      <w:rFonts w:hint="default" w:ascii="Times New Roman" w:hAnsi="Times New Roman" w:eastAsia="宋体" w:cs="Times New Roman"/>
                      <w:b w:val="0"/>
                      <w:i w:val="0"/>
                      <w:color w:val="000000"/>
                      <w:sz w:val="21"/>
                      <w:szCs w:val="21"/>
                    </w:rPr>
                    <w:t>0.01</w:t>
                  </w:r>
                </w:p>
              </w:tc>
              <w:tc>
                <w:tcPr>
                  <w:tcW w:w="474" w:type="pct"/>
                  <w:vAlign w:val="center"/>
                </w:tcPr>
                <w:p w14:paraId="2FC9A687">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baseline"/>
                    <w:rPr>
                      <w:rFonts w:hint="default" w:ascii="Times New Roman" w:hAnsi="Times New Roman" w:eastAsia="宋体" w:cs="Times New Roman"/>
                      <w:b w:val="0"/>
                      <w:i w:val="0"/>
                      <w:color w:val="000000"/>
                      <w:sz w:val="21"/>
                      <w:szCs w:val="21"/>
                    </w:rPr>
                  </w:pPr>
                </w:p>
              </w:tc>
              <w:tc>
                <w:tcPr>
                  <w:tcW w:w="586" w:type="pct"/>
                  <w:vAlign w:val="center"/>
                </w:tcPr>
                <w:p w14:paraId="38CDCF7B">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baseline"/>
                    <w:rPr>
                      <w:rFonts w:hint="default" w:ascii="Times New Roman" w:hAnsi="Times New Roman" w:eastAsia="宋体" w:cs="Times New Roman"/>
                      <w:b w:val="0"/>
                      <w:i w:val="0"/>
                      <w:color w:val="000000"/>
                      <w:sz w:val="21"/>
                      <w:szCs w:val="21"/>
                    </w:rPr>
                  </w:pPr>
                  <w:r>
                    <w:rPr>
                      <w:rFonts w:hint="default" w:ascii="Times New Roman" w:hAnsi="Times New Roman" w:eastAsia="宋体" w:cs="Times New Roman"/>
                      <w:b w:val="0"/>
                      <w:i w:val="0"/>
                      <w:color w:val="000000"/>
                      <w:sz w:val="21"/>
                      <w:szCs w:val="21"/>
                    </w:rPr>
                    <w:t>0</w:t>
                  </w:r>
                </w:p>
              </w:tc>
              <w:tc>
                <w:tcPr>
                  <w:tcW w:w="528" w:type="pct"/>
                  <w:shd w:val="clear" w:color="auto" w:fill="auto"/>
                  <w:vAlign w:val="center"/>
                </w:tcPr>
                <w:p w14:paraId="617734F9">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i w:val="0"/>
                      <w:color w:val="000000"/>
                      <w:sz w:val="21"/>
                      <w:szCs w:val="21"/>
                    </w:rPr>
                    <w:t>达标</w:t>
                  </w:r>
                </w:p>
              </w:tc>
            </w:tr>
            <w:tr w14:paraId="1BCACB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80" w:hRule="atLeast"/>
                <w:jc w:val="center"/>
              </w:trPr>
              <w:tc>
                <w:tcPr>
                  <w:tcW w:w="1139" w:type="pct"/>
                  <w:vMerge w:val="continue"/>
                  <w:vAlign w:val="center"/>
                </w:tcPr>
                <w:p w14:paraId="3EBB1D9A">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baseline"/>
                    <w:rPr>
                      <w:rFonts w:hint="default" w:ascii="Times New Roman" w:hAnsi="Times New Roman" w:eastAsia="宋体" w:cs="Times New Roman"/>
                      <w:b w:val="0"/>
                      <w:i w:val="0"/>
                      <w:color w:val="000000"/>
                      <w:sz w:val="21"/>
                      <w:szCs w:val="21"/>
                    </w:rPr>
                  </w:pPr>
                </w:p>
              </w:tc>
              <w:tc>
                <w:tcPr>
                  <w:tcW w:w="530" w:type="pct"/>
                  <w:shd w:val="clear" w:color="auto" w:fill="auto"/>
                  <w:vAlign w:val="center"/>
                </w:tcPr>
                <w:p w14:paraId="64166CE7">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i w:val="0"/>
                      <w:color w:val="000000"/>
                      <w:sz w:val="21"/>
                      <w:szCs w:val="21"/>
                    </w:rPr>
                    <w:t>NH₃</w:t>
                  </w:r>
                </w:p>
              </w:tc>
              <w:tc>
                <w:tcPr>
                  <w:tcW w:w="608" w:type="pct"/>
                  <w:vAlign w:val="center"/>
                </w:tcPr>
                <w:p w14:paraId="39092199">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baseline"/>
                    <w:rPr>
                      <w:rFonts w:hint="default" w:ascii="Times New Roman" w:hAnsi="Times New Roman" w:eastAsia="宋体" w:cs="Times New Roman"/>
                      <w:b w:val="0"/>
                      <w:i w:val="0"/>
                      <w:color w:val="000000"/>
                      <w:sz w:val="21"/>
                      <w:szCs w:val="21"/>
                    </w:rPr>
                  </w:pPr>
                  <w:r>
                    <w:rPr>
                      <w:rFonts w:hint="default" w:ascii="Times New Roman" w:hAnsi="Times New Roman" w:eastAsia="宋体" w:cs="Times New Roman"/>
                      <w:b w:val="0"/>
                      <w:i w:val="0"/>
                      <w:color w:val="000000"/>
                      <w:sz w:val="21"/>
                      <w:szCs w:val="21"/>
                    </w:rPr>
                    <w:t>1小时平均</w:t>
                  </w:r>
                </w:p>
              </w:tc>
              <w:tc>
                <w:tcPr>
                  <w:tcW w:w="605" w:type="pct"/>
                  <w:vAlign w:val="center"/>
                </w:tcPr>
                <w:p w14:paraId="5FFC1C99">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baseline"/>
                    <w:rPr>
                      <w:rFonts w:hint="default" w:ascii="Times New Roman" w:hAnsi="Times New Roman" w:eastAsia="宋体" w:cs="Times New Roman"/>
                      <w:b w:val="0"/>
                      <w:i w:val="0"/>
                      <w:color w:val="000000"/>
                      <w:sz w:val="21"/>
                      <w:szCs w:val="21"/>
                    </w:rPr>
                  </w:pPr>
                  <w:r>
                    <w:rPr>
                      <w:rFonts w:hint="default" w:ascii="Times New Roman" w:hAnsi="Times New Roman" w:eastAsia="宋体" w:cs="Times New Roman"/>
                      <w:b w:val="0"/>
                      <w:i w:val="0"/>
                      <w:color w:val="000000"/>
                      <w:sz w:val="21"/>
                      <w:szCs w:val="21"/>
                    </w:rPr>
                    <w:t>0.07-0.13</w:t>
                  </w:r>
                </w:p>
              </w:tc>
              <w:tc>
                <w:tcPr>
                  <w:tcW w:w="525" w:type="pct"/>
                  <w:vAlign w:val="center"/>
                </w:tcPr>
                <w:p w14:paraId="653FB43F">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baseline"/>
                    <w:rPr>
                      <w:rFonts w:hint="default" w:ascii="Times New Roman" w:hAnsi="Times New Roman" w:eastAsia="宋体" w:cs="Times New Roman"/>
                      <w:b w:val="0"/>
                      <w:i w:val="0"/>
                      <w:color w:val="000000"/>
                      <w:sz w:val="21"/>
                      <w:szCs w:val="21"/>
                    </w:rPr>
                  </w:pPr>
                  <w:r>
                    <w:rPr>
                      <w:rFonts w:hint="default" w:ascii="Times New Roman" w:hAnsi="Times New Roman" w:eastAsia="宋体" w:cs="Times New Roman"/>
                      <w:b w:val="0"/>
                      <w:i w:val="0"/>
                      <w:color w:val="000000"/>
                      <w:sz w:val="21"/>
                      <w:szCs w:val="21"/>
                    </w:rPr>
                    <w:t>0.20</w:t>
                  </w:r>
                </w:p>
              </w:tc>
              <w:tc>
                <w:tcPr>
                  <w:tcW w:w="474" w:type="pct"/>
                  <w:vAlign w:val="center"/>
                </w:tcPr>
                <w:p w14:paraId="4F3915EF">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baseline"/>
                    <w:rPr>
                      <w:rFonts w:hint="default" w:ascii="Times New Roman" w:hAnsi="Times New Roman" w:eastAsia="宋体" w:cs="Times New Roman"/>
                      <w:b w:val="0"/>
                      <w:i w:val="0"/>
                      <w:color w:val="000000"/>
                      <w:sz w:val="21"/>
                      <w:szCs w:val="21"/>
                    </w:rPr>
                  </w:pPr>
                </w:p>
              </w:tc>
              <w:tc>
                <w:tcPr>
                  <w:tcW w:w="586" w:type="pct"/>
                  <w:vAlign w:val="center"/>
                </w:tcPr>
                <w:p w14:paraId="1E836B6D">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baseline"/>
                    <w:rPr>
                      <w:rFonts w:hint="default" w:ascii="Times New Roman" w:hAnsi="Times New Roman" w:eastAsia="宋体" w:cs="Times New Roman"/>
                      <w:b w:val="0"/>
                      <w:i w:val="0"/>
                      <w:color w:val="000000"/>
                      <w:sz w:val="21"/>
                      <w:szCs w:val="21"/>
                    </w:rPr>
                  </w:pPr>
                  <w:r>
                    <w:rPr>
                      <w:rFonts w:hint="default" w:ascii="Times New Roman" w:hAnsi="Times New Roman" w:eastAsia="宋体" w:cs="Times New Roman"/>
                      <w:b w:val="0"/>
                      <w:i w:val="0"/>
                      <w:color w:val="000000"/>
                      <w:sz w:val="21"/>
                      <w:szCs w:val="21"/>
                    </w:rPr>
                    <w:t>0</w:t>
                  </w:r>
                </w:p>
              </w:tc>
              <w:tc>
                <w:tcPr>
                  <w:tcW w:w="528" w:type="pct"/>
                  <w:shd w:val="clear" w:color="auto" w:fill="auto"/>
                  <w:vAlign w:val="center"/>
                </w:tcPr>
                <w:p w14:paraId="62EDDC5D">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baseline"/>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i w:val="0"/>
                      <w:color w:val="000000"/>
                      <w:sz w:val="21"/>
                      <w:szCs w:val="21"/>
                    </w:rPr>
                    <w:t>达标</w:t>
                  </w:r>
                </w:p>
              </w:tc>
            </w:tr>
          </w:tbl>
          <w:p w14:paraId="7731EB18">
            <w:pPr>
              <w:pStyle w:val="9"/>
            </w:pPr>
            <w:r>
              <w:rPr>
                <w:rFonts w:hint="eastAsia"/>
              </w:rPr>
              <w:t>监测结果表明，</w:t>
            </w:r>
            <w:r>
              <w:rPr>
                <w:rFonts w:hint="eastAsia"/>
                <w:lang w:val="en-US" w:eastAsia="zh-CN"/>
              </w:rPr>
              <w:t>四</w:t>
            </w:r>
            <w:r>
              <w:rPr>
                <w:rFonts w:hint="eastAsia"/>
              </w:rPr>
              <w:t>个监测点的非甲烷总烃、氨气、硫化氢的1小时值均满足《环境影响评价技术导则大气环境》（HJ2.2-2018）附录D中标准限值要求。由监测结果可知，项目所在区域属于环境空气不达标区域；项目特征因子非甲烷总烃、氨气、硫化氢一次浓度值可以满足《环境影响评价技术导则大气环境》（HJ2.2-2018）附录D中标准限值要求。</w:t>
            </w:r>
          </w:p>
          <w:p w14:paraId="5CDCED04">
            <w:pPr>
              <w:keepNext w:val="0"/>
              <w:keepLines w:val="0"/>
              <w:pageBreakBefore w:val="0"/>
              <w:widowControl w:val="0"/>
              <w:kinsoku/>
              <w:wordWrap w:val="0"/>
              <w:overflowPunct/>
              <w:topLinePunct w:val="0"/>
              <w:autoSpaceDE/>
              <w:autoSpaceDN/>
              <w:bidi w:val="0"/>
              <w:adjustRightInd/>
              <w:snapToGrid/>
              <w:ind w:firstLine="0" w:firstLineChars="0"/>
              <w:textAlignment w:val="auto"/>
              <w:rPr>
                <w:b/>
                <w:bCs/>
                <w:color w:val="auto"/>
              </w:rPr>
            </w:pPr>
            <w:r>
              <w:rPr>
                <w:b/>
                <w:bCs/>
                <w:color w:val="auto"/>
              </w:rPr>
              <w:t>二、地表水环境质量现状调查与评价</w:t>
            </w:r>
          </w:p>
          <w:p w14:paraId="4B36F89C">
            <w:pPr>
              <w:ind w:firstLine="480"/>
              <w:rPr>
                <w:color w:val="auto"/>
              </w:rPr>
            </w:pPr>
            <w:r>
              <w:rPr>
                <w:rFonts w:hint="eastAsia"/>
                <w:color w:val="auto"/>
              </w:rPr>
              <w:t>本项目位于濮阳市南乐县</w:t>
            </w:r>
            <w:r>
              <w:rPr>
                <w:rFonts w:hint="eastAsia"/>
                <w:color w:val="auto"/>
                <w:lang w:val="en-US" w:eastAsia="zh-CN"/>
              </w:rPr>
              <w:t>鸿宇路5号</w:t>
            </w:r>
            <w:r>
              <w:rPr>
                <w:rFonts w:hint="eastAsia"/>
                <w:color w:val="auto"/>
              </w:rPr>
              <w:t>，在</w:t>
            </w:r>
            <w:r>
              <w:rPr>
                <w:rFonts w:hint="eastAsia"/>
                <w:color w:val="auto"/>
                <w:lang w:eastAsia="zh-CN"/>
              </w:rPr>
              <w:t>南乐县先进制造业开发区</w:t>
            </w:r>
            <w:r>
              <w:rPr>
                <w:rFonts w:hint="eastAsia"/>
                <w:color w:val="auto"/>
              </w:rPr>
              <w:t>范围内，项目废水经厂内污水处理站处理后经管网排入南乐县污水处理厂进一步处理，处理后废水由永顺沟排入徒骇河。</w:t>
            </w:r>
            <w:r>
              <w:rPr>
                <w:color w:val="auto"/>
                <w:kern w:val="0"/>
                <w:lang w:bidi="ar"/>
              </w:rPr>
              <w:t>本次评价采用《濮阳市环境质量月报》2023年第1期～第12期公布的徒骇河寨肖家村断面监测数据说明地表水质量现状，监测断面设置及监测因子见</w:t>
            </w:r>
            <w:r>
              <w:rPr>
                <w:rFonts w:hint="eastAsia"/>
                <w:color w:val="auto"/>
                <w:kern w:val="0"/>
                <w:lang w:bidi="ar"/>
              </w:rPr>
              <w:t>下表</w:t>
            </w:r>
            <w:r>
              <w:rPr>
                <w:color w:val="auto"/>
                <w:kern w:val="0"/>
                <w:lang w:bidi="ar"/>
              </w:rPr>
              <w:t>。</w:t>
            </w:r>
          </w:p>
          <w:p w14:paraId="4F56315B">
            <w:pPr>
              <w:keepNext w:val="0"/>
              <w:keepLines w:val="0"/>
              <w:pageBreakBefore w:val="0"/>
              <w:widowControl w:val="0"/>
              <w:numPr>
                <w:ilvl w:val="0"/>
                <w:numId w:val="7"/>
              </w:numPr>
              <w:kinsoku/>
              <w:wordWrap w:val="0"/>
              <w:overflowPunct/>
              <w:topLinePunct w:val="0"/>
              <w:autoSpaceDE/>
              <w:autoSpaceDN/>
              <w:bidi w:val="0"/>
              <w:adjustRightInd/>
              <w:snapToGrid/>
              <w:spacing w:line="240" w:lineRule="auto"/>
              <w:ind w:left="425" w:leftChars="0" w:hanging="425" w:firstLineChars="0"/>
              <w:jc w:val="center"/>
              <w:textAlignment w:val="auto"/>
              <w:rPr>
                <w:rFonts w:hint="eastAsia" w:ascii="Times New Roman" w:hAnsi="Times New Roman" w:eastAsia="宋体" w:cs="Times New Roman"/>
                <w:b/>
                <w:bCs/>
                <w:color w:val="auto"/>
                <w:sz w:val="21"/>
                <w:szCs w:val="21"/>
                <w:u w:val="none"/>
                <w:lang w:val="en-GB"/>
              </w:rPr>
            </w:pPr>
            <w:r>
              <w:rPr>
                <w:rFonts w:hint="eastAsia" w:ascii="Times New Roman" w:hAnsi="Times New Roman" w:eastAsia="宋体" w:cs="Times New Roman"/>
                <w:b/>
                <w:bCs/>
                <w:color w:val="auto"/>
                <w:sz w:val="21"/>
                <w:szCs w:val="21"/>
                <w:u w:val="none"/>
                <w:lang w:val="en-GB"/>
              </w:rPr>
              <w:t>2023年地表水徒骇河寨肖家村断面监测数据单位：mg/L</w:t>
            </w:r>
          </w:p>
          <w:tbl>
            <w:tblPr>
              <w:tblStyle w:val="20"/>
              <w:tblW w:w="4956" w:type="pct"/>
              <w:jc w:val="center"/>
              <w:tblLayout w:type="autofit"/>
              <w:tblCellMar>
                <w:top w:w="0" w:type="dxa"/>
                <w:left w:w="0" w:type="dxa"/>
                <w:bottom w:w="0" w:type="dxa"/>
                <w:right w:w="0" w:type="dxa"/>
              </w:tblCellMar>
            </w:tblPr>
            <w:tblGrid>
              <w:gridCol w:w="1324"/>
              <w:gridCol w:w="1172"/>
              <w:gridCol w:w="1174"/>
              <w:gridCol w:w="1174"/>
              <w:gridCol w:w="1175"/>
              <w:gridCol w:w="1176"/>
              <w:gridCol w:w="1176"/>
            </w:tblGrid>
            <w:tr w14:paraId="4EFB51D6">
              <w:tblPrEx>
                <w:tblCellMar>
                  <w:top w:w="0" w:type="dxa"/>
                  <w:left w:w="0" w:type="dxa"/>
                  <w:bottom w:w="0" w:type="dxa"/>
                  <w:right w:w="0" w:type="dxa"/>
                </w:tblCellMar>
              </w:tblPrEx>
              <w:trPr>
                <w:trHeight w:val="397"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C48B7">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监测因子</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D5727">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监测时间</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846B3">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监测结果</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E5629">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标准</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E3819">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标准指数</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248F2">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超标倍数</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A2207">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是否达标</w:t>
                  </w:r>
                </w:p>
              </w:tc>
            </w:tr>
            <w:tr w14:paraId="669E0851">
              <w:tblPrEx>
                <w:tblCellMar>
                  <w:top w:w="0" w:type="dxa"/>
                  <w:left w:w="0" w:type="dxa"/>
                  <w:bottom w:w="0" w:type="dxa"/>
                  <w:right w:w="0" w:type="dxa"/>
                </w:tblCellMar>
              </w:tblPrEx>
              <w:trPr>
                <w:trHeight w:val="397"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D7985">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高锰酸盐指数</w:t>
                  </w:r>
                </w:p>
              </w:tc>
              <w:tc>
                <w:tcPr>
                  <w:tcW w:w="11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3BF5BA">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2023年1月</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1303A">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5.9</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062A1">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≤10</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4EDEA">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0.59</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80F6F">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2DB35">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达标</w:t>
                  </w:r>
                </w:p>
              </w:tc>
            </w:tr>
            <w:tr w14:paraId="2F22450A">
              <w:tblPrEx>
                <w:tblCellMar>
                  <w:top w:w="0" w:type="dxa"/>
                  <w:left w:w="0" w:type="dxa"/>
                  <w:bottom w:w="0" w:type="dxa"/>
                  <w:right w:w="0" w:type="dxa"/>
                </w:tblCellMar>
              </w:tblPrEx>
              <w:trPr>
                <w:trHeight w:val="397"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DD2A7">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NH</w:t>
                  </w:r>
                  <w:r>
                    <w:rPr>
                      <w:rFonts w:eastAsia="等线"/>
                      <w:color w:val="auto"/>
                      <w:sz w:val="21"/>
                      <w:szCs w:val="21"/>
                      <w:vertAlign w:val="subscript"/>
                      <w:lang w:bidi="ar"/>
                    </w:rPr>
                    <w:t>3</w:t>
                  </w:r>
                  <w:r>
                    <w:rPr>
                      <w:rFonts w:eastAsia="等线"/>
                      <w:color w:val="auto"/>
                      <w:sz w:val="21"/>
                      <w:szCs w:val="21"/>
                      <w:lang w:bidi="ar"/>
                    </w:rPr>
                    <w:t>-N</w:t>
                  </w:r>
                </w:p>
              </w:tc>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5E9745">
                  <w:pPr>
                    <w:widowControl/>
                    <w:spacing w:line="240" w:lineRule="auto"/>
                    <w:ind w:firstLine="0" w:firstLineChars="0"/>
                    <w:jc w:val="center"/>
                    <w:rPr>
                      <w:rFonts w:eastAsia="等线"/>
                      <w:color w:val="auto"/>
                      <w:sz w:val="21"/>
                      <w:szCs w:val="21"/>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D5115">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1</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3E87B">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≤1.5</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685A6">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0.67</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840F8">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27DB8">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达标</w:t>
                  </w:r>
                </w:p>
              </w:tc>
            </w:tr>
            <w:tr w14:paraId="4A7CF497">
              <w:tblPrEx>
                <w:tblCellMar>
                  <w:top w:w="0" w:type="dxa"/>
                  <w:left w:w="0" w:type="dxa"/>
                  <w:bottom w:w="0" w:type="dxa"/>
                  <w:right w:w="0" w:type="dxa"/>
                </w:tblCellMar>
              </w:tblPrEx>
              <w:trPr>
                <w:trHeight w:val="397"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E72CC">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总磷</w:t>
                  </w:r>
                </w:p>
              </w:tc>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7BDE4B">
                  <w:pPr>
                    <w:widowControl/>
                    <w:spacing w:line="240" w:lineRule="auto"/>
                    <w:ind w:firstLine="0" w:firstLineChars="0"/>
                    <w:jc w:val="center"/>
                    <w:rPr>
                      <w:rFonts w:eastAsia="等线"/>
                      <w:color w:val="auto"/>
                      <w:sz w:val="21"/>
                      <w:szCs w:val="21"/>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2040F">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0.05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582D0">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≤0.3</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A3361">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0.167</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21AB9">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3FECE">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达标</w:t>
                  </w:r>
                </w:p>
              </w:tc>
            </w:tr>
            <w:tr w14:paraId="185A1FDA">
              <w:tblPrEx>
                <w:tblCellMar>
                  <w:top w:w="0" w:type="dxa"/>
                  <w:left w:w="0" w:type="dxa"/>
                  <w:bottom w:w="0" w:type="dxa"/>
                  <w:right w:w="0" w:type="dxa"/>
                </w:tblCellMar>
              </w:tblPrEx>
              <w:trPr>
                <w:trHeight w:val="397"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1D581">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高锰酸盐指数</w:t>
                  </w:r>
                </w:p>
              </w:tc>
              <w:tc>
                <w:tcPr>
                  <w:tcW w:w="11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A19190">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2023年2月</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BF7CF">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4.9</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5965B">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≤10</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86596">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0.49</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CE497">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869F8">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达标</w:t>
                  </w:r>
                </w:p>
              </w:tc>
            </w:tr>
            <w:tr w14:paraId="21F1E5C0">
              <w:tblPrEx>
                <w:tblCellMar>
                  <w:top w:w="0" w:type="dxa"/>
                  <w:left w:w="0" w:type="dxa"/>
                  <w:bottom w:w="0" w:type="dxa"/>
                  <w:right w:w="0" w:type="dxa"/>
                </w:tblCellMar>
              </w:tblPrEx>
              <w:trPr>
                <w:trHeight w:val="397"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18E7E">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NH</w:t>
                  </w:r>
                  <w:r>
                    <w:rPr>
                      <w:rFonts w:eastAsia="等线"/>
                      <w:color w:val="auto"/>
                      <w:sz w:val="21"/>
                      <w:szCs w:val="21"/>
                      <w:vertAlign w:val="subscript"/>
                      <w:lang w:bidi="ar"/>
                    </w:rPr>
                    <w:t>3</w:t>
                  </w:r>
                  <w:r>
                    <w:rPr>
                      <w:rFonts w:eastAsia="等线"/>
                      <w:color w:val="auto"/>
                      <w:sz w:val="21"/>
                      <w:szCs w:val="21"/>
                      <w:lang w:bidi="ar"/>
                    </w:rPr>
                    <w:t>-N</w:t>
                  </w:r>
                </w:p>
              </w:tc>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E01F3A">
                  <w:pPr>
                    <w:widowControl/>
                    <w:spacing w:line="240" w:lineRule="auto"/>
                    <w:ind w:firstLine="0" w:firstLineChars="0"/>
                    <w:jc w:val="center"/>
                    <w:rPr>
                      <w:rFonts w:eastAsia="等线"/>
                      <w:color w:val="auto"/>
                      <w:sz w:val="21"/>
                      <w:szCs w:val="21"/>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DEE5C">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0.48</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7665E">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≤1.5</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B89A6">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0.32</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A2291">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511CF">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达标</w:t>
                  </w:r>
                </w:p>
              </w:tc>
            </w:tr>
            <w:tr w14:paraId="237D8B1F">
              <w:tblPrEx>
                <w:tblCellMar>
                  <w:top w:w="0" w:type="dxa"/>
                  <w:left w:w="0" w:type="dxa"/>
                  <w:bottom w:w="0" w:type="dxa"/>
                  <w:right w:w="0" w:type="dxa"/>
                </w:tblCellMar>
              </w:tblPrEx>
              <w:trPr>
                <w:trHeight w:val="397"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6B950">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总磷</w:t>
                  </w:r>
                </w:p>
              </w:tc>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472447">
                  <w:pPr>
                    <w:widowControl/>
                    <w:spacing w:line="240" w:lineRule="auto"/>
                    <w:ind w:firstLine="0" w:firstLineChars="0"/>
                    <w:jc w:val="center"/>
                    <w:rPr>
                      <w:rFonts w:eastAsia="等线"/>
                      <w:color w:val="auto"/>
                      <w:sz w:val="21"/>
                      <w:szCs w:val="21"/>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E6256">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0.07</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24F83">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≤0.3</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AAD60">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0.23</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9CF88">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73ACF">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达标</w:t>
                  </w:r>
                </w:p>
              </w:tc>
            </w:tr>
            <w:tr w14:paraId="7163575C">
              <w:tblPrEx>
                <w:tblCellMar>
                  <w:top w:w="0" w:type="dxa"/>
                  <w:left w:w="0" w:type="dxa"/>
                  <w:bottom w:w="0" w:type="dxa"/>
                  <w:right w:w="0" w:type="dxa"/>
                </w:tblCellMar>
              </w:tblPrEx>
              <w:trPr>
                <w:trHeight w:val="397"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B6780">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高锰酸盐指数</w:t>
                  </w:r>
                </w:p>
              </w:tc>
              <w:tc>
                <w:tcPr>
                  <w:tcW w:w="11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23B5D6">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2023年3月</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571B1">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3.5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C0BDF">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≤10</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AF4C8">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0.35</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ACF81">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A26C2">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达标</w:t>
                  </w:r>
                </w:p>
              </w:tc>
            </w:tr>
            <w:tr w14:paraId="0FA222BF">
              <w:tblPrEx>
                <w:tblCellMar>
                  <w:top w:w="0" w:type="dxa"/>
                  <w:left w:w="0" w:type="dxa"/>
                  <w:bottom w:w="0" w:type="dxa"/>
                  <w:right w:w="0" w:type="dxa"/>
                </w:tblCellMar>
              </w:tblPrEx>
              <w:trPr>
                <w:trHeight w:val="397"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E6483">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NH</w:t>
                  </w:r>
                  <w:r>
                    <w:rPr>
                      <w:rFonts w:eastAsia="等线"/>
                      <w:color w:val="auto"/>
                      <w:sz w:val="21"/>
                      <w:szCs w:val="21"/>
                      <w:vertAlign w:val="subscript"/>
                      <w:lang w:bidi="ar"/>
                    </w:rPr>
                    <w:t>3</w:t>
                  </w:r>
                  <w:r>
                    <w:rPr>
                      <w:rFonts w:eastAsia="等线"/>
                      <w:color w:val="auto"/>
                      <w:sz w:val="21"/>
                      <w:szCs w:val="21"/>
                      <w:lang w:bidi="ar"/>
                    </w:rPr>
                    <w:t>-N</w:t>
                  </w:r>
                </w:p>
              </w:tc>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28E200">
                  <w:pPr>
                    <w:widowControl/>
                    <w:spacing w:line="240" w:lineRule="auto"/>
                    <w:ind w:firstLine="0" w:firstLineChars="0"/>
                    <w:jc w:val="center"/>
                    <w:rPr>
                      <w:rFonts w:eastAsia="等线"/>
                      <w:color w:val="auto"/>
                      <w:sz w:val="21"/>
                      <w:szCs w:val="21"/>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58537">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0.06</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70692">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≤1.5</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36BBC">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0.04</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337B4">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139A7">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达标</w:t>
                  </w:r>
                </w:p>
              </w:tc>
            </w:tr>
            <w:tr w14:paraId="56425FAF">
              <w:tblPrEx>
                <w:tblCellMar>
                  <w:top w:w="0" w:type="dxa"/>
                  <w:left w:w="0" w:type="dxa"/>
                  <w:bottom w:w="0" w:type="dxa"/>
                  <w:right w:w="0" w:type="dxa"/>
                </w:tblCellMar>
              </w:tblPrEx>
              <w:trPr>
                <w:trHeight w:val="397"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847DA">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总磷</w:t>
                  </w:r>
                </w:p>
              </w:tc>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C07325">
                  <w:pPr>
                    <w:widowControl/>
                    <w:spacing w:line="240" w:lineRule="auto"/>
                    <w:ind w:firstLine="0" w:firstLineChars="0"/>
                    <w:jc w:val="center"/>
                    <w:rPr>
                      <w:rFonts w:eastAsia="等线"/>
                      <w:color w:val="auto"/>
                      <w:sz w:val="21"/>
                      <w:szCs w:val="21"/>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7F0DD">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0.12</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11958">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≤0.3</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05A8B">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0.4</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5974A">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7AE6F">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达标</w:t>
                  </w:r>
                </w:p>
              </w:tc>
            </w:tr>
            <w:tr w14:paraId="082020A5">
              <w:tblPrEx>
                <w:tblCellMar>
                  <w:top w:w="0" w:type="dxa"/>
                  <w:left w:w="0" w:type="dxa"/>
                  <w:bottom w:w="0" w:type="dxa"/>
                  <w:right w:w="0" w:type="dxa"/>
                </w:tblCellMar>
              </w:tblPrEx>
              <w:trPr>
                <w:trHeight w:val="397"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2B4C3">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高锰酸盐指数</w:t>
                  </w:r>
                </w:p>
              </w:tc>
              <w:tc>
                <w:tcPr>
                  <w:tcW w:w="11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F4D115">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2023年4月</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F14F7">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4.7</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618F1">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≤10</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1A903">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0.47</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21ABD">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30546">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达标</w:t>
                  </w:r>
                </w:p>
              </w:tc>
            </w:tr>
            <w:tr w14:paraId="7E56DEE2">
              <w:tblPrEx>
                <w:tblCellMar>
                  <w:top w:w="0" w:type="dxa"/>
                  <w:left w:w="0" w:type="dxa"/>
                  <w:bottom w:w="0" w:type="dxa"/>
                  <w:right w:w="0" w:type="dxa"/>
                </w:tblCellMar>
              </w:tblPrEx>
              <w:trPr>
                <w:trHeight w:val="397"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85DC8">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NH</w:t>
                  </w:r>
                  <w:r>
                    <w:rPr>
                      <w:rFonts w:eastAsia="等线"/>
                      <w:color w:val="auto"/>
                      <w:sz w:val="21"/>
                      <w:szCs w:val="21"/>
                      <w:vertAlign w:val="subscript"/>
                      <w:lang w:bidi="ar"/>
                    </w:rPr>
                    <w:t>3</w:t>
                  </w:r>
                  <w:r>
                    <w:rPr>
                      <w:rFonts w:eastAsia="等线"/>
                      <w:color w:val="auto"/>
                      <w:sz w:val="21"/>
                      <w:szCs w:val="21"/>
                      <w:lang w:bidi="ar"/>
                    </w:rPr>
                    <w:t>-N</w:t>
                  </w:r>
                </w:p>
              </w:tc>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538881">
                  <w:pPr>
                    <w:widowControl/>
                    <w:spacing w:line="240" w:lineRule="auto"/>
                    <w:ind w:firstLine="0" w:firstLineChars="0"/>
                    <w:jc w:val="center"/>
                    <w:rPr>
                      <w:rFonts w:eastAsia="等线"/>
                      <w:color w:val="auto"/>
                      <w:sz w:val="21"/>
                      <w:szCs w:val="21"/>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544E1">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0.05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DE3FC">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≤1.5</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F98E7">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0.033</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64479">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F4A8D">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达标</w:t>
                  </w:r>
                </w:p>
              </w:tc>
            </w:tr>
            <w:tr w14:paraId="3D08CC62">
              <w:tblPrEx>
                <w:tblCellMar>
                  <w:top w:w="0" w:type="dxa"/>
                  <w:left w:w="0" w:type="dxa"/>
                  <w:bottom w:w="0" w:type="dxa"/>
                  <w:right w:w="0" w:type="dxa"/>
                </w:tblCellMar>
              </w:tblPrEx>
              <w:trPr>
                <w:trHeight w:val="397"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57244">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总磷</w:t>
                  </w:r>
                </w:p>
              </w:tc>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B92040">
                  <w:pPr>
                    <w:widowControl/>
                    <w:spacing w:line="240" w:lineRule="auto"/>
                    <w:ind w:firstLine="0" w:firstLineChars="0"/>
                    <w:jc w:val="center"/>
                    <w:rPr>
                      <w:rFonts w:eastAsia="等线"/>
                      <w:color w:val="auto"/>
                      <w:sz w:val="21"/>
                      <w:szCs w:val="21"/>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B70F8">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0.11</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BB552">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≤0.3</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3C118">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0.367</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39183">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1434D">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达标</w:t>
                  </w:r>
                </w:p>
              </w:tc>
            </w:tr>
            <w:tr w14:paraId="3996F7E6">
              <w:tblPrEx>
                <w:tblCellMar>
                  <w:top w:w="0" w:type="dxa"/>
                  <w:left w:w="0" w:type="dxa"/>
                  <w:bottom w:w="0" w:type="dxa"/>
                  <w:right w:w="0" w:type="dxa"/>
                </w:tblCellMar>
              </w:tblPrEx>
              <w:trPr>
                <w:trHeight w:val="397"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F7C28">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高锰酸盐指数</w:t>
                  </w:r>
                </w:p>
              </w:tc>
              <w:tc>
                <w:tcPr>
                  <w:tcW w:w="11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1417C6">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2023年5月</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C3A26">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6.2</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308D5">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≤10</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33299">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0.62</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FFAD4">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8B0FF">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达标</w:t>
                  </w:r>
                </w:p>
              </w:tc>
            </w:tr>
            <w:tr w14:paraId="57573171">
              <w:tblPrEx>
                <w:tblCellMar>
                  <w:top w:w="0" w:type="dxa"/>
                  <w:left w:w="0" w:type="dxa"/>
                  <w:bottom w:w="0" w:type="dxa"/>
                  <w:right w:w="0" w:type="dxa"/>
                </w:tblCellMar>
              </w:tblPrEx>
              <w:trPr>
                <w:trHeight w:val="397"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85FDC">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NH</w:t>
                  </w:r>
                  <w:r>
                    <w:rPr>
                      <w:rFonts w:eastAsia="等线"/>
                      <w:color w:val="auto"/>
                      <w:sz w:val="21"/>
                      <w:szCs w:val="21"/>
                      <w:vertAlign w:val="subscript"/>
                      <w:lang w:bidi="ar"/>
                    </w:rPr>
                    <w:t>3</w:t>
                  </w:r>
                  <w:r>
                    <w:rPr>
                      <w:rFonts w:eastAsia="等线"/>
                      <w:color w:val="auto"/>
                      <w:sz w:val="21"/>
                      <w:szCs w:val="21"/>
                      <w:lang w:bidi="ar"/>
                    </w:rPr>
                    <w:t>-N</w:t>
                  </w:r>
                </w:p>
              </w:tc>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A6B7C3">
                  <w:pPr>
                    <w:widowControl/>
                    <w:spacing w:line="240" w:lineRule="auto"/>
                    <w:ind w:firstLine="0" w:firstLineChars="0"/>
                    <w:jc w:val="center"/>
                    <w:rPr>
                      <w:rFonts w:eastAsia="等线"/>
                      <w:color w:val="auto"/>
                      <w:sz w:val="21"/>
                      <w:szCs w:val="21"/>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4F304">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0.06</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09906">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≤1.5</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4B7A0">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0.04</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89D9E">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6E170">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达标</w:t>
                  </w:r>
                </w:p>
              </w:tc>
            </w:tr>
            <w:tr w14:paraId="45F6B782">
              <w:tblPrEx>
                <w:tblCellMar>
                  <w:top w:w="0" w:type="dxa"/>
                  <w:left w:w="0" w:type="dxa"/>
                  <w:bottom w:w="0" w:type="dxa"/>
                  <w:right w:w="0" w:type="dxa"/>
                </w:tblCellMar>
              </w:tblPrEx>
              <w:trPr>
                <w:trHeight w:val="397"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7BC47">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总磷</w:t>
                  </w:r>
                </w:p>
              </w:tc>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F7D026">
                  <w:pPr>
                    <w:widowControl/>
                    <w:spacing w:line="240" w:lineRule="auto"/>
                    <w:ind w:firstLine="0" w:firstLineChars="0"/>
                    <w:jc w:val="center"/>
                    <w:rPr>
                      <w:rFonts w:eastAsia="等线"/>
                      <w:color w:val="auto"/>
                      <w:sz w:val="21"/>
                      <w:szCs w:val="21"/>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C65E7">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0.06</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059DA">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≤0.3</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F5E74">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0.2</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BF38C">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044DA">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达标</w:t>
                  </w:r>
                </w:p>
              </w:tc>
            </w:tr>
            <w:tr w14:paraId="609916A4">
              <w:tblPrEx>
                <w:tblCellMar>
                  <w:top w:w="0" w:type="dxa"/>
                  <w:left w:w="0" w:type="dxa"/>
                  <w:bottom w:w="0" w:type="dxa"/>
                  <w:right w:w="0" w:type="dxa"/>
                </w:tblCellMar>
              </w:tblPrEx>
              <w:trPr>
                <w:trHeight w:val="397"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1519A">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高锰酸盐指数</w:t>
                  </w:r>
                </w:p>
              </w:tc>
              <w:tc>
                <w:tcPr>
                  <w:tcW w:w="11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7FD212">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2023年6月</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17229">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6.2</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88BBF">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≤10</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D2B2A">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0.62</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A11FA">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C35E1">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达标</w:t>
                  </w:r>
                </w:p>
              </w:tc>
            </w:tr>
            <w:tr w14:paraId="5E847338">
              <w:tblPrEx>
                <w:tblCellMar>
                  <w:top w:w="0" w:type="dxa"/>
                  <w:left w:w="0" w:type="dxa"/>
                  <w:bottom w:w="0" w:type="dxa"/>
                  <w:right w:w="0" w:type="dxa"/>
                </w:tblCellMar>
              </w:tblPrEx>
              <w:trPr>
                <w:trHeight w:val="397"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A1C63">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NH</w:t>
                  </w:r>
                  <w:r>
                    <w:rPr>
                      <w:rFonts w:eastAsia="等线"/>
                      <w:color w:val="auto"/>
                      <w:sz w:val="21"/>
                      <w:szCs w:val="21"/>
                      <w:vertAlign w:val="subscript"/>
                      <w:lang w:bidi="ar"/>
                    </w:rPr>
                    <w:t>3</w:t>
                  </w:r>
                  <w:r>
                    <w:rPr>
                      <w:rFonts w:eastAsia="等线"/>
                      <w:color w:val="auto"/>
                      <w:sz w:val="21"/>
                      <w:szCs w:val="21"/>
                      <w:lang w:bidi="ar"/>
                    </w:rPr>
                    <w:t>-N</w:t>
                  </w:r>
                </w:p>
              </w:tc>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F41524">
                  <w:pPr>
                    <w:widowControl/>
                    <w:spacing w:line="240" w:lineRule="auto"/>
                    <w:ind w:firstLine="0" w:firstLineChars="0"/>
                    <w:jc w:val="center"/>
                    <w:rPr>
                      <w:rFonts w:eastAsia="等线"/>
                      <w:color w:val="auto"/>
                      <w:sz w:val="21"/>
                      <w:szCs w:val="21"/>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E6651">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0.09</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EC1CB">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≤1.5</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047B1">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0.06</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45E57">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1D636">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达标</w:t>
                  </w:r>
                </w:p>
              </w:tc>
            </w:tr>
            <w:tr w14:paraId="451D6E28">
              <w:tblPrEx>
                <w:tblCellMar>
                  <w:top w:w="0" w:type="dxa"/>
                  <w:left w:w="0" w:type="dxa"/>
                  <w:bottom w:w="0" w:type="dxa"/>
                  <w:right w:w="0" w:type="dxa"/>
                </w:tblCellMar>
              </w:tblPrEx>
              <w:trPr>
                <w:trHeight w:val="397"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474A1">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总磷</w:t>
                  </w:r>
                </w:p>
              </w:tc>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AB4C91">
                  <w:pPr>
                    <w:widowControl/>
                    <w:spacing w:line="240" w:lineRule="auto"/>
                    <w:ind w:firstLine="0" w:firstLineChars="0"/>
                    <w:jc w:val="center"/>
                    <w:rPr>
                      <w:rFonts w:eastAsia="等线"/>
                      <w:color w:val="auto"/>
                      <w:sz w:val="21"/>
                      <w:szCs w:val="21"/>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47D23">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0.25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6006D">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≤0.3</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63F8E">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0.833</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9C02B">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97370">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达标</w:t>
                  </w:r>
                </w:p>
              </w:tc>
            </w:tr>
            <w:tr w14:paraId="14955BD0">
              <w:tblPrEx>
                <w:tblCellMar>
                  <w:top w:w="0" w:type="dxa"/>
                  <w:left w:w="0" w:type="dxa"/>
                  <w:bottom w:w="0" w:type="dxa"/>
                  <w:right w:w="0" w:type="dxa"/>
                </w:tblCellMar>
              </w:tblPrEx>
              <w:trPr>
                <w:trHeight w:val="397"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08387">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高锰酸盐指数</w:t>
                  </w:r>
                </w:p>
              </w:tc>
              <w:tc>
                <w:tcPr>
                  <w:tcW w:w="11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970C03">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2023年7月</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68E57">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6.3</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3120C">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≤10</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1D2F2">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0.63</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35099">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38379">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达标</w:t>
                  </w:r>
                </w:p>
              </w:tc>
            </w:tr>
            <w:tr w14:paraId="743FEE1A">
              <w:tblPrEx>
                <w:tblCellMar>
                  <w:top w:w="0" w:type="dxa"/>
                  <w:left w:w="0" w:type="dxa"/>
                  <w:bottom w:w="0" w:type="dxa"/>
                  <w:right w:w="0" w:type="dxa"/>
                </w:tblCellMar>
              </w:tblPrEx>
              <w:trPr>
                <w:trHeight w:val="397"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48B49">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NH</w:t>
                  </w:r>
                  <w:r>
                    <w:rPr>
                      <w:rFonts w:eastAsia="等线"/>
                      <w:color w:val="auto"/>
                      <w:sz w:val="21"/>
                      <w:szCs w:val="21"/>
                      <w:vertAlign w:val="subscript"/>
                      <w:lang w:bidi="ar"/>
                    </w:rPr>
                    <w:t>3</w:t>
                  </w:r>
                  <w:r>
                    <w:rPr>
                      <w:rFonts w:eastAsia="等线"/>
                      <w:color w:val="auto"/>
                      <w:sz w:val="21"/>
                      <w:szCs w:val="21"/>
                      <w:lang w:bidi="ar"/>
                    </w:rPr>
                    <w:t>-N</w:t>
                  </w:r>
                </w:p>
              </w:tc>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F0432A">
                  <w:pPr>
                    <w:widowControl/>
                    <w:spacing w:line="240" w:lineRule="auto"/>
                    <w:ind w:firstLine="0" w:firstLineChars="0"/>
                    <w:jc w:val="center"/>
                    <w:rPr>
                      <w:rFonts w:eastAsia="等线"/>
                      <w:color w:val="auto"/>
                      <w:sz w:val="21"/>
                      <w:szCs w:val="21"/>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CF05F">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0.03</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2E968">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≤1.5</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7692A">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0.02</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63E57">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64806">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达标</w:t>
                  </w:r>
                </w:p>
              </w:tc>
            </w:tr>
            <w:tr w14:paraId="6CB14446">
              <w:tblPrEx>
                <w:tblCellMar>
                  <w:top w:w="0" w:type="dxa"/>
                  <w:left w:w="0" w:type="dxa"/>
                  <w:bottom w:w="0" w:type="dxa"/>
                  <w:right w:w="0" w:type="dxa"/>
                </w:tblCellMar>
              </w:tblPrEx>
              <w:trPr>
                <w:trHeight w:val="397"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AC7BF">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总磷</w:t>
                  </w:r>
                </w:p>
              </w:tc>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69735D">
                  <w:pPr>
                    <w:widowControl/>
                    <w:spacing w:line="240" w:lineRule="auto"/>
                    <w:ind w:firstLine="0" w:firstLineChars="0"/>
                    <w:jc w:val="center"/>
                    <w:rPr>
                      <w:rFonts w:eastAsia="等线"/>
                      <w:color w:val="auto"/>
                      <w:sz w:val="21"/>
                      <w:szCs w:val="21"/>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4CCAB">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0.23</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43078">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≤0.3</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F4DCE">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0.767</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505CE">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CF178">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达标</w:t>
                  </w:r>
                </w:p>
              </w:tc>
            </w:tr>
            <w:tr w14:paraId="4DB814B0">
              <w:tblPrEx>
                <w:tblCellMar>
                  <w:top w:w="0" w:type="dxa"/>
                  <w:left w:w="0" w:type="dxa"/>
                  <w:bottom w:w="0" w:type="dxa"/>
                  <w:right w:w="0" w:type="dxa"/>
                </w:tblCellMar>
              </w:tblPrEx>
              <w:trPr>
                <w:trHeight w:val="397"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16FF0">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高锰酸盐指数</w:t>
                  </w:r>
                </w:p>
              </w:tc>
              <w:tc>
                <w:tcPr>
                  <w:tcW w:w="11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2C0E6E">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2023年8月</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D7898">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8.4</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9346D">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≤10</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84FFB">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0.84</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40CF1">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84248">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达标</w:t>
                  </w:r>
                </w:p>
              </w:tc>
            </w:tr>
            <w:tr w14:paraId="5E4B1F2A">
              <w:tblPrEx>
                <w:tblCellMar>
                  <w:top w:w="0" w:type="dxa"/>
                  <w:left w:w="0" w:type="dxa"/>
                  <w:bottom w:w="0" w:type="dxa"/>
                  <w:right w:w="0" w:type="dxa"/>
                </w:tblCellMar>
              </w:tblPrEx>
              <w:trPr>
                <w:trHeight w:val="397"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B260A">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NH</w:t>
                  </w:r>
                  <w:r>
                    <w:rPr>
                      <w:rFonts w:eastAsia="等线"/>
                      <w:color w:val="auto"/>
                      <w:sz w:val="21"/>
                      <w:szCs w:val="21"/>
                      <w:vertAlign w:val="subscript"/>
                      <w:lang w:bidi="ar"/>
                    </w:rPr>
                    <w:t>3</w:t>
                  </w:r>
                  <w:r>
                    <w:rPr>
                      <w:rFonts w:eastAsia="等线"/>
                      <w:color w:val="auto"/>
                      <w:sz w:val="21"/>
                      <w:szCs w:val="21"/>
                      <w:lang w:bidi="ar"/>
                    </w:rPr>
                    <w:t>-N</w:t>
                  </w:r>
                </w:p>
              </w:tc>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528523">
                  <w:pPr>
                    <w:widowControl/>
                    <w:spacing w:line="240" w:lineRule="auto"/>
                    <w:ind w:firstLine="0" w:firstLineChars="0"/>
                    <w:jc w:val="center"/>
                    <w:rPr>
                      <w:rFonts w:eastAsia="等线"/>
                      <w:color w:val="auto"/>
                      <w:sz w:val="21"/>
                      <w:szCs w:val="21"/>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139C1">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0.46</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FBAA2">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≤1.5</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AA3F8">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0.307</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69A19">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01921">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达标</w:t>
                  </w:r>
                </w:p>
              </w:tc>
            </w:tr>
            <w:tr w14:paraId="60209B16">
              <w:tblPrEx>
                <w:tblCellMar>
                  <w:top w:w="0" w:type="dxa"/>
                  <w:left w:w="0" w:type="dxa"/>
                  <w:bottom w:w="0" w:type="dxa"/>
                  <w:right w:w="0" w:type="dxa"/>
                </w:tblCellMar>
              </w:tblPrEx>
              <w:trPr>
                <w:trHeight w:val="397"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FE168">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总磷</w:t>
                  </w:r>
                </w:p>
              </w:tc>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EE85F5">
                  <w:pPr>
                    <w:widowControl/>
                    <w:spacing w:line="240" w:lineRule="auto"/>
                    <w:ind w:firstLine="0" w:firstLineChars="0"/>
                    <w:jc w:val="center"/>
                    <w:rPr>
                      <w:rFonts w:eastAsia="等线"/>
                      <w:color w:val="auto"/>
                      <w:sz w:val="21"/>
                      <w:szCs w:val="21"/>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EA7B0">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0.17</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F55EC">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≤0.3</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063A9">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0.567</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B7E00">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B13AC">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达标</w:t>
                  </w:r>
                </w:p>
              </w:tc>
            </w:tr>
            <w:tr w14:paraId="7CCA176C">
              <w:tblPrEx>
                <w:tblCellMar>
                  <w:top w:w="0" w:type="dxa"/>
                  <w:left w:w="0" w:type="dxa"/>
                  <w:bottom w:w="0" w:type="dxa"/>
                  <w:right w:w="0" w:type="dxa"/>
                </w:tblCellMar>
              </w:tblPrEx>
              <w:trPr>
                <w:trHeight w:val="397"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A00F2">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高锰酸盐指数</w:t>
                  </w:r>
                </w:p>
              </w:tc>
              <w:tc>
                <w:tcPr>
                  <w:tcW w:w="11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C95977">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2023年9月</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9856F">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9.8</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0764E">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≤10</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C4401">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0.98</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9CB3A">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00151">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达标</w:t>
                  </w:r>
                </w:p>
              </w:tc>
            </w:tr>
            <w:tr w14:paraId="56609016">
              <w:tblPrEx>
                <w:tblCellMar>
                  <w:top w:w="0" w:type="dxa"/>
                  <w:left w:w="0" w:type="dxa"/>
                  <w:bottom w:w="0" w:type="dxa"/>
                  <w:right w:w="0" w:type="dxa"/>
                </w:tblCellMar>
              </w:tblPrEx>
              <w:trPr>
                <w:trHeight w:val="397"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34BFF">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NH</w:t>
                  </w:r>
                  <w:r>
                    <w:rPr>
                      <w:rFonts w:eastAsia="等线"/>
                      <w:color w:val="auto"/>
                      <w:sz w:val="21"/>
                      <w:szCs w:val="21"/>
                      <w:vertAlign w:val="subscript"/>
                      <w:lang w:bidi="ar"/>
                    </w:rPr>
                    <w:t>3</w:t>
                  </w:r>
                  <w:r>
                    <w:rPr>
                      <w:rFonts w:eastAsia="等线"/>
                      <w:color w:val="auto"/>
                      <w:sz w:val="21"/>
                      <w:szCs w:val="21"/>
                      <w:lang w:bidi="ar"/>
                    </w:rPr>
                    <w:t>-N</w:t>
                  </w:r>
                </w:p>
              </w:tc>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09A311">
                  <w:pPr>
                    <w:widowControl/>
                    <w:spacing w:line="240" w:lineRule="auto"/>
                    <w:ind w:firstLine="0" w:firstLineChars="0"/>
                    <w:jc w:val="center"/>
                    <w:rPr>
                      <w:rFonts w:eastAsia="等线"/>
                      <w:color w:val="auto"/>
                      <w:sz w:val="21"/>
                      <w:szCs w:val="21"/>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15F5F">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0.58</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50557">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≤1.5</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106E6">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0.387</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E2FD0">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412FD">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达标</w:t>
                  </w:r>
                </w:p>
              </w:tc>
            </w:tr>
            <w:tr w14:paraId="1E1AA7AB">
              <w:tblPrEx>
                <w:tblCellMar>
                  <w:top w:w="0" w:type="dxa"/>
                  <w:left w:w="0" w:type="dxa"/>
                  <w:bottom w:w="0" w:type="dxa"/>
                  <w:right w:w="0" w:type="dxa"/>
                </w:tblCellMar>
              </w:tblPrEx>
              <w:trPr>
                <w:trHeight w:val="397"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2CB6A">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总磷</w:t>
                  </w:r>
                </w:p>
              </w:tc>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F1CBEB">
                  <w:pPr>
                    <w:widowControl/>
                    <w:spacing w:line="240" w:lineRule="auto"/>
                    <w:ind w:firstLine="0" w:firstLineChars="0"/>
                    <w:jc w:val="center"/>
                    <w:rPr>
                      <w:rFonts w:eastAsia="等线"/>
                      <w:color w:val="auto"/>
                      <w:sz w:val="21"/>
                      <w:szCs w:val="21"/>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F3703">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0.165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D4ED0">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≤0.3</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3081C">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0.55</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C02B2">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DE804">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达标</w:t>
                  </w:r>
                </w:p>
              </w:tc>
            </w:tr>
            <w:tr w14:paraId="2D78A5B9">
              <w:tblPrEx>
                <w:tblCellMar>
                  <w:top w:w="0" w:type="dxa"/>
                  <w:left w:w="0" w:type="dxa"/>
                  <w:bottom w:w="0" w:type="dxa"/>
                  <w:right w:w="0" w:type="dxa"/>
                </w:tblCellMar>
              </w:tblPrEx>
              <w:trPr>
                <w:trHeight w:val="397"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AB77D">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高锰酸盐指数</w:t>
                  </w:r>
                </w:p>
              </w:tc>
              <w:tc>
                <w:tcPr>
                  <w:tcW w:w="11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D47F5A">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2023年10月</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95CDA">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6.2</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3B557">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≤10</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AC4EB">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0.62</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6D03C">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442BA">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达标</w:t>
                  </w:r>
                </w:p>
              </w:tc>
            </w:tr>
            <w:tr w14:paraId="5AA99DBF">
              <w:tblPrEx>
                <w:tblCellMar>
                  <w:top w:w="0" w:type="dxa"/>
                  <w:left w:w="0" w:type="dxa"/>
                  <w:bottom w:w="0" w:type="dxa"/>
                  <w:right w:w="0" w:type="dxa"/>
                </w:tblCellMar>
              </w:tblPrEx>
              <w:trPr>
                <w:trHeight w:val="397"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E3DE6">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NH</w:t>
                  </w:r>
                  <w:r>
                    <w:rPr>
                      <w:rFonts w:eastAsia="等线"/>
                      <w:color w:val="auto"/>
                      <w:sz w:val="21"/>
                      <w:szCs w:val="21"/>
                      <w:vertAlign w:val="subscript"/>
                      <w:lang w:bidi="ar"/>
                    </w:rPr>
                    <w:t>3</w:t>
                  </w:r>
                  <w:r>
                    <w:rPr>
                      <w:rFonts w:eastAsia="等线"/>
                      <w:color w:val="auto"/>
                      <w:sz w:val="21"/>
                      <w:szCs w:val="21"/>
                      <w:lang w:bidi="ar"/>
                    </w:rPr>
                    <w:t>-N</w:t>
                  </w:r>
                </w:p>
              </w:tc>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FA6B69">
                  <w:pPr>
                    <w:widowControl/>
                    <w:spacing w:line="240" w:lineRule="auto"/>
                    <w:ind w:firstLine="0" w:firstLineChars="0"/>
                    <w:jc w:val="center"/>
                    <w:rPr>
                      <w:rFonts w:eastAsia="等线"/>
                      <w:color w:val="auto"/>
                      <w:sz w:val="21"/>
                      <w:szCs w:val="21"/>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1EBD1">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0.03</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3C863">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≤1.5</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A3D1D">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0.02</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FF293">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7337F">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达标</w:t>
                  </w:r>
                </w:p>
              </w:tc>
            </w:tr>
            <w:tr w14:paraId="3F4E468C">
              <w:tblPrEx>
                <w:tblCellMar>
                  <w:top w:w="0" w:type="dxa"/>
                  <w:left w:w="0" w:type="dxa"/>
                  <w:bottom w:w="0" w:type="dxa"/>
                  <w:right w:w="0" w:type="dxa"/>
                </w:tblCellMar>
              </w:tblPrEx>
              <w:trPr>
                <w:trHeight w:val="397"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68E71">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总磷</w:t>
                  </w:r>
                </w:p>
              </w:tc>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1DCAA2">
                  <w:pPr>
                    <w:widowControl/>
                    <w:spacing w:line="240" w:lineRule="auto"/>
                    <w:ind w:firstLine="0" w:firstLineChars="0"/>
                    <w:jc w:val="center"/>
                    <w:rPr>
                      <w:rFonts w:eastAsia="等线"/>
                      <w:color w:val="auto"/>
                      <w:sz w:val="21"/>
                      <w:szCs w:val="21"/>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6CCF3">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0.04</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BE8E8">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≤0.3</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5557B">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0.13</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59EBB">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84864">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达标</w:t>
                  </w:r>
                </w:p>
              </w:tc>
            </w:tr>
            <w:tr w14:paraId="7931EC9B">
              <w:tblPrEx>
                <w:tblCellMar>
                  <w:top w:w="0" w:type="dxa"/>
                  <w:left w:w="0" w:type="dxa"/>
                  <w:bottom w:w="0" w:type="dxa"/>
                  <w:right w:w="0" w:type="dxa"/>
                </w:tblCellMar>
              </w:tblPrEx>
              <w:trPr>
                <w:trHeight w:val="397"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61221">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高锰酸盐指数</w:t>
                  </w:r>
                </w:p>
              </w:tc>
              <w:tc>
                <w:tcPr>
                  <w:tcW w:w="11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7B8C05">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2023年11月</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B1421">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7.6</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2A446">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≤10</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3A781">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0.76</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0B6B7">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3169C">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达标</w:t>
                  </w:r>
                </w:p>
              </w:tc>
            </w:tr>
            <w:tr w14:paraId="46E53D5E">
              <w:tblPrEx>
                <w:tblCellMar>
                  <w:top w:w="0" w:type="dxa"/>
                  <w:left w:w="0" w:type="dxa"/>
                  <w:bottom w:w="0" w:type="dxa"/>
                  <w:right w:w="0" w:type="dxa"/>
                </w:tblCellMar>
              </w:tblPrEx>
              <w:trPr>
                <w:trHeight w:val="397"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AA08C">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NH</w:t>
                  </w:r>
                  <w:r>
                    <w:rPr>
                      <w:rFonts w:eastAsia="等线"/>
                      <w:color w:val="auto"/>
                      <w:sz w:val="21"/>
                      <w:szCs w:val="21"/>
                      <w:vertAlign w:val="subscript"/>
                      <w:lang w:bidi="ar"/>
                    </w:rPr>
                    <w:t>3</w:t>
                  </w:r>
                  <w:r>
                    <w:rPr>
                      <w:rFonts w:eastAsia="等线"/>
                      <w:color w:val="auto"/>
                      <w:sz w:val="21"/>
                      <w:szCs w:val="21"/>
                      <w:lang w:bidi="ar"/>
                    </w:rPr>
                    <w:t>-N</w:t>
                  </w:r>
                </w:p>
              </w:tc>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8B02B5">
                  <w:pPr>
                    <w:widowControl/>
                    <w:spacing w:line="240" w:lineRule="auto"/>
                    <w:ind w:firstLine="0" w:firstLineChars="0"/>
                    <w:jc w:val="center"/>
                    <w:rPr>
                      <w:rFonts w:eastAsia="等线"/>
                      <w:color w:val="auto"/>
                      <w:sz w:val="21"/>
                      <w:szCs w:val="21"/>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CA738">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0.34</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70318">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≤1.5</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79227">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0.23</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90729">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E6989">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达标</w:t>
                  </w:r>
                </w:p>
              </w:tc>
            </w:tr>
            <w:tr w14:paraId="066BA238">
              <w:tblPrEx>
                <w:tblCellMar>
                  <w:top w:w="0" w:type="dxa"/>
                  <w:left w:w="0" w:type="dxa"/>
                  <w:bottom w:w="0" w:type="dxa"/>
                  <w:right w:w="0" w:type="dxa"/>
                </w:tblCellMar>
              </w:tblPrEx>
              <w:trPr>
                <w:trHeight w:val="397"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459C8">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总磷</w:t>
                  </w:r>
                </w:p>
              </w:tc>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3A4640">
                  <w:pPr>
                    <w:widowControl/>
                    <w:spacing w:line="240" w:lineRule="auto"/>
                    <w:ind w:firstLine="0" w:firstLineChars="0"/>
                    <w:jc w:val="center"/>
                    <w:rPr>
                      <w:rFonts w:eastAsia="等线"/>
                      <w:color w:val="auto"/>
                      <w:sz w:val="21"/>
                      <w:szCs w:val="21"/>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04A31">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0.33</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8CDA1">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≤0.3</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E8098">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1.1</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A8AAC">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0.1</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A6179">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超标</w:t>
                  </w:r>
                </w:p>
              </w:tc>
            </w:tr>
            <w:tr w14:paraId="2A9B1E14">
              <w:tblPrEx>
                <w:tblCellMar>
                  <w:top w:w="0" w:type="dxa"/>
                  <w:left w:w="0" w:type="dxa"/>
                  <w:bottom w:w="0" w:type="dxa"/>
                  <w:right w:w="0" w:type="dxa"/>
                </w:tblCellMar>
              </w:tblPrEx>
              <w:trPr>
                <w:trHeight w:val="397"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42333">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高锰酸盐指数</w:t>
                  </w:r>
                </w:p>
              </w:tc>
              <w:tc>
                <w:tcPr>
                  <w:tcW w:w="11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6A5EAE">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2023年12月</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DC51B">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8.7</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B0B40">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≤10</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B6A09">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0.87</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60C5C">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5CFE1">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达标</w:t>
                  </w:r>
                </w:p>
              </w:tc>
            </w:tr>
            <w:tr w14:paraId="10C4C7A0">
              <w:tblPrEx>
                <w:tblCellMar>
                  <w:top w:w="0" w:type="dxa"/>
                  <w:left w:w="0" w:type="dxa"/>
                  <w:bottom w:w="0" w:type="dxa"/>
                  <w:right w:w="0" w:type="dxa"/>
                </w:tblCellMar>
              </w:tblPrEx>
              <w:trPr>
                <w:trHeight w:val="397"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EEC75">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NH</w:t>
                  </w:r>
                  <w:r>
                    <w:rPr>
                      <w:rFonts w:eastAsia="等线"/>
                      <w:color w:val="auto"/>
                      <w:sz w:val="21"/>
                      <w:szCs w:val="21"/>
                      <w:vertAlign w:val="subscript"/>
                      <w:lang w:bidi="ar"/>
                    </w:rPr>
                    <w:t>3</w:t>
                  </w:r>
                  <w:r>
                    <w:rPr>
                      <w:rFonts w:eastAsia="等线"/>
                      <w:color w:val="auto"/>
                      <w:sz w:val="21"/>
                      <w:szCs w:val="21"/>
                      <w:lang w:bidi="ar"/>
                    </w:rPr>
                    <w:t>-N</w:t>
                  </w:r>
                </w:p>
              </w:tc>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9595A3">
                  <w:pPr>
                    <w:widowControl/>
                    <w:spacing w:line="240" w:lineRule="auto"/>
                    <w:ind w:firstLine="0" w:firstLineChars="0"/>
                    <w:jc w:val="center"/>
                    <w:rPr>
                      <w:rFonts w:eastAsia="等线"/>
                      <w:color w:val="auto"/>
                      <w:sz w:val="21"/>
                      <w:szCs w:val="21"/>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1A9E7">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0.5</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B33A0">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≤1.5</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AE86E">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0.33</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AB821">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C3010">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达标</w:t>
                  </w:r>
                </w:p>
              </w:tc>
            </w:tr>
            <w:tr w14:paraId="2564762A">
              <w:tblPrEx>
                <w:tblCellMar>
                  <w:top w:w="0" w:type="dxa"/>
                  <w:left w:w="0" w:type="dxa"/>
                  <w:bottom w:w="0" w:type="dxa"/>
                  <w:right w:w="0" w:type="dxa"/>
                </w:tblCellMar>
              </w:tblPrEx>
              <w:trPr>
                <w:trHeight w:val="397" w:hRule="atLeast"/>
                <w:jc w:val="center"/>
              </w:trPr>
              <w:tc>
                <w:tcPr>
                  <w:tcW w:w="13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E3979">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总磷</w:t>
                  </w:r>
                </w:p>
              </w:tc>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43DF7F">
                  <w:pPr>
                    <w:widowControl/>
                    <w:spacing w:line="240" w:lineRule="auto"/>
                    <w:ind w:firstLine="0" w:firstLineChars="0"/>
                    <w:jc w:val="center"/>
                    <w:rPr>
                      <w:rFonts w:eastAsia="等线"/>
                      <w:color w:val="auto"/>
                      <w:sz w:val="21"/>
                      <w:szCs w:val="21"/>
                    </w:rPr>
                  </w:pP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9E79B">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0.12</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D57F5">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≤0.3</w:t>
                  </w:r>
                </w:p>
              </w:tc>
              <w:tc>
                <w:tcPr>
                  <w:tcW w:w="11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12247">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0.4</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D885A">
                  <w:pPr>
                    <w:widowControl/>
                    <w:spacing w:line="240" w:lineRule="auto"/>
                    <w:ind w:firstLine="0" w:firstLineChars="0"/>
                    <w:jc w:val="center"/>
                    <w:textAlignment w:val="bottom"/>
                    <w:rPr>
                      <w:rFonts w:eastAsia="等线"/>
                      <w:color w:val="auto"/>
                      <w:sz w:val="21"/>
                      <w:szCs w:val="21"/>
                    </w:rPr>
                  </w:pPr>
                  <w:r>
                    <w:rPr>
                      <w:rFonts w:eastAsia="等线"/>
                      <w:color w:val="auto"/>
                      <w:kern w:val="0"/>
                      <w:sz w:val="21"/>
                      <w:szCs w:val="21"/>
                      <w:lang w:bidi="ar"/>
                    </w:rPr>
                    <w:t>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50B24">
                  <w:pPr>
                    <w:widowControl/>
                    <w:spacing w:line="240" w:lineRule="auto"/>
                    <w:ind w:firstLine="0" w:firstLineChars="0"/>
                    <w:jc w:val="center"/>
                    <w:textAlignment w:val="bottom"/>
                    <w:rPr>
                      <w:rFonts w:hint="eastAsia" w:ascii="宋体" w:hAnsi="宋体" w:cs="宋体"/>
                      <w:color w:val="auto"/>
                      <w:sz w:val="21"/>
                      <w:szCs w:val="21"/>
                    </w:rPr>
                  </w:pPr>
                  <w:r>
                    <w:rPr>
                      <w:rFonts w:hint="eastAsia" w:ascii="宋体" w:hAnsi="宋体" w:cs="宋体"/>
                      <w:color w:val="auto"/>
                      <w:kern w:val="0"/>
                      <w:sz w:val="21"/>
                      <w:szCs w:val="21"/>
                      <w:lang w:bidi="ar"/>
                    </w:rPr>
                    <w:t>达标</w:t>
                  </w:r>
                </w:p>
              </w:tc>
            </w:tr>
          </w:tbl>
          <w:p w14:paraId="0BCFA58C">
            <w:pPr>
              <w:keepNext w:val="0"/>
              <w:keepLines w:val="0"/>
              <w:pageBreakBefore w:val="0"/>
              <w:widowControl w:val="0"/>
              <w:kinsoku/>
              <w:wordWrap w:val="0"/>
              <w:overflowPunct/>
              <w:topLinePunct w:val="0"/>
              <w:autoSpaceDE/>
              <w:autoSpaceDN/>
              <w:bidi w:val="0"/>
              <w:adjustRightInd/>
              <w:snapToGrid/>
              <w:spacing w:line="360" w:lineRule="auto"/>
              <w:ind w:firstLine="480"/>
              <w:textAlignment w:val="auto"/>
              <w:rPr>
                <w:color w:val="auto"/>
              </w:rPr>
            </w:pPr>
            <w:r>
              <w:rPr>
                <w:rFonts w:hint="eastAsia"/>
                <w:color w:val="auto"/>
                <w:lang w:val="en-GB"/>
              </w:rPr>
              <w:t>由上表可知，</w:t>
            </w:r>
            <w:r>
              <w:rPr>
                <w:color w:val="auto"/>
                <w:kern w:val="0"/>
                <w:lang w:bidi="ar"/>
              </w:rPr>
              <w:t>徒骇河毕屯断面2023年11月总磷指数超标，其他满足《地表水环境质量标准》（GB3838-2002）Ⅳ类标准。</w:t>
            </w:r>
          </w:p>
          <w:p w14:paraId="19ACBABE">
            <w:pPr>
              <w:keepNext w:val="0"/>
              <w:keepLines w:val="0"/>
              <w:pageBreakBefore w:val="0"/>
              <w:widowControl w:val="0"/>
              <w:kinsoku/>
              <w:wordWrap w:val="0"/>
              <w:overflowPunct/>
              <w:topLinePunct w:val="0"/>
              <w:autoSpaceDE/>
              <w:autoSpaceDN/>
              <w:bidi w:val="0"/>
              <w:adjustRightInd/>
              <w:snapToGrid/>
              <w:spacing w:line="360" w:lineRule="auto"/>
              <w:ind w:firstLine="0" w:firstLineChars="0"/>
              <w:textAlignment w:val="auto"/>
              <w:rPr>
                <w:b/>
                <w:bCs/>
                <w:color w:val="auto"/>
              </w:rPr>
            </w:pPr>
            <w:r>
              <w:rPr>
                <w:rFonts w:hint="eastAsia"/>
                <w:b/>
                <w:bCs/>
                <w:color w:val="auto"/>
              </w:rPr>
              <w:t>三</w:t>
            </w:r>
            <w:r>
              <w:rPr>
                <w:b/>
                <w:bCs/>
                <w:color w:val="auto"/>
              </w:rPr>
              <w:t>、声环境质量现状监测与评价</w:t>
            </w:r>
          </w:p>
          <w:p w14:paraId="6AEF294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lang w:val="zh-CN" w:eastAsia="zh-CN"/>
              </w:rPr>
            </w:pPr>
            <w:r>
              <w:rPr>
                <w:rFonts w:hint="eastAsia" w:ascii="Times New Roman" w:hAnsi="Times New Roman" w:eastAsia="宋体" w:cs="Times New Roman"/>
                <w:color w:val="000000"/>
                <w:lang w:val="zh-CN" w:eastAsia="zh-CN"/>
              </w:rPr>
              <w:t>根据建设项目环境影响报告表编制技术指南（污染影响类）（试行）中相关规定“</w:t>
            </w:r>
            <w:r>
              <w:rPr>
                <w:rFonts w:hint="default" w:ascii="Times New Roman" w:hAnsi="Times New Roman" w:eastAsia="宋体" w:cs="Times New Roman"/>
                <w:color w:val="000000"/>
                <w:lang w:val="zh-CN" w:eastAsia="zh-CN"/>
              </w:rPr>
              <w:t>厂界外周边50米范围内存在声环境保护目标的建设项目，应监测保护目标声环境质量现状并评价达标情况</w:t>
            </w:r>
            <w:r>
              <w:rPr>
                <w:rFonts w:hint="eastAsia" w:ascii="Times New Roman" w:hAnsi="Times New Roman" w:eastAsia="宋体" w:cs="Times New Roman"/>
                <w:color w:val="000000"/>
                <w:lang w:val="zh-CN" w:eastAsia="zh-CN"/>
              </w:rPr>
              <w:t>”</w:t>
            </w:r>
            <w:r>
              <w:rPr>
                <w:rFonts w:hint="default" w:ascii="Times New Roman" w:hAnsi="Times New Roman" w:eastAsia="宋体" w:cs="Times New Roman"/>
                <w:color w:val="000000"/>
                <w:lang w:val="zh-CN" w:eastAsia="zh-CN"/>
              </w:rPr>
              <w:t>。</w:t>
            </w:r>
            <w:r>
              <w:rPr>
                <w:rFonts w:hint="eastAsia" w:ascii="Times New Roman" w:hAnsi="Times New Roman" w:eastAsia="宋体" w:cs="Times New Roman"/>
                <w:color w:val="000000"/>
                <w:lang w:val="zh-CN" w:eastAsia="zh-CN"/>
              </w:rPr>
              <w:t>本项目周边</w:t>
            </w:r>
            <w:r>
              <w:rPr>
                <w:rFonts w:hint="eastAsia" w:ascii="Times New Roman" w:hAnsi="Times New Roman" w:eastAsia="宋体" w:cs="Times New Roman"/>
                <w:color w:val="000000"/>
                <w:lang w:val="en-US" w:eastAsia="zh-CN"/>
              </w:rPr>
              <w:t>50m范围内无环境敏感目标，故不再进行声环境质量现状检测</w:t>
            </w:r>
            <w:r>
              <w:rPr>
                <w:rFonts w:hint="default" w:ascii="Times New Roman" w:hAnsi="Times New Roman" w:eastAsia="宋体" w:cs="Times New Roman"/>
                <w:color w:val="000000"/>
                <w:lang w:val="zh-CN" w:eastAsia="zh-CN"/>
              </w:rPr>
              <w:t>。</w:t>
            </w:r>
          </w:p>
          <w:p w14:paraId="5D895566">
            <w:pPr>
              <w:keepNext w:val="0"/>
              <w:keepLines w:val="0"/>
              <w:pageBreakBefore w:val="0"/>
              <w:widowControl w:val="0"/>
              <w:kinsoku/>
              <w:wordWrap w:val="0"/>
              <w:overflowPunct/>
              <w:topLinePunct w:val="0"/>
              <w:autoSpaceDE/>
              <w:autoSpaceDN/>
              <w:bidi w:val="0"/>
              <w:adjustRightInd/>
              <w:snapToGrid/>
              <w:spacing w:line="360" w:lineRule="auto"/>
              <w:ind w:firstLine="0" w:firstLineChars="0"/>
              <w:textAlignment w:val="auto"/>
              <w:rPr>
                <w:b/>
                <w:bCs/>
                <w:color w:val="auto"/>
              </w:rPr>
            </w:pPr>
            <w:r>
              <w:rPr>
                <w:rFonts w:hint="eastAsia"/>
                <w:b/>
                <w:bCs/>
                <w:color w:val="auto"/>
              </w:rPr>
              <w:t>四</w:t>
            </w:r>
            <w:r>
              <w:rPr>
                <w:b/>
                <w:bCs/>
                <w:color w:val="auto"/>
              </w:rPr>
              <w:t>、生态环境</w:t>
            </w:r>
            <w:r>
              <w:rPr>
                <w:rFonts w:hint="eastAsia"/>
                <w:b/>
                <w:bCs/>
                <w:color w:val="auto"/>
              </w:rPr>
              <w:t>质量现状</w:t>
            </w:r>
          </w:p>
          <w:p w14:paraId="6EA3D982">
            <w:pPr>
              <w:keepNext w:val="0"/>
              <w:keepLines w:val="0"/>
              <w:pageBreakBefore w:val="0"/>
              <w:widowControl w:val="0"/>
              <w:kinsoku/>
              <w:wordWrap w:val="0"/>
              <w:overflowPunct/>
              <w:topLinePunct w:val="0"/>
              <w:autoSpaceDE/>
              <w:autoSpaceDN/>
              <w:bidi w:val="0"/>
              <w:adjustRightInd/>
              <w:snapToGrid/>
              <w:spacing w:line="360" w:lineRule="auto"/>
              <w:ind w:firstLine="480"/>
              <w:textAlignment w:val="auto"/>
              <w:rPr>
                <w:color w:val="auto"/>
              </w:rPr>
            </w:pPr>
            <w:r>
              <w:rPr>
                <w:color w:val="auto"/>
              </w:rPr>
              <w:t>根据《建设项目环境影响报告表编制技术指南》（污染影响类）（试行），本项目</w:t>
            </w:r>
            <w:r>
              <w:rPr>
                <w:rFonts w:hint="eastAsia"/>
                <w:color w:val="auto"/>
              </w:rPr>
              <w:t>用地范围内无生态环境保护目标</w:t>
            </w:r>
            <w:r>
              <w:rPr>
                <w:color w:val="auto"/>
              </w:rPr>
              <w:t>，因此无需进行生态现状调查。</w:t>
            </w:r>
          </w:p>
          <w:p w14:paraId="6D53E773">
            <w:pPr>
              <w:keepNext w:val="0"/>
              <w:keepLines w:val="0"/>
              <w:pageBreakBefore w:val="0"/>
              <w:widowControl w:val="0"/>
              <w:kinsoku/>
              <w:wordWrap w:val="0"/>
              <w:overflowPunct/>
              <w:topLinePunct w:val="0"/>
              <w:autoSpaceDE/>
              <w:autoSpaceDN/>
              <w:bidi w:val="0"/>
              <w:adjustRightInd/>
              <w:snapToGrid/>
              <w:spacing w:line="360" w:lineRule="auto"/>
              <w:ind w:firstLine="0" w:firstLineChars="0"/>
              <w:textAlignment w:val="auto"/>
              <w:rPr>
                <w:b/>
                <w:bCs/>
                <w:color w:val="auto"/>
              </w:rPr>
            </w:pPr>
            <w:r>
              <w:rPr>
                <w:rFonts w:hint="eastAsia"/>
                <w:b/>
                <w:bCs/>
                <w:color w:val="auto"/>
              </w:rPr>
              <w:t>五、</w:t>
            </w:r>
            <w:r>
              <w:rPr>
                <w:b/>
                <w:bCs/>
                <w:color w:val="auto"/>
              </w:rPr>
              <w:t>电磁辐射</w:t>
            </w:r>
          </w:p>
          <w:p w14:paraId="165571E1">
            <w:pPr>
              <w:keepNext w:val="0"/>
              <w:keepLines w:val="0"/>
              <w:pageBreakBefore w:val="0"/>
              <w:widowControl w:val="0"/>
              <w:kinsoku/>
              <w:wordWrap w:val="0"/>
              <w:overflowPunct/>
              <w:topLinePunct w:val="0"/>
              <w:autoSpaceDE/>
              <w:autoSpaceDN/>
              <w:bidi w:val="0"/>
              <w:adjustRightInd/>
              <w:snapToGrid/>
              <w:spacing w:line="360" w:lineRule="auto"/>
              <w:ind w:firstLine="480"/>
              <w:textAlignment w:val="auto"/>
              <w:rPr>
                <w:color w:val="auto"/>
              </w:rPr>
            </w:pPr>
            <w:r>
              <w:rPr>
                <w:color w:val="auto"/>
              </w:rPr>
              <w:t>项目不属于新建或改建、扩建广播电台、差转台、电视塔台、卫星地球上行站、雷达等电磁辐射类项目，无需对电磁辐射现状开展监测与评价。</w:t>
            </w:r>
          </w:p>
        </w:tc>
      </w:tr>
      <w:tr w14:paraId="24652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254" w:type="pct"/>
            <w:vAlign w:val="center"/>
          </w:tcPr>
          <w:p w14:paraId="0C43EE5C">
            <w:pPr>
              <w:adjustRightInd w:val="0"/>
              <w:snapToGrid w:val="0"/>
              <w:spacing w:line="240" w:lineRule="auto"/>
              <w:ind w:firstLine="0" w:firstLineChars="0"/>
              <w:jc w:val="center"/>
              <w:rPr>
                <w:rFonts w:hint="eastAsia" w:ascii="宋体" w:hAnsi="宋体" w:cs="宋体"/>
                <w:color w:val="auto"/>
                <w:kern w:val="0"/>
                <w:szCs w:val="21"/>
              </w:rPr>
            </w:pPr>
            <w:r>
              <w:rPr>
                <w:rFonts w:hint="eastAsia" w:ascii="宋体" w:hAnsi="宋体" w:cs="宋体"/>
                <w:color w:val="auto"/>
                <w:kern w:val="0"/>
                <w:szCs w:val="21"/>
              </w:rPr>
              <w:t>环境保护目标</w:t>
            </w:r>
          </w:p>
        </w:tc>
        <w:tc>
          <w:tcPr>
            <w:tcW w:w="4745" w:type="pct"/>
            <w:vAlign w:val="center"/>
          </w:tcPr>
          <w:p w14:paraId="4BDA60B4">
            <w:pPr>
              <w:keepNext w:val="0"/>
              <w:keepLines w:val="0"/>
              <w:pageBreakBefore w:val="0"/>
              <w:widowControl w:val="0"/>
              <w:numPr>
                <w:ilvl w:val="0"/>
                <w:numId w:val="7"/>
              </w:numPr>
              <w:kinsoku/>
              <w:wordWrap w:val="0"/>
              <w:overflowPunct/>
              <w:topLinePunct w:val="0"/>
              <w:autoSpaceDE/>
              <w:autoSpaceDN/>
              <w:bidi w:val="0"/>
              <w:adjustRightInd/>
              <w:snapToGrid/>
              <w:spacing w:line="240" w:lineRule="auto"/>
              <w:ind w:left="425" w:leftChars="0" w:hanging="425" w:firstLineChars="0"/>
              <w:jc w:val="center"/>
              <w:textAlignment w:val="auto"/>
              <w:rPr>
                <w:rFonts w:hint="eastAsia" w:ascii="Times New Roman" w:hAnsi="Times New Roman" w:eastAsia="宋体" w:cs="Times New Roman"/>
                <w:b/>
                <w:bCs/>
                <w:color w:val="auto"/>
                <w:sz w:val="21"/>
                <w:szCs w:val="21"/>
                <w:u w:val="none"/>
                <w:lang w:val="en-GB"/>
              </w:rPr>
            </w:pPr>
            <w:r>
              <w:rPr>
                <w:rFonts w:hint="eastAsia" w:ascii="Times New Roman" w:hAnsi="Times New Roman" w:eastAsia="宋体" w:cs="Times New Roman"/>
                <w:b/>
                <w:bCs/>
                <w:color w:val="auto"/>
                <w:sz w:val="21"/>
                <w:szCs w:val="21"/>
                <w:u w:val="none"/>
                <w:lang w:val="en-GB"/>
              </w:rPr>
              <w:t>项目主要环境保护对象及保护级别</w:t>
            </w:r>
          </w:p>
          <w:tbl>
            <w:tblPr>
              <w:tblStyle w:val="20"/>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51"/>
              <w:gridCol w:w="2818"/>
              <w:gridCol w:w="1708"/>
              <w:gridCol w:w="1268"/>
              <w:gridCol w:w="1606"/>
            </w:tblGrid>
            <w:tr w14:paraId="72EE0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51" w:type="dxa"/>
                  <w:vAlign w:val="center"/>
                </w:tcPr>
                <w:p w14:paraId="41412FCB">
                  <w:pPr>
                    <w:spacing w:line="240" w:lineRule="auto"/>
                    <w:ind w:firstLine="0" w:firstLineChars="0"/>
                    <w:jc w:val="center"/>
                    <w:rPr>
                      <w:color w:val="auto"/>
                      <w:sz w:val="21"/>
                      <w:szCs w:val="21"/>
                    </w:rPr>
                  </w:pPr>
                  <w:r>
                    <w:rPr>
                      <w:rFonts w:hint="eastAsia"/>
                      <w:color w:val="auto"/>
                      <w:sz w:val="21"/>
                      <w:szCs w:val="21"/>
                    </w:rPr>
                    <w:t>类别</w:t>
                  </w:r>
                </w:p>
              </w:tc>
              <w:tc>
                <w:tcPr>
                  <w:tcW w:w="2818" w:type="dxa"/>
                  <w:vAlign w:val="center"/>
                </w:tcPr>
                <w:p w14:paraId="5A7B80C5">
                  <w:pPr>
                    <w:spacing w:line="240" w:lineRule="auto"/>
                    <w:ind w:firstLine="0" w:firstLineChars="0"/>
                    <w:jc w:val="center"/>
                    <w:rPr>
                      <w:color w:val="auto"/>
                      <w:sz w:val="21"/>
                      <w:szCs w:val="21"/>
                    </w:rPr>
                  </w:pPr>
                  <w:r>
                    <w:rPr>
                      <w:rFonts w:hint="eastAsia"/>
                      <w:color w:val="auto"/>
                      <w:sz w:val="21"/>
                      <w:szCs w:val="21"/>
                    </w:rPr>
                    <w:t>区域范围</w:t>
                  </w:r>
                </w:p>
              </w:tc>
              <w:tc>
                <w:tcPr>
                  <w:tcW w:w="1708" w:type="dxa"/>
                  <w:vAlign w:val="center"/>
                </w:tcPr>
                <w:p w14:paraId="616D6DBB">
                  <w:pPr>
                    <w:spacing w:line="240" w:lineRule="auto"/>
                    <w:ind w:firstLine="0" w:firstLineChars="0"/>
                    <w:jc w:val="center"/>
                    <w:rPr>
                      <w:color w:val="auto"/>
                      <w:sz w:val="21"/>
                      <w:szCs w:val="21"/>
                    </w:rPr>
                  </w:pPr>
                  <w:r>
                    <w:rPr>
                      <w:rFonts w:hint="eastAsia"/>
                      <w:color w:val="auto"/>
                      <w:sz w:val="21"/>
                      <w:szCs w:val="21"/>
                    </w:rPr>
                    <w:t>保护对象</w:t>
                  </w:r>
                </w:p>
              </w:tc>
              <w:tc>
                <w:tcPr>
                  <w:tcW w:w="1268" w:type="dxa"/>
                  <w:vAlign w:val="center"/>
                </w:tcPr>
                <w:p w14:paraId="1BF3AB46">
                  <w:pPr>
                    <w:spacing w:line="240" w:lineRule="auto"/>
                    <w:ind w:firstLine="0" w:firstLineChars="0"/>
                    <w:jc w:val="center"/>
                    <w:rPr>
                      <w:color w:val="auto"/>
                      <w:sz w:val="21"/>
                      <w:szCs w:val="21"/>
                    </w:rPr>
                  </w:pPr>
                  <w:r>
                    <w:rPr>
                      <w:color w:val="auto"/>
                      <w:sz w:val="21"/>
                      <w:szCs w:val="21"/>
                    </w:rPr>
                    <w:t>相对方位</w:t>
                  </w:r>
                </w:p>
              </w:tc>
              <w:tc>
                <w:tcPr>
                  <w:tcW w:w="1606" w:type="dxa"/>
                  <w:vAlign w:val="center"/>
                </w:tcPr>
                <w:p w14:paraId="1C4E2F82">
                  <w:pPr>
                    <w:spacing w:line="240" w:lineRule="auto"/>
                    <w:ind w:firstLine="0" w:firstLineChars="0"/>
                    <w:jc w:val="center"/>
                    <w:rPr>
                      <w:color w:val="auto"/>
                      <w:sz w:val="21"/>
                      <w:szCs w:val="21"/>
                    </w:rPr>
                  </w:pPr>
                  <w:r>
                    <w:rPr>
                      <w:rFonts w:hint="eastAsia"/>
                      <w:color w:val="auto"/>
                      <w:sz w:val="21"/>
                      <w:szCs w:val="21"/>
                    </w:rPr>
                    <w:t>相对</w:t>
                  </w:r>
                  <w:r>
                    <w:rPr>
                      <w:color w:val="auto"/>
                      <w:sz w:val="21"/>
                      <w:szCs w:val="21"/>
                    </w:rPr>
                    <w:t>距离</w:t>
                  </w:r>
                </w:p>
              </w:tc>
            </w:tr>
            <w:tr w14:paraId="16269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51" w:type="dxa"/>
                  <w:vAlign w:val="center"/>
                </w:tcPr>
                <w:p w14:paraId="21EDD147">
                  <w:pPr>
                    <w:spacing w:line="240" w:lineRule="auto"/>
                    <w:ind w:firstLine="0" w:firstLineChars="0"/>
                    <w:jc w:val="center"/>
                    <w:rPr>
                      <w:color w:val="auto"/>
                      <w:sz w:val="21"/>
                      <w:szCs w:val="21"/>
                    </w:rPr>
                  </w:pPr>
                  <w:r>
                    <w:rPr>
                      <w:rFonts w:hint="eastAsia"/>
                      <w:color w:val="auto"/>
                      <w:sz w:val="21"/>
                      <w:szCs w:val="21"/>
                    </w:rPr>
                    <w:t>大气环境</w:t>
                  </w:r>
                </w:p>
              </w:tc>
              <w:tc>
                <w:tcPr>
                  <w:tcW w:w="2818" w:type="dxa"/>
                  <w:vAlign w:val="center"/>
                </w:tcPr>
                <w:p w14:paraId="201D6664">
                  <w:pPr>
                    <w:spacing w:line="240" w:lineRule="auto"/>
                    <w:ind w:firstLine="0" w:firstLineChars="0"/>
                    <w:jc w:val="center"/>
                    <w:rPr>
                      <w:color w:val="auto"/>
                      <w:sz w:val="21"/>
                      <w:szCs w:val="21"/>
                    </w:rPr>
                  </w:pPr>
                  <w:r>
                    <w:rPr>
                      <w:bCs/>
                      <w:color w:val="auto"/>
                      <w:sz w:val="21"/>
                      <w:szCs w:val="21"/>
                    </w:rPr>
                    <w:t>≤500m</w:t>
                  </w:r>
                </w:p>
              </w:tc>
              <w:tc>
                <w:tcPr>
                  <w:tcW w:w="1708" w:type="dxa"/>
                  <w:vAlign w:val="center"/>
                </w:tcPr>
                <w:p w14:paraId="11A3E021">
                  <w:pPr>
                    <w:spacing w:line="240" w:lineRule="auto"/>
                    <w:ind w:firstLine="0" w:firstLineChars="0"/>
                    <w:jc w:val="center"/>
                    <w:rPr>
                      <w:color w:val="auto"/>
                      <w:sz w:val="21"/>
                      <w:szCs w:val="21"/>
                    </w:rPr>
                  </w:pPr>
                  <w:r>
                    <w:rPr>
                      <w:rFonts w:hint="eastAsia"/>
                      <w:color w:val="auto"/>
                      <w:sz w:val="21"/>
                      <w:szCs w:val="21"/>
                      <w:lang w:val="en-US" w:eastAsia="zh-CN"/>
                    </w:rPr>
                    <w:t>徐屯</w:t>
                  </w:r>
                  <w:r>
                    <w:rPr>
                      <w:color w:val="auto"/>
                      <w:sz w:val="21"/>
                      <w:szCs w:val="21"/>
                    </w:rPr>
                    <w:t>村</w:t>
                  </w:r>
                </w:p>
              </w:tc>
              <w:tc>
                <w:tcPr>
                  <w:tcW w:w="1268" w:type="dxa"/>
                  <w:vAlign w:val="center"/>
                </w:tcPr>
                <w:p w14:paraId="39E0230D">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SE</w:t>
                  </w:r>
                </w:p>
              </w:tc>
              <w:tc>
                <w:tcPr>
                  <w:tcW w:w="1606" w:type="dxa"/>
                  <w:vAlign w:val="center"/>
                </w:tcPr>
                <w:p w14:paraId="5E127CE8">
                  <w:pPr>
                    <w:spacing w:line="240" w:lineRule="auto"/>
                    <w:ind w:firstLine="0" w:firstLineChars="0"/>
                    <w:jc w:val="center"/>
                    <w:rPr>
                      <w:color w:val="auto"/>
                      <w:sz w:val="21"/>
                      <w:szCs w:val="21"/>
                    </w:rPr>
                  </w:pPr>
                  <w:r>
                    <w:rPr>
                      <w:rFonts w:hint="eastAsia"/>
                      <w:color w:val="auto"/>
                      <w:sz w:val="21"/>
                      <w:szCs w:val="21"/>
                      <w:lang w:val="en-US" w:eastAsia="zh-CN"/>
                    </w:rPr>
                    <w:t>40</w:t>
                  </w:r>
                  <w:r>
                    <w:rPr>
                      <w:color w:val="auto"/>
                      <w:sz w:val="21"/>
                      <w:szCs w:val="21"/>
                    </w:rPr>
                    <w:t>0m</w:t>
                  </w:r>
                </w:p>
              </w:tc>
            </w:tr>
            <w:tr w14:paraId="0AB0C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51" w:type="dxa"/>
                  <w:vAlign w:val="center"/>
                </w:tcPr>
                <w:p w14:paraId="73374AA6">
                  <w:pPr>
                    <w:spacing w:line="240" w:lineRule="auto"/>
                    <w:ind w:firstLine="0" w:firstLineChars="0"/>
                    <w:jc w:val="center"/>
                    <w:rPr>
                      <w:color w:val="auto"/>
                      <w:sz w:val="21"/>
                      <w:szCs w:val="21"/>
                    </w:rPr>
                  </w:pPr>
                  <w:r>
                    <w:rPr>
                      <w:rFonts w:hint="eastAsia"/>
                      <w:color w:val="auto"/>
                      <w:sz w:val="21"/>
                      <w:szCs w:val="21"/>
                    </w:rPr>
                    <w:t>声环境</w:t>
                  </w:r>
                </w:p>
              </w:tc>
              <w:tc>
                <w:tcPr>
                  <w:tcW w:w="2818" w:type="dxa"/>
                  <w:vAlign w:val="center"/>
                </w:tcPr>
                <w:p w14:paraId="77EB0ACB">
                  <w:pPr>
                    <w:spacing w:line="240" w:lineRule="auto"/>
                    <w:ind w:firstLine="0" w:firstLineChars="0"/>
                    <w:jc w:val="center"/>
                    <w:rPr>
                      <w:bCs/>
                      <w:color w:val="auto"/>
                      <w:sz w:val="21"/>
                      <w:szCs w:val="21"/>
                    </w:rPr>
                  </w:pPr>
                  <w:r>
                    <w:rPr>
                      <w:bCs/>
                      <w:color w:val="auto"/>
                      <w:sz w:val="21"/>
                      <w:szCs w:val="21"/>
                    </w:rPr>
                    <w:t>≤50m</w:t>
                  </w:r>
                </w:p>
              </w:tc>
              <w:tc>
                <w:tcPr>
                  <w:tcW w:w="1708" w:type="dxa"/>
                  <w:vAlign w:val="center"/>
                </w:tcPr>
                <w:p w14:paraId="7D7124BD">
                  <w:pPr>
                    <w:spacing w:line="240" w:lineRule="auto"/>
                    <w:ind w:firstLine="0" w:firstLineChars="0"/>
                    <w:jc w:val="center"/>
                    <w:rPr>
                      <w:color w:val="auto"/>
                      <w:sz w:val="21"/>
                      <w:szCs w:val="21"/>
                    </w:rPr>
                  </w:pPr>
                  <w:r>
                    <w:rPr>
                      <w:rFonts w:hint="eastAsia"/>
                      <w:color w:val="auto"/>
                      <w:sz w:val="21"/>
                      <w:szCs w:val="21"/>
                    </w:rPr>
                    <w:t>/</w:t>
                  </w:r>
                </w:p>
              </w:tc>
              <w:tc>
                <w:tcPr>
                  <w:tcW w:w="1268" w:type="dxa"/>
                  <w:vAlign w:val="center"/>
                </w:tcPr>
                <w:p w14:paraId="52D312CD">
                  <w:pPr>
                    <w:spacing w:line="240" w:lineRule="auto"/>
                    <w:ind w:firstLine="0" w:firstLineChars="0"/>
                    <w:jc w:val="center"/>
                    <w:rPr>
                      <w:color w:val="auto"/>
                      <w:sz w:val="21"/>
                      <w:szCs w:val="21"/>
                    </w:rPr>
                  </w:pPr>
                  <w:r>
                    <w:rPr>
                      <w:rFonts w:hint="eastAsia"/>
                      <w:color w:val="auto"/>
                      <w:sz w:val="21"/>
                      <w:szCs w:val="21"/>
                    </w:rPr>
                    <w:t>/</w:t>
                  </w:r>
                </w:p>
              </w:tc>
              <w:tc>
                <w:tcPr>
                  <w:tcW w:w="1606" w:type="dxa"/>
                  <w:vAlign w:val="center"/>
                </w:tcPr>
                <w:p w14:paraId="66754009">
                  <w:pPr>
                    <w:spacing w:line="240" w:lineRule="auto"/>
                    <w:ind w:firstLine="0" w:firstLineChars="0"/>
                    <w:jc w:val="center"/>
                    <w:rPr>
                      <w:color w:val="auto"/>
                      <w:sz w:val="21"/>
                      <w:szCs w:val="21"/>
                    </w:rPr>
                  </w:pPr>
                  <w:r>
                    <w:rPr>
                      <w:rFonts w:hint="eastAsia"/>
                      <w:color w:val="auto"/>
                      <w:sz w:val="21"/>
                      <w:szCs w:val="21"/>
                    </w:rPr>
                    <w:t>/</w:t>
                  </w:r>
                </w:p>
              </w:tc>
            </w:tr>
            <w:tr w14:paraId="140A9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51" w:type="dxa"/>
                  <w:vAlign w:val="center"/>
                </w:tcPr>
                <w:p w14:paraId="398ECA9A">
                  <w:pPr>
                    <w:spacing w:line="240" w:lineRule="auto"/>
                    <w:ind w:firstLine="0" w:firstLineChars="0"/>
                    <w:jc w:val="center"/>
                    <w:rPr>
                      <w:color w:val="auto"/>
                      <w:sz w:val="21"/>
                      <w:szCs w:val="21"/>
                    </w:rPr>
                  </w:pPr>
                  <w:r>
                    <w:rPr>
                      <w:color w:val="auto"/>
                      <w:sz w:val="21"/>
                      <w:szCs w:val="21"/>
                    </w:rPr>
                    <w:t>地</w:t>
                  </w:r>
                  <w:r>
                    <w:rPr>
                      <w:rFonts w:hint="eastAsia"/>
                      <w:color w:val="auto"/>
                      <w:sz w:val="21"/>
                      <w:szCs w:val="21"/>
                    </w:rPr>
                    <w:t>下</w:t>
                  </w:r>
                  <w:r>
                    <w:rPr>
                      <w:color w:val="auto"/>
                      <w:sz w:val="21"/>
                      <w:szCs w:val="21"/>
                    </w:rPr>
                    <w:t>水</w:t>
                  </w:r>
                </w:p>
              </w:tc>
              <w:tc>
                <w:tcPr>
                  <w:tcW w:w="2818" w:type="dxa"/>
                  <w:vAlign w:val="center"/>
                </w:tcPr>
                <w:p w14:paraId="189D15F6">
                  <w:pPr>
                    <w:spacing w:line="240" w:lineRule="auto"/>
                    <w:ind w:firstLine="0" w:firstLineChars="0"/>
                    <w:jc w:val="center"/>
                    <w:rPr>
                      <w:color w:val="auto"/>
                      <w:sz w:val="21"/>
                      <w:szCs w:val="21"/>
                    </w:rPr>
                  </w:pPr>
                  <w:r>
                    <w:rPr>
                      <w:bCs/>
                      <w:color w:val="auto"/>
                      <w:sz w:val="21"/>
                      <w:szCs w:val="21"/>
                    </w:rPr>
                    <w:t>≤500m</w:t>
                  </w:r>
                </w:p>
              </w:tc>
              <w:tc>
                <w:tcPr>
                  <w:tcW w:w="1708" w:type="dxa"/>
                  <w:vAlign w:val="center"/>
                </w:tcPr>
                <w:p w14:paraId="7F46DCAC">
                  <w:pPr>
                    <w:spacing w:line="240" w:lineRule="auto"/>
                    <w:ind w:firstLine="0" w:firstLineChars="0"/>
                    <w:jc w:val="center"/>
                    <w:rPr>
                      <w:color w:val="auto"/>
                      <w:sz w:val="21"/>
                      <w:szCs w:val="21"/>
                    </w:rPr>
                  </w:pPr>
                  <w:r>
                    <w:rPr>
                      <w:rFonts w:hint="eastAsia"/>
                      <w:color w:val="auto"/>
                      <w:sz w:val="21"/>
                      <w:szCs w:val="21"/>
                    </w:rPr>
                    <w:t>/</w:t>
                  </w:r>
                </w:p>
              </w:tc>
              <w:tc>
                <w:tcPr>
                  <w:tcW w:w="1268" w:type="dxa"/>
                  <w:vAlign w:val="center"/>
                </w:tcPr>
                <w:p w14:paraId="4C8C2CCE">
                  <w:pPr>
                    <w:spacing w:line="240" w:lineRule="auto"/>
                    <w:ind w:firstLine="0" w:firstLineChars="0"/>
                    <w:jc w:val="center"/>
                    <w:rPr>
                      <w:color w:val="auto"/>
                      <w:sz w:val="21"/>
                      <w:szCs w:val="21"/>
                    </w:rPr>
                  </w:pPr>
                  <w:r>
                    <w:rPr>
                      <w:rFonts w:hint="eastAsia"/>
                      <w:color w:val="auto"/>
                      <w:sz w:val="21"/>
                      <w:szCs w:val="21"/>
                    </w:rPr>
                    <w:t>/</w:t>
                  </w:r>
                </w:p>
              </w:tc>
              <w:tc>
                <w:tcPr>
                  <w:tcW w:w="1606" w:type="dxa"/>
                  <w:vAlign w:val="center"/>
                </w:tcPr>
                <w:p w14:paraId="149A684F">
                  <w:pPr>
                    <w:spacing w:line="240" w:lineRule="auto"/>
                    <w:ind w:firstLine="0" w:firstLineChars="0"/>
                    <w:jc w:val="center"/>
                    <w:rPr>
                      <w:color w:val="auto"/>
                      <w:sz w:val="21"/>
                      <w:szCs w:val="21"/>
                    </w:rPr>
                  </w:pPr>
                  <w:r>
                    <w:rPr>
                      <w:rFonts w:hint="eastAsia"/>
                      <w:color w:val="auto"/>
                      <w:sz w:val="21"/>
                      <w:szCs w:val="21"/>
                    </w:rPr>
                    <w:t>/</w:t>
                  </w:r>
                </w:p>
              </w:tc>
            </w:tr>
            <w:tr w14:paraId="342E4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51" w:type="dxa"/>
                  <w:vAlign w:val="center"/>
                </w:tcPr>
                <w:p w14:paraId="61AA27F0">
                  <w:pPr>
                    <w:spacing w:line="240" w:lineRule="auto"/>
                    <w:ind w:firstLine="0" w:firstLineChars="0"/>
                    <w:jc w:val="center"/>
                    <w:rPr>
                      <w:color w:val="auto"/>
                      <w:sz w:val="21"/>
                      <w:szCs w:val="21"/>
                    </w:rPr>
                  </w:pPr>
                  <w:r>
                    <w:rPr>
                      <w:rFonts w:hint="eastAsia"/>
                      <w:color w:val="auto"/>
                      <w:sz w:val="21"/>
                      <w:szCs w:val="21"/>
                    </w:rPr>
                    <w:t>生态环境</w:t>
                  </w:r>
                </w:p>
              </w:tc>
              <w:tc>
                <w:tcPr>
                  <w:tcW w:w="2818" w:type="dxa"/>
                  <w:vAlign w:val="center"/>
                </w:tcPr>
                <w:p w14:paraId="08A66CF9">
                  <w:pPr>
                    <w:spacing w:line="240" w:lineRule="auto"/>
                    <w:ind w:firstLine="0" w:firstLineChars="0"/>
                    <w:jc w:val="center"/>
                    <w:rPr>
                      <w:color w:val="auto"/>
                      <w:sz w:val="21"/>
                      <w:szCs w:val="21"/>
                    </w:rPr>
                  </w:pPr>
                  <w:r>
                    <w:rPr>
                      <w:rFonts w:hint="eastAsia"/>
                      <w:bCs/>
                      <w:color w:val="auto"/>
                      <w:sz w:val="21"/>
                      <w:szCs w:val="21"/>
                    </w:rPr>
                    <w:t>/</w:t>
                  </w:r>
                </w:p>
              </w:tc>
              <w:tc>
                <w:tcPr>
                  <w:tcW w:w="1708" w:type="dxa"/>
                  <w:vAlign w:val="center"/>
                </w:tcPr>
                <w:p w14:paraId="48744CC1">
                  <w:pPr>
                    <w:spacing w:line="240" w:lineRule="auto"/>
                    <w:ind w:firstLine="0" w:firstLineChars="0"/>
                    <w:jc w:val="center"/>
                    <w:rPr>
                      <w:color w:val="auto"/>
                      <w:sz w:val="21"/>
                      <w:szCs w:val="21"/>
                    </w:rPr>
                  </w:pPr>
                  <w:r>
                    <w:rPr>
                      <w:rFonts w:hint="eastAsia"/>
                      <w:color w:val="auto"/>
                      <w:sz w:val="21"/>
                      <w:szCs w:val="21"/>
                    </w:rPr>
                    <w:t>/</w:t>
                  </w:r>
                </w:p>
              </w:tc>
              <w:tc>
                <w:tcPr>
                  <w:tcW w:w="1268" w:type="dxa"/>
                  <w:vAlign w:val="center"/>
                </w:tcPr>
                <w:p w14:paraId="4C9BF091">
                  <w:pPr>
                    <w:spacing w:line="240" w:lineRule="auto"/>
                    <w:ind w:firstLine="0" w:firstLineChars="0"/>
                    <w:jc w:val="center"/>
                    <w:rPr>
                      <w:color w:val="auto"/>
                      <w:sz w:val="21"/>
                      <w:szCs w:val="21"/>
                    </w:rPr>
                  </w:pPr>
                  <w:r>
                    <w:rPr>
                      <w:color w:val="auto"/>
                      <w:sz w:val="21"/>
                      <w:szCs w:val="21"/>
                    </w:rPr>
                    <w:t>/</w:t>
                  </w:r>
                </w:p>
              </w:tc>
              <w:tc>
                <w:tcPr>
                  <w:tcW w:w="1606" w:type="dxa"/>
                  <w:vAlign w:val="center"/>
                </w:tcPr>
                <w:p w14:paraId="7C801794">
                  <w:pPr>
                    <w:spacing w:line="240" w:lineRule="auto"/>
                    <w:ind w:firstLine="0" w:firstLineChars="0"/>
                    <w:jc w:val="center"/>
                    <w:rPr>
                      <w:color w:val="auto"/>
                      <w:sz w:val="21"/>
                      <w:szCs w:val="21"/>
                    </w:rPr>
                  </w:pPr>
                  <w:r>
                    <w:rPr>
                      <w:color w:val="auto"/>
                      <w:sz w:val="21"/>
                      <w:szCs w:val="21"/>
                    </w:rPr>
                    <w:t>/</w:t>
                  </w:r>
                </w:p>
              </w:tc>
            </w:tr>
          </w:tbl>
          <w:p w14:paraId="31BC1B5E">
            <w:pPr>
              <w:ind w:firstLine="480"/>
              <w:rPr>
                <w:color w:val="auto"/>
              </w:rPr>
            </w:pPr>
          </w:p>
        </w:tc>
      </w:tr>
      <w:tr w14:paraId="76B65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254" w:type="pct"/>
            <w:tcMar>
              <w:left w:w="28" w:type="dxa"/>
              <w:right w:w="28" w:type="dxa"/>
            </w:tcMar>
            <w:vAlign w:val="center"/>
          </w:tcPr>
          <w:p w14:paraId="6C9BB5F3">
            <w:pPr>
              <w:adjustRightInd w:val="0"/>
              <w:snapToGrid w:val="0"/>
              <w:spacing w:line="240" w:lineRule="auto"/>
              <w:ind w:firstLine="0" w:firstLineChars="0"/>
              <w:jc w:val="center"/>
              <w:rPr>
                <w:rFonts w:hint="eastAsia" w:ascii="宋体" w:hAnsi="宋体" w:cs="宋体"/>
                <w:color w:val="auto"/>
                <w:kern w:val="0"/>
                <w:szCs w:val="21"/>
              </w:rPr>
            </w:pPr>
            <w:r>
              <w:rPr>
                <w:rFonts w:hint="eastAsia" w:ascii="宋体" w:hAnsi="宋体" w:cs="宋体"/>
                <w:color w:val="auto"/>
                <w:kern w:val="0"/>
                <w:szCs w:val="21"/>
              </w:rPr>
              <w:t>污染物排放控制标准</w:t>
            </w:r>
          </w:p>
        </w:tc>
        <w:tc>
          <w:tcPr>
            <w:tcW w:w="4745" w:type="pct"/>
            <w:vAlign w:val="center"/>
          </w:tcPr>
          <w:p w14:paraId="17A3458E">
            <w:pPr>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宋体" w:hAnsi="宋体" w:cs="宋体"/>
                <w:b/>
                <w:bCs/>
                <w:color w:val="auto"/>
                <w:kern w:val="0"/>
                <w:szCs w:val="21"/>
              </w:rPr>
            </w:pPr>
            <w:r>
              <w:rPr>
                <w:rFonts w:hint="eastAsia" w:ascii="宋体" w:hAnsi="宋体" w:cs="宋体"/>
                <w:b/>
                <w:bCs/>
                <w:color w:val="auto"/>
                <w:kern w:val="0"/>
                <w:szCs w:val="21"/>
              </w:rPr>
              <w:t>一、废气</w:t>
            </w:r>
          </w:p>
          <w:p w14:paraId="490EC355">
            <w:pPr>
              <w:keepNext w:val="0"/>
              <w:keepLines w:val="0"/>
              <w:pageBreakBefore w:val="0"/>
              <w:widowControl w:val="0"/>
              <w:numPr>
                <w:ilvl w:val="0"/>
                <w:numId w:val="7"/>
              </w:numPr>
              <w:kinsoku/>
              <w:wordWrap w:val="0"/>
              <w:overflowPunct/>
              <w:topLinePunct w:val="0"/>
              <w:autoSpaceDE/>
              <w:autoSpaceDN/>
              <w:bidi w:val="0"/>
              <w:adjustRightInd/>
              <w:snapToGrid/>
              <w:spacing w:line="240" w:lineRule="auto"/>
              <w:ind w:left="425" w:leftChars="0" w:hanging="425" w:firstLineChars="0"/>
              <w:jc w:val="center"/>
              <w:textAlignment w:val="auto"/>
              <w:rPr>
                <w:rFonts w:hint="eastAsia" w:ascii="Times New Roman" w:hAnsi="Times New Roman" w:eastAsia="宋体" w:cs="Times New Roman"/>
                <w:b/>
                <w:bCs/>
                <w:color w:val="auto"/>
                <w:sz w:val="21"/>
                <w:szCs w:val="21"/>
                <w:u w:val="none"/>
                <w:lang w:val="en-GB"/>
              </w:rPr>
            </w:pPr>
            <w:r>
              <w:rPr>
                <w:rFonts w:hint="eastAsia" w:ascii="Times New Roman" w:hAnsi="Times New Roman" w:eastAsia="宋体" w:cs="Times New Roman"/>
                <w:b/>
                <w:bCs/>
                <w:color w:val="auto"/>
                <w:sz w:val="21"/>
                <w:szCs w:val="21"/>
                <w:u w:val="none"/>
                <w:lang w:val="en-GB"/>
              </w:rPr>
              <w:t>废气污染物排放标准</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09"/>
              <w:gridCol w:w="993"/>
              <w:gridCol w:w="1513"/>
              <w:gridCol w:w="1558"/>
              <w:gridCol w:w="958"/>
              <w:gridCol w:w="3101"/>
            </w:tblGrid>
            <w:tr w14:paraId="5EDA1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772" w:type="pct"/>
                  <w:gridSpan w:val="2"/>
                  <w:vMerge w:val="restart"/>
                  <w:vAlign w:val="center"/>
                </w:tcPr>
                <w:p w14:paraId="5255D22F">
                  <w:pPr>
                    <w:spacing w:line="240" w:lineRule="auto"/>
                    <w:ind w:firstLine="0" w:firstLineChars="0"/>
                    <w:jc w:val="center"/>
                    <w:rPr>
                      <w:color w:val="auto"/>
                      <w:sz w:val="21"/>
                      <w:szCs w:val="21"/>
                    </w:rPr>
                  </w:pPr>
                  <w:r>
                    <w:rPr>
                      <w:color w:val="auto"/>
                      <w:sz w:val="21"/>
                      <w:szCs w:val="21"/>
                    </w:rPr>
                    <w:t>污染物</w:t>
                  </w:r>
                </w:p>
              </w:tc>
              <w:tc>
                <w:tcPr>
                  <w:tcW w:w="1821" w:type="pct"/>
                  <w:gridSpan w:val="2"/>
                  <w:vAlign w:val="center"/>
                </w:tcPr>
                <w:p w14:paraId="08EC7409">
                  <w:pPr>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大气污染物排放限值（</w:t>
                  </w:r>
                  <w:r>
                    <w:rPr>
                      <w:rFonts w:hint="eastAsia"/>
                      <w:color w:val="auto"/>
                      <w:sz w:val="21"/>
                      <w:szCs w:val="21"/>
                    </w:rPr>
                    <w:t>mg/m</w:t>
                  </w:r>
                  <w:r>
                    <w:rPr>
                      <w:rFonts w:hint="eastAsia"/>
                      <w:color w:val="auto"/>
                      <w:sz w:val="21"/>
                      <w:szCs w:val="21"/>
                      <w:vertAlign w:val="superscript"/>
                      <w:lang w:val="en-US" w:eastAsia="zh-CN"/>
                    </w:rPr>
                    <w:t>3</w:t>
                  </w:r>
                  <w:r>
                    <w:rPr>
                      <w:rFonts w:hint="eastAsia"/>
                      <w:color w:val="auto"/>
                      <w:sz w:val="21"/>
                      <w:szCs w:val="21"/>
                      <w:lang w:val="en-US" w:eastAsia="zh-CN"/>
                    </w:rPr>
                    <w:t>）</w:t>
                  </w:r>
                </w:p>
              </w:tc>
              <w:tc>
                <w:tcPr>
                  <w:tcW w:w="568" w:type="pct"/>
                  <w:vMerge w:val="restart"/>
                  <w:vAlign w:val="center"/>
                </w:tcPr>
                <w:p w14:paraId="7961D6E9">
                  <w:pPr>
                    <w:spacing w:line="240" w:lineRule="auto"/>
                    <w:ind w:firstLine="0" w:firstLineChars="0"/>
                    <w:jc w:val="center"/>
                    <w:rPr>
                      <w:rFonts w:hint="eastAsia" w:eastAsia="宋体"/>
                      <w:color w:val="auto"/>
                      <w:sz w:val="21"/>
                      <w:szCs w:val="21"/>
                      <w:lang w:eastAsia="zh-CN"/>
                    </w:rPr>
                  </w:pPr>
                  <w:r>
                    <w:rPr>
                      <w:rFonts w:hint="eastAsia"/>
                      <w:color w:val="auto"/>
                      <w:sz w:val="21"/>
                      <w:szCs w:val="21"/>
                      <w:lang w:val="en-US" w:eastAsia="zh-CN"/>
                    </w:rPr>
                    <w:t>污染物</w:t>
                  </w:r>
                  <w:r>
                    <w:rPr>
                      <w:color w:val="auto"/>
                      <w:sz w:val="21"/>
                      <w:szCs w:val="21"/>
                    </w:rPr>
                    <w:t>排放监控</w:t>
                  </w:r>
                  <w:r>
                    <w:rPr>
                      <w:rFonts w:hint="eastAsia"/>
                      <w:color w:val="auto"/>
                      <w:sz w:val="21"/>
                      <w:szCs w:val="21"/>
                      <w:lang w:val="en-US" w:eastAsia="zh-CN"/>
                    </w:rPr>
                    <w:t>位置</w:t>
                  </w:r>
                </w:p>
              </w:tc>
              <w:tc>
                <w:tcPr>
                  <w:tcW w:w="1838" w:type="pct"/>
                  <w:vMerge w:val="restart"/>
                  <w:vAlign w:val="center"/>
                </w:tcPr>
                <w:p w14:paraId="009FCCDF">
                  <w:pPr>
                    <w:spacing w:line="240" w:lineRule="auto"/>
                    <w:ind w:firstLine="0" w:firstLineChars="0"/>
                    <w:jc w:val="center"/>
                    <w:rPr>
                      <w:color w:val="auto"/>
                      <w:sz w:val="21"/>
                      <w:szCs w:val="21"/>
                    </w:rPr>
                  </w:pPr>
                  <w:r>
                    <w:rPr>
                      <w:color w:val="auto"/>
                      <w:sz w:val="21"/>
                      <w:szCs w:val="21"/>
                    </w:rPr>
                    <w:t>标准名称及级（类）别</w:t>
                  </w:r>
                </w:p>
              </w:tc>
            </w:tr>
            <w:tr w14:paraId="419EB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772" w:type="pct"/>
                  <w:gridSpan w:val="2"/>
                  <w:vMerge w:val="continue"/>
                  <w:vAlign w:val="center"/>
                </w:tcPr>
                <w:p w14:paraId="3B1E2349">
                  <w:pPr>
                    <w:spacing w:line="240" w:lineRule="auto"/>
                    <w:ind w:firstLine="0" w:firstLineChars="0"/>
                    <w:jc w:val="center"/>
                  </w:pPr>
                </w:p>
              </w:tc>
              <w:tc>
                <w:tcPr>
                  <w:tcW w:w="897" w:type="pct"/>
                  <w:vAlign w:val="center"/>
                </w:tcPr>
                <w:p w14:paraId="7AB9AA7B">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发酵尾气及其他制药工艺废气</w:t>
                  </w:r>
                </w:p>
              </w:tc>
              <w:tc>
                <w:tcPr>
                  <w:tcW w:w="923" w:type="pct"/>
                  <w:vAlign w:val="center"/>
                </w:tcPr>
                <w:p w14:paraId="16D9CE49">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污水处理站废气</w:t>
                  </w:r>
                </w:p>
              </w:tc>
              <w:tc>
                <w:tcPr>
                  <w:tcW w:w="568" w:type="pct"/>
                  <w:vMerge w:val="continue"/>
                  <w:vAlign w:val="center"/>
                </w:tcPr>
                <w:p w14:paraId="37674C1E">
                  <w:pPr>
                    <w:spacing w:line="240" w:lineRule="auto"/>
                    <w:ind w:firstLine="0" w:firstLineChars="0"/>
                    <w:jc w:val="center"/>
                    <w:rPr>
                      <w:rFonts w:hint="eastAsia"/>
                      <w:color w:val="auto"/>
                      <w:sz w:val="21"/>
                      <w:szCs w:val="21"/>
                      <w:lang w:val="en-US" w:eastAsia="zh-CN"/>
                    </w:rPr>
                  </w:pPr>
                </w:p>
              </w:tc>
              <w:tc>
                <w:tcPr>
                  <w:tcW w:w="1838" w:type="pct"/>
                  <w:vMerge w:val="continue"/>
                  <w:vAlign w:val="center"/>
                </w:tcPr>
                <w:p w14:paraId="11D4B4CE">
                  <w:pPr>
                    <w:spacing w:line="240" w:lineRule="auto"/>
                    <w:ind w:firstLine="0" w:firstLineChars="0"/>
                    <w:jc w:val="center"/>
                    <w:rPr>
                      <w:rFonts w:hint="eastAsia"/>
                      <w:color w:val="auto"/>
                      <w:sz w:val="21"/>
                      <w:szCs w:val="21"/>
                      <w:lang w:val="en-US" w:eastAsia="zh-CN"/>
                    </w:rPr>
                  </w:pPr>
                </w:p>
              </w:tc>
            </w:tr>
            <w:tr w14:paraId="7A045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3" w:type="pct"/>
                  <w:vMerge w:val="restart"/>
                  <w:shd w:val="clear" w:color="auto" w:fill="auto"/>
                  <w:vAlign w:val="center"/>
                </w:tcPr>
                <w:p w14:paraId="06B7183E">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有组织</w:t>
                  </w:r>
                </w:p>
              </w:tc>
              <w:tc>
                <w:tcPr>
                  <w:tcW w:w="588" w:type="pct"/>
                  <w:shd w:val="clear" w:color="auto" w:fill="auto"/>
                  <w:vAlign w:val="center"/>
                </w:tcPr>
                <w:p w14:paraId="4600F1AB">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颗粒物*</w:t>
                  </w:r>
                </w:p>
              </w:tc>
              <w:tc>
                <w:tcPr>
                  <w:tcW w:w="897" w:type="pct"/>
                  <w:vAlign w:val="center"/>
                </w:tcPr>
                <w:p w14:paraId="266F26A1">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20</w:t>
                  </w:r>
                </w:p>
              </w:tc>
              <w:tc>
                <w:tcPr>
                  <w:tcW w:w="923" w:type="pct"/>
                  <w:vAlign w:val="center"/>
                </w:tcPr>
                <w:p w14:paraId="46E1BFA1">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w:t>
                  </w:r>
                </w:p>
              </w:tc>
              <w:tc>
                <w:tcPr>
                  <w:tcW w:w="568" w:type="pct"/>
                  <w:vMerge w:val="restart"/>
                  <w:vAlign w:val="center"/>
                </w:tcPr>
                <w:p w14:paraId="249F910C">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车间或生产设施排气筒</w:t>
                  </w:r>
                </w:p>
              </w:tc>
              <w:tc>
                <w:tcPr>
                  <w:tcW w:w="1838" w:type="pct"/>
                  <w:vMerge w:val="restart"/>
                  <w:vAlign w:val="center"/>
                </w:tcPr>
                <w:p w14:paraId="6BA0A714">
                  <w:pPr>
                    <w:spacing w:line="240" w:lineRule="auto"/>
                    <w:ind w:firstLine="0" w:firstLineChars="0"/>
                    <w:jc w:val="center"/>
                    <w:rPr>
                      <w:color w:val="auto"/>
                      <w:sz w:val="21"/>
                      <w:szCs w:val="21"/>
                    </w:rPr>
                  </w:pPr>
                  <w:r>
                    <w:rPr>
                      <w:rFonts w:hint="eastAsia"/>
                      <w:color w:val="auto"/>
                      <w:sz w:val="21"/>
                      <w:szCs w:val="21"/>
                    </w:rPr>
                    <w:t>《制药工业大气污染物排放标准》（GB37823-2019）表</w:t>
                  </w:r>
                  <w:r>
                    <w:rPr>
                      <w:rFonts w:hint="eastAsia"/>
                      <w:color w:val="auto"/>
                      <w:sz w:val="21"/>
                      <w:szCs w:val="21"/>
                      <w:lang w:val="en-US" w:eastAsia="zh-CN"/>
                    </w:rPr>
                    <w:t>2特别</w:t>
                  </w:r>
                  <w:r>
                    <w:rPr>
                      <w:rFonts w:hint="eastAsia"/>
                      <w:color w:val="auto"/>
                      <w:sz w:val="21"/>
                      <w:szCs w:val="21"/>
                    </w:rPr>
                    <w:t>排放限值</w:t>
                  </w:r>
                </w:p>
              </w:tc>
            </w:tr>
            <w:tr w14:paraId="2E4E1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3" w:type="pct"/>
                  <w:vMerge w:val="continue"/>
                  <w:shd w:val="clear" w:color="auto" w:fill="auto"/>
                  <w:vAlign w:val="center"/>
                </w:tcPr>
                <w:p w14:paraId="4257EB2A">
                  <w:pPr>
                    <w:spacing w:line="240" w:lineRule="auto"/>
                    <w:ind w:firstLine="0" w:firstLineChars="0"/>
                    <w:jc w:val="center"/>
                    <w:rPr>
                      <w:color w:val="auto"/>
                      <w:sz w:val="21"/>
                      <w:szCs w:val="21"/>
                    </w:rPr>
                  </w:pPr>
                </w:p>
              </w:tc>
              <w:tc>
                <w:tcPr>
                  <w:tcW w:w="588" w:type="pct"/>
                  <w:shd w:val="clear" w:color="auto" w:fill="auto"/>
                  <w:vAlign w:val="center"/>
                </w:tcPr>
                <w:p w14:paraId="0E16DF4C">
                  <w:pPr>
                    <w:spacing w:line="240" w:lineRule="auto"/>
                    <w:ind w:firstLine="0" w:firstLineChars="0"/>
                    <w:jc w:val="center"/>
                    <w:rPr>
                      <w:rFonts w:hint="default" w:ascii="Times New Roman" w:hAnsi="Times New Roman" w:eastAsia="宋体" w:cs="Times New Roman"/>
                      <w:snapToGrid w:val="0"/>
                      <w:color w:val="auto"/>
                      <w:kern w:val="2"/>
                      <w:sz w:val="21"/>
                      <w:szCs w:val="21"/>
                      <w:lang w:val="en-US" w:eastAsia="zh-CN" w:bidi="ar-SA"/>
                    </w:rPr>
                  </w:pPr>
                  <w:r>
                    <w:rPr>
                      <w:color w:val="auto"/>
                      <w:sz w:val="21"/>
                      <w:szCs w:val="21"/>
                    </w:rPr>
                    <w:t>NH</w:t>
                  </w:r>
                  <w:r>
                    <w:rPr>
                      <w:color w:val="auto"/>
                      <w:sz w:val="21"/>
                      <w:szCs w:val="21"/>
                      <w:vertAlign w:val="subscript"/>
                    </w:rPr>
                    <w:t>3</w:t>
                  </w:r>
                </w:p>
              </w:tc>
              <w:tc>
                <w:tcPr>
                  <w:tcW w:w="897" w:type="pct"/>
                  <w:shd w:val="clear" w:color="auto" w:fill="auto"/>
                  <w:vAlign w:val="center"/>
                </w:tcPr>
                <w:p w14:paraId="388081D1">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c>
                <w:tcPr>
                  <w:tcW w:w="923" w:type="pct"/>
                  <w:shd w:val="clear" w:color="auto" w:fill="auto"/>
                  <w:vAlign w:val="center"/>
                </w:tcPr>
                <w:p w14:paraId="43FEFC9D">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20</w:t>
                  </w:r>
                </w:p>
              </w:tc>
              <w:tc>
                <w:tcPr>
                  <w:tcW w:w="568" w:type="pct"/>
                  <w:vMerge w:val="continue"/>
                  <w:vAlign w:val="center"/>
                </w:tcPr>
                <w:p w14:paraId="37405989">
                  <w:pPr>
                    <w:spacing w:line="240" w:lineRule="auto"/>
                    <w:ind w:firstLine="0" w:firstLineChars="0"/>
                    <w:jc w:val="center"/>
                    <w:rPr>
                      <w:rFonts w:hint="eastAsia"/>
                      <w:color w:val="auto"/>
                      <w:sz w:val="21"/>
                      <w:szCs w:val="21"/>
                    </w:rPr>
                  </w:pPr>
                </w:p>
              </w:tc>
              <w:tc>
                <w:tcPr>
                  <w:tcW w:w="1838" w:type="pct"/>
                  <w:vMerge w:val="continue"/>
                  <w:vAlign w:val="center"/>
                </w:tcPr>
                <w:p w14:paraId="27243775">
                  <w:pPr>
                    <w:spacing w:line="240" w:lineRule="auto"/>
                    <w:ind w:firstLine="0" w:firstLineChars="0"/>
                    <w:jc w:val="center"/>
                    <w:rPr>
                      <w:rFonts w:hint="eastAsia"/>
                      <w:color w:val="auto"/>
                      <w:sz w:val="21"/>
                      <w:szCs w:val="21"/>
                    </w:rPr>
                  </w:pPr>
                </w:p>
              </w:tc>
            </w:tr>
            <w:tr w14:paraId="53DFD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3" w:type="pct"/>
                  <w:vMerge w:val="continue"/>
                  <w:shd w:val="clear" w:color="auto" w:fill="auto"/>
                  <w:vAlign w:val="center"/>
                </w:tcPr>
                <w:p w14:paraId="51AD026C">
                  <w:pPr>
                    <w:spacing w:line="240" w:lineRule="auto"/>
                    <w:ind w:firstLine="0" w:firstLineChars="0"/>
                    <w:jc w:val="center"/>
                    <w:rPr>
                      <w:color w:val="auto"/>
                      <w:sz w:val="21"/>
                      <w:szCs w:val="21"/>
                    </w:rPr>
                  </w:pPr>
                </w:p>
              </w:tc>
              <w:tc>
                <w:tcPr>
                  <w:tcW w:w="588" w:type="pct"/>
                  <w:shd w:val="clear" w:color="auto" w:fill="auto"/>
                  <w:vAlign w:val="center"/>
                </w:tcPr>
                <w:p w14:paraId="5D485445">
                  <w:pPr>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color w:val="auto"/>
                      <w:sz w:val="21"/>
                      <w:szCs w:val="21"/>
                    </w:rPr>
                    <w:t>H</w:t>
                  </w:r>
                  <w:r>
                    <w:rPr>
                      <w:color w:val="auto"/>
                      <w:sz w:val="21"/>
                      <w:szCs w:val="21"/>
                      <w:vertAlign w:val="subscript"/>
                    </w:rPr>
                    <w:t>2</w:t>
                  </w:r>
                  <w:r>
                    <w:rPr>
                      <w:color w:val="auto"/>
                      <w:sz w:val="21"/>
                      <w:szCs w:val="21"/>
                    </w:rPr>
                    <w:t>S</w:t>
                  </w:r>
                </w:p>
              </w:tc>
              <w:tc>
                <w:tcPr>
                  <w:tcW w:w="897" w:type="pct"/>
                  <w:shd w:val="clear" w:color="auto" w:fill="auto"/>
                  <w:vAlign w:val="center"/>
                </w:tcPr>
                <w:p w14:paraId="5B946905">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w:t>
                  </w:r>
                </w:p>
              </w:tc>
              <w:tc>
                <w:tcPr>
                  <w:tcW w:w="923" w:type="pct"/>
                  <w:shd w:val="clear" w:color="auto" w:fill="auto"/>
                  <w:vAlign w:val="center"/>
                </w:tcPr>
                <w:p w14:paraId="372D238F">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5</w:t>
                  </w:r>
                </w:p>
              </w:tc>
              <w:tc>
                <w:tcPr>
                  <w:tcW w:w="568" w:type="pct"/>
                  <w:vMerge w:val="continue"/>
                  <w:shd w:val="clear" w:color="auto" w:fill="auto"/>
                  <w:vAlign w:val="center"/>
                </w:tcPr>
                <w:p w14:paraId="699D722C">
                  <w:pPr>
                    <w:spacing w:line="240" w:lineRule="auto"/>
                    <w:ind w:firstLine="0" w:firstLineChars="0"/>
                    <w:jc w:val="center"/>
                    <w:rPr>
                      <w:rFonts w:ascii="Times New Roman" w:hAnsi="Times New Roman" w:eastAsia="宋体" w:cs="Times New Roman"/>
                      <w:color w:val="auto"/>
                      <w:kern w:val="2"/>
                      <w:sz w:val="21"/>
                      <w:szCs w:val="21"/>
                      <w:lang w:val="en-US" w:eastAsia="zh-CN" w:bidi="ar-SA"/>
                    </w:rPr>
                  </w:pPr>
                </w:p>
              </w:tc>
              <w:tc>
                <w:tcPr>
                  <w:tcW w:w="1838" w:type="pct"/>
                  <w:vMerge w:val="continue"/>
                  <w:vAlign w:val="center"/>
                </w:tcPr>
                <w:p w14:paraId="75B2A18D">
                  <w:pPr>
                    <w:spacing w:line="240" w:lineRule="auto"/>
                    <w:ind w:firstLine="0" w:firstLineChars="0"/>
                    <w:jc w:val="center"/>
                    <w:rPr>
                      <w:color w:val="auto"/>
                      <w:sz w:val="21"/>
                      <w:szCs w:val="21"/>
                    </w:rPr>
                  </w:pPr>
                </w:p>
              </w:tc>
            </w:tr>
            <w:tr w14:paraId="3B2BC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3" w:type="pct"/>
                  <w:vMerge w:val="continue"/>
                  <w:shd w:val="clear" w:color="auto" w:fill="auto"/>
                  <w:vAlign w:val="center"/>
                </w:tcPr>
                <w:p w14:paraId="68C919DC">
                  <w:pPr>
                    <w:spacing w:line="240" w:lineRule="auto"/>
                    <w:ind w:firstLine="0" w:firstLineChars="0"/>
                    <w:jc w:val="center"/>
                    <w:rPr>
                      <w:rFonts w:hint="eastAsia"/>
                      <w:color w:val="auto"/>
                      <w:sz w:val="21"/>
                      <w:szCs w:val="21"/>
                      <w:lang w:val="en-US" w:eastAsia="zh-CN"/>
                    </w:rPr>
                  </w:pPr>
                </w:p>
              </w:tc>
              <w:tc>
                <w:tcPr>
                  <w:tcW w:w="588" w:type="pct"/>
                  <w:shd w:val="clear" w:color="auto" w:fill="auto"/>
                  <w:vAlign w:val="center"/>
                </w:tcPr>
                <w:p w14:paraId="115A2D0F">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NHMC</w:t>
                  </w:r>
                </w:p>
              </w:tc>
              <w:tc>
                <w:tcPr>
                  <w:tcW w:w="897" w:type="pct"/>
                  <w:shd w:val="clear" w:color="auto" w:fill="auto"/>
                  <w:vAlign w:val="center"/>
                </w:tcPr>
                <w:p w14:paraId="1A44B848">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60</w:t>
                  </w:r>
                </w:p>
              </w:tc>
              <w:tc>
                <w:tcPr>
                  <w:tcW w:w="923" w:type="pct"/>
                  <w:shd w:val="clear" w:color="auto" w:fill="auto"/>
                  <w:vAlign w:val="center"/>
                </w:tcPr>
                <w:p w14:paraId="78EB3A81">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60</w:t>
                  </w:r>
                </w:p>
              </w:tc>
              <w:tc>
                <w:tcPr>
                  <w:tcW w:w="568" w:type="pct"/>
                  <w:vMerge w:val="continue"/>
                  <w:shd w:val="clear" w:color="auto" w:fill="auto"/>
                  <w:vAlign w:val="center"/>
                </w:tcPr>
                <w:p w14:paraId="6B17573D">
                  <w:pPr>
                    <w:spacing w:line="240" w:lineRule="auto"/>
                    <w:ind w:firstLine="0" w:firstLineChars="0"/>
                    <w:jc w:val="center"/>
                    <w:rPr>
                      <w:rFonts w:ascii="Times New Roman" w:hAnsi="Times New Roman" w:eastAsia="宋体" w:cs="Times New Roman"/>
                      <w:color w:val="auto"/>
                      <w:kern w:val="2"/>
                      <w:sz w:val="21"/>
                      <w:szCs w:val="21"/>
                      <w:lang w:val="en-US" w:eastAsia="zh-CN" w:bidi="ar-SA"/>
                    </w:rPr>
                  </w:pPr>
                </w:p>
              </w:tc>
              <w:tc>
                <w:tcPr>
                  <w:tcW w:w="1838" w:type="pct"/>
                  <w:vMerge w:val="continue"/>
                  <w:vAlign w:val="center"/>
                </w:tcPr>
                <w:p w14:paraId="66CD11AE">
                  <w:pPr>
                    <w:spacing w:line="240" w:lineRule="auto"/>
                    <w:ind w:firstLine="0" w:firstLineChars="0"/>
                    <w:jc w:val="center"/>
                    <w:rPr>
                      <w:color w:val="auto"/>
                      <w:sz w:val="21"/>
                      <w:szCs w:val="21"/>
                    </w:rPr>
                  </w:pPr>
                </w:p>
              </w:tc>
            </w:tr>
            <w:tr w14:paraId="6E18B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3" w:type="pct"/>
                  <w:vMerge w:val="continue"/>
                  <w:shd w:val="clear" w:color="auto" w:fill="auto"/>
                  <w:vAlign w:val="center"/>
                </w:tcPr>
                <w:p w14:paraId="4EBDDF5B">
                  <w:pPr>
                    <w:spacing w:line="240" w:lineRule="auto"/>
                    <w:ind w:firstLine="0" w:firstLineChars="0"/>
                    <w:jc w:val="center"/>
                    <w:rPr>
                      <w:rFonts w:hint="eastAsia"/>
                      <w:color w:val="auto"/>
                      <w:sz w:val="21"/>
                      <w:szCs w:val="21"/>
                      <w:lang w:val="en-US" w:eastAsia="zh-CN"/>
                    </w:rPr>
                  </w:pPr>
                </w:p>
              </w:tc>
              <w:tc>
                <w:tcPr>
                  <w:tcW w:w="588" w:type="pct"/>
                  <w:shd w:val="clear" w:color="auto" w:fill="auto"/>
                  <w:vAlign w:val="center"/>
                </w:tcPr>
                <w:p w14:paraId="3D3BAA44">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臭气浓度</w:t>
                  </w:r>
                </w:p>
              </w:tc>
              <w:tc>
                <w:tcPr>
                  <w:tcW w:w="897" w:type="pct"/>
                  <w:shd w:val="clear" w:color="auto" w:fill="auto"/>
                  <w:vAlign w:val="center"/>
                </w:tcPr>
                <w:p w14:paraId="4E1A40C0">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2000</w:t>
                  </w:r>
                </w:p>
              </w:tc>
              <w:tc>
                <w:tcPr>
                  <w:tcW w:w="923" w:type="pct"/>
                  <w:shd w:val="clear" w:color="auto" w:fill="auto"/>
                  <w:vAlign w:val="center"/>
                </w:tcPr>
                <w:p w14:paraId="3F46DE30">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w:t>
                  </w:r>
                </w:p>
              </w:tc>
              <w:tc>
                <w:tcPr>
                  <w:tcW w:w="568" w:type="pct"/>
                  <w:shd w:val="clear" w:color="auto" w:fill="auto"/>
                  <w:vAlign w:val="center"/>
                </w:tcPr>
                <w:p w14:paraId="7E3273D6">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838" w:type="pct"/>
                  <w:vAlign w:val="center"/>
                </w:tcPr>
                <w:p w14:paraId="2966795D">
                  <w:pPr>
                    <w:spacing w:line="240" w:lineRule="auto"/>
                    <w:ind w:firstLine="0" w:firstLineChars="0"/>
                    <w:jc w:val="center"/>
                    <w:rPr>
                      <w:rFonts w:hint="default"/>
                      <w:color w:val="auto"/>
                      <w:sz w:val="21"/>
                      <w:szCs w:val="21"/>
                      <w:lang w:val="en-US"/>
                    </w:rPr>
                  </w:pPr>
                  <w:r>
                    <w:rPr>
                      <w:rFonts w:hint="default" w:eastAsia="宋体"/>
                      <w:color w:val="auto"/>
                      <w:sz w:val="21"/>
                      <w:szCs w:val="21"/>
                      <w:lang w:val="en-US" w:eastAsia="zh-CN"/>
                    </w:rPr>
                    <w:t>《恶臭污染物排放标准》（GB14554-1993）表</w:t>
                  </w:r>
                  <w:r>
                    <w:rPr>
                      <w:rFonts w:hint="eastAsia"/>
                      <w:color w:val="auto"/>
                      <w:sz w:val="21"/>
                      <w:szCs w:val="21"/>
                      <w:lang w:val="en-US" w:eastAsia="zh-CN"/>
                    </w:rPr>
                    <w:t>2(排气筒高度15m)</w:t>
                  </w:r>
                </w:p>
              </w:tc>
            </w:tr>
            <w:tr w14:paraId="0D875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3" w:type="pct"/>
                  <w:vMerge w:val="restart"/>
                  <w:shd w:val="clear" w:color="auto" w:fill="auto"/>
                  <w:vAlign w:val="center"/>
                </w:tcPr>
                <w:p w14:paraId="37BF051E">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无组织</w:t>
                  </w:r>
                </w:p>
              </w:tc>
              <w:tc>
                <w:tcPr>
                  <w:tcW w:w="588" w:type="pct"/>
                  <w:shd w:val="clear" w:color="auto" w:fill="auto"/>
                  <w:vAlign w:val="center"/>
                </w:tcPr>
                <w:p w14:paraId="1D13D94B">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NHMC</w:t>
                  </w:r>
                </w:p>
              </w:tc>
              <w:tc>
                <w:tcPr>
                  <w:tcW w:w="1821" w:type="pct"/>
                  <w:gridSpan w:val="2"/>
                  <w:shd w:val="clear" w:color="auto" w:fill="auto"/>
                  <w:vAlign w:val="center"/>
                </w:tcPr>
                <w:p w14:paraId="67CF55EA">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监控点处1h平均浓度值</w:t>
                  </w:r>
                  <w:r>
                    <w:rPr>
                      <w:rFonts w:hint="eastAsia" w:cs="Times New Roman"/>
                      <w:color w:val="auto"/>
                      <w:kern w:val="2"/>
                      <w:sz w:val="21"/>
                      <w:szCs w:val="21"/>
                      <w:lang w:val="en-US" w:eastAsia="zh-CN" w:bidi="ar-SA"/>
                    </w:rPr>
                    <w:t>6</w:t>
                  </w:r>
                </w:p>
                <w:p w14:paraId="45ACAF56">
                  <w:pPr>
                    <w:pStyle w:val="19"/>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textAlignment w:val="auto"/>
                    <w:rPr>
                      <w:rFonts w:hint="default"/>
                      <w:lang w:val="en-US" w:eastAsia="zh-CN"/>
                    </w:rPr>
                  </w:pPr>
                  <w:r>
                    <w:rPr>
                      <w:rFonts w:hint="eastAsia" w:eastAsia="宋体" w:cs="Times New Roman"/>
                      <w:color w:val="auto"/>
                      <w:kern w:val="2"/>
                      <w:sz w:val="21"/>
                      <w:szCs w:val="21"/>
                      <w:lang w:val="en-US" w:eastAsia="zh-CN" w:bidi="ar-SA"/>
                    </w:rPr>
                    <w:t>监控点处任意一点浓度值</w:t>
                  </w:r>
                  <w:r>
                    <w:rPr>
                      <w:rFonts w:hint="eastAsia" w:cs="Times New Roman"/>
                      <w:color w:val="auto"/>
                      <w:kern w:val="2"/>
                      <w:sz w:val="21"/>
                      <w:szCs w:val="21"/>
                      <w:lang w:val="en-US" w:eastAsia="zh-CN" w:bidi="ar-SA"/>
                    </w:rPr>
                    <w:t>20</w:t>
                  </w:r>
                </w:p>
              </w:tc>
              <w:tc>
                <w:tcPr>
                  <w:tcW w:w="568" w:type="pct"/>
                  <w:vAlign w:val="center"/>
                </w:tcPr>
                <w:p w14:paraId="2B5E9678">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在厂房外设置监控点</w:t>
                  </w:r>
                </w:p>
              </w:tc>
              <w:tc>
                <w:tcPr>
                  <w:tcW w:w="1838" w:type="pct"/>
                  <w:vAlign w:val="center"/>
                </w:tcPr>
                <w:p w14:paraId="1CA13F11">
                  <w:pPr>
                    <w:spacing w:line="240" w:lineRule="auto"/>
                    <w:ind w:firstLine="0" w:firstLineChars="0"/>
                    <w:jc w:val="center"/>
                    <w:rPr>
                      <w:color w:val="auto"/>
                      <w:sz w:val="21"/>
                      <w:szCs w:val="21"/>
                    </w:rPr>
                  </w:pPr>
                  <w:r>
                    <w:rPr>
                      <w:rFonts w:hint="eastAsia"/>
                      <w:color w:val="auto"/>
                      <w:sz w:val="21"/>
                      <w:szCs w:val="21"/>
                    </w:rPr>
                    <w:t>《制药工业大气污染物排放标准》（GB37823-2019）</w:t>
                  </w:r>
                  <w:r>
                    <w:rPr>
                      <w:rFonts w:hint="eastAsia"/>
                      <w:color w:val="auto"/>
                      <w:sz w:val="21"/>
                      <w:szCs w:val="21"/>
                      <w:lang w:val="en-US" w:eastAsia="zh-CN"/>
                    </w:rPr>
                    <w:t>表C.1</w:t>
                  </w:r>
                </w:p>
              </w:tc>
            </w:tr>
            <w:tr w14:paraId="0CE09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3" w:type="pct"/>
                  <w:vMerge w:val="continue"/>
                  <w:shd w:val="clear" w:color="auto" w:fill="auto"/>
                  <w:vAlign w:val="center"/>
                </w:tcPr>
                <w:p w14:paraId="5CA7518A">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color w:val="auto"/>
                      <w:sz w:val="21"/>
                      <w:szCs w:val="21"/>
                      <w:lang w:val="en-US" w:eastAsia="zh-CN"/>
                    </w:rPr>
                  </w:pPr>
                </w:p>
              </w:tc>
              <w:tc>
                <w:tcPr>
                  <w:tcW w:w="588" w:type="pct"/>
                  <w:shd w:val="clear" w:color="auto" w:fill="auto"/>
                  <w:vAlign w:val="center"/>
                </w:tcPr>
                <w:p w14:paraId="4129D958">
                  <w:pPr>
                    <w:spacing w:line="240" w:lineRule="auto"/>
                    <w:ind w:firstLine="0" w:firstLineChars="0"/>
                    <w:jc w:val="center"/>
                    <w:rPr>
                      <w:rFonts w:hint="eastAsia" w:ascii="Times New Roman" w:hAnsi="Times New Roman" w:eastAsia="宋体" w:cs="Times New Roman"/>
                      <w:snapToGrid w:val="0"/>
                      <w:color w:val="auto"/>
                      <w:kern w:val="2"/>
                      <w:sz w:val="21"/>
                      <w:szCs w:val="21"/>
                      <w:lang w:val="en-US" w:eastAsia="zh-CN" w:bidi="ar-SA"/>
                    </w:rPr>
                  </w:pPr>
                  <w:r>
                    <w:rPr>
                      <w:color w:val="auto"/>
                      <w:sz w:val="21"/>
                      <w:szCs w:val="21"/>
                    </w:rPr>
                    <w:t>NH</w:t>
                  </w:r>
                  <w:r>
                    <w:rPr>
                      <w:color w:val="auto"/>
                      <w:sz w:val="21"/>
                      <w:szCs w:val="21"/>
                      <w:vertAlign w:val="subscript"/>
                    </w:rPr>
                    <w:t>3</w:t>
                  </w:r>
                </w:p>
              </w:tc>
              <w:tc>
                <w:tcPr>
                  <w:tcW w:w="1821" w:type="pct"/>
                  <w:gridSpan w:val="2"/>
                  <w:shd w:val="clear" w:color="auto" w:fill="auto"/>
                  <w:vAlign w:val="center"/>
                </w:tcPr>
                <w:p w14:paraId="64ECCD9E">
                  <w:pPr>
                    <w:pStyle w:val="19"/>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textAlignment w:val="auto"/>
                    <w:rPr>
                      <w:rFonts w:hint="default"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1.5</w:t>
                  </w:r>
                </w:p>
              </w:tc>
              <w:tc>
                <w:tcPr>
                  <w:tcW w:w="568" w:type="pct"/>
                  <w:vMerge w:val="restart"/>
                  <w:vAlign w:val="center"/>
                </w:tcPr>
                <w:p w14:paraId="6A4C8DDA">
                  <w:pPr>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厂界的下风向侧</w:t>
                  </w:r>
                </w:p>
              </w:tc>
              <w:tc>
                <w:tcPr>
                  <w:tcW w:w="1838" w:type="pct"/>
                  <w:vMerge w:val="restart"/>
                  <w:vAlign w:val="center"/>
                </w:tcPr>
                <w:p w14:paraId="68A98BC4">
                  <w:pPr>
                    <w:spacing w:line="240" w:lineRule="auto"/>
                    <w:ind w:firstLine="0" w:firstLineChars="0"/>
                    <w:jc w:val="center"/>
                    <w:rPr>
                      <w:rFonts w:hint="default" w:eastAsia="宋体"/>
                      <w:color w:val="auto"/>
                      <w:sz w:val="21"/>
                      <w:szCs w:val="21"/>
                      <w:lang w:val="en-US" w:eastAsia="zh-CN"/>
                    </w:rPr>
                  </w:pPr>
                  <w:r>
                    <w:rPr>
                      <w:rFonts w:hint="default" w:eastAsia="宋体"/>
                      <w:color w:val="auto"/>
                      <w:sz w:val="21"/>
                      <w:szCs w:val="21"/>
                      <w:lang w:val="en-US" w:eastAsia="zh-CN"/>
                    </w:rPr>
                    <w:t>《恶臭污染物排放标准》（GB14554-1993）表</w:t>
                  </w:r>
                  <w:r>
                    <w:rPr>
                      <w:rFonts w:hint="eastAsia"/>
                      <w:color w:val="auto"/>
                      <w:sz w:val="21"/>
                      <w:szCs w:val="21"/>
                      <w:lang w:val="en-US" w:eastAsia="zh-CN"/>
                    </w:rPr>
                    <w:t>1</w:t>
                  </w:r>
                  <w:r>
                    <w:rPr>
                      <w:rFonts w:hint="default" w:eastAsia="宋体"/>
                      <w:color w:val="auto"/>
                      <w:sz w:val="21"/>
                      <w:szCs w:val="21"/>
                      <w:lang w:val="en-US" w:eastAsia="zh-CN"/>
                    </w:rPr>
                    <w:t>中</w:t>
                  </w:r>
                  <w:r>
                    <w:rPr>
                      <w:rFonts w:hint="eastAsia"/>
                      <w:color w:val="auto"/>
                      <w:sz w:val="21"/>
                      <w:szCs w:val="21"/>
                      <w:lang w:val="en-US" w:eastAsia="zh-CN"/>
                    </w:rPr>
                    <w:t>二级</w:t>
                  </w:r>
                  <w:r>
                    <w:rPr>
                      <w:rFonts w:hint="default" w:eastAsia="宋体"/>
                      <w:color w:val="auto"/>
                      <w:sz w:val="21"/>
                      <w:szCs w:val="21"/>
                      <w:lang w:val="en-US" w:eastAsia="zh-CN"/>
                    </w:rPr>
                    <w:t>标准</w:t>
                  </w:r>
                </w:p>
              </w:tc>
            </w:tr>
            <w:tr w14:paraId="03CB6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3" w:type="pct"/>
                  <w:vMerge w:val="continue"/>
                  <w:shd w:val="clear" w:color="auto" w:fill="auto"/>
                  <w:vAlign w:val="center"/>
                </w:tcPr>
                <w:p w14:paraId="07C7CD58">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color w:val="auto"/>
                      <w:sz w:val="21"/>
                      <w:szCs w:val="21"/>
                      <w:lang w:val="en-US" w:eastAsia="zh-CN"/>
                    </w:rPr>
                  </w:pPr>
                </w:p>
              </w:tc>
              <w:tc>
                <w:tcPr>
                  <w:tcW w:w="588" w:type="pct"/>
                  <w:shd w:val="clear" w:color="auto" w:fill="auto"/>
                  <w:vAlign w:val="center"/>
                </w:tcPr>
                <w:p w14:paraId="7FB834F5">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color w:val="auto"/>
                      <w:sz w:val="21"/>
                      <w:szCs w:val="21"/>
                    </w:rPr>
                    <w:t>H</w:t>
                  </w:r>
                  <w:r>
                    <w:rPr>
                      <w:color w:val="auto"/>
                      <w:sz w:val="21"/>
                      <w:szCs w:val="21"/>
                      <w:vertAlign w:val="subscript"/>
                    </w:rPr>
                    <w:t>2</w:t>
                  </w:r>
                  <w:r>
                    <w:rPr>
                      <w:color w:val="auto"/>
                      <w:sz w:val="21"/>
                      <w:szCs w:val="21"/>
                    </w:rPr>
                    <w:t>S</w:t>
                  </w:r>
                </w:p>
              </w:tc>
              <w:tc>
                <w:tcPr>
                  <w:tcW w:w="1821" w:type="pct"/>
                  <w:gridSpan w:val="2"/>
                  <w:shd w:val="clear" w:color="auto" w:fill="auto"/>
                  <w:vAlign w:val="center"/>
                </w:tcPr>
                <w:p w14:paraId="66B17E56">
                  <w:pPr>
                    <w:pStyle w:val="19"/>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textAlignment w:val="auto"/>
                    <w:rPr>
                      <w:rFonts w:hint="default"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0.06</w:t>
                  </w:r>
                </w:p>
              </w:tc>
              <w:tc>
                <w:tcPr>
                  <w:tcW w:w="568" w:type="pct"/>
                  <w:vMerge w:val="continue"/>
                  <w:vAlign w:val="center"/>
                </w:tcPr>
                <w:p w14:paraId="24820418">
                  <w:pPr>
                    <w:spacing w:line="240" w:lineRule="auto"/>
                    <w:ind w:firstLine="0" w:firstLineChars="0"/>
                    <w:jc w:val="center"/>
                    <w:rPr>
                      <w:rFonts w:hint="eastAsia"/>
                      <w:color w:val="auto"/>
                      <w:sz w:val="21"/>
                      <w:szCs w:val="21"/>
                      <w:lang w:val="en-US" w:eastAsia="zh-CN"/>
                    </w:rPr>
                  </w:pPr>
                </w:p>
              </w:tc>
              <w:tc>
                <w:tcPr>
                  <w:tcW w:w="1838" w:type="pct"/>
                  <w:vMerge w:val="continue"/>
                  <w:vAlign w:val="center"/>
                </w:tcPr>
                <w:p w14:paraId="698AAAF9">
                  <w:pPr>
                    <w:spacing w:line="240" w:lineRule="auto"/>
                    <w:ind w:firstLine="0" w:firstLineChars="0"/>
                    <w:jc w:val="center"/>
                    <w:rPr>
                      <w:color w:val="auto"/>
                      <w:sz w:val="21"/>
                      <w:szCs w:val="21"/>
                    </w:rPr>
                  </w:pPr>
                </w:p>
              </w:tc>
            </w:tr>
            <w:tr w14:paraId="00B63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3" w:type="pct"/>
                  <w:vMerge w:val="continue"/>
                  <w:shd w:val="clear" w:color="auto" w:fill="auto"/>
                  <w:vAlign w:val="center"/>
                </w:tcPr>
                <w:p w14:paraId="0302495D">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color w:val="auto"/>
                      <w:sz w:val="21"/>
                      <w:szCs w:val="21"/>
                      <w:lang w:val="en-US" w:eastAsia="zh-CN"/>
                    </w:rPr>
                  </w:pPr>
                </w:p>
              </w:tc>
              <w:tc>
                <w:tcPr>
                  <w:tcW w:w="588" w:type="pct"/>
                  <w:shd w:val="clear" w:color="auto" w:fill="auto"/>
                  <w:vAlign w:val="center"/>
                </w:tcPr>
                <w:p w14:paraId="55472C11">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臭气浓度</w:t>
                  </w:r>
                </w:p>
              </w:tc>
              <w:tc>
                <w:tcPr>
                  <w:tcW w:w="1821" w:type="pct"/>
                  <w:gridSpan w:val="2"/>
                  <w:shd w:val="clear" w:color="auto" w:fill="auto"/>
                  <w:vAlign w:val="center"/>
                </w:tcPr>
                <w:p w14:paraId="5DAA5666">
                  <w:pPr>
                    <w:pStyle w:val="19"/>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textAlignment w:val="auto"/>
                    <w:rPr>
                      <w:rFonts w:hint="default"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20</w:t>
                  </w:r>
                </w:p>
              </w:tc>
              <w:tc>
                <w:tcPr>
                  <w:tcW w:w="568" w:type="pct"/>
                  <w:vMerge w:val="continue"/>
                  <w:vAlign w:val="center"/>
                </w:tcPr>
                <w:p w14:paraId="05E9E0B6">
                  <w:pPr>
                    <w:spacing w:line="240" w:lineRule="auto"/>
                    <w:ind w:firstLine="0" w:firstLineChars="0"/>
                    <w:jc w:val="center"/>
                    <w:rPr>
                      <w:rFonts w:hint="eastAsia"/>
                      <w:color w:val="auto"/>
                      <w:sz w:val="21"/>
                      <w:szCs w:val="21"/>
                      <w:lang w:val="en-US" w:eastAsia="zh-CN"/>
                    </w:rPr>
                  </w:pPr>
                </w:p>
              </w:tc>
              <w:tc>
                <w:tcPr>
                  <w:tcW w:w="1838" w:type="pct"/>
                  <w:vMerge w:val="continue"/>
                  <w:vAlign w:val="center"/>
                </w:tcPr>
                <w:p w14:paraId="5931C7BE">
                  <w:pPr>
                    <w:spacing w:line="240" w:lineRule="auto"/>
                    <w:ind w:firstLine="0" w:firstLineChars="0"/>
                    <w:jc w:val="center"/>
                    <w:rPr>
                      <w:color w:val="auto"/>
                      <w:sz w:val="21"/>
                      <w:szCs w:val="21"/>
                    </w:rPr>
                  </w:pPr>
                </w:p>
              </w:tc>
            </w:tr>
            <w:tr w14:paraId="7FC06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3" w:type="pct"/>
                  <w:vMerge w:val="continue"/>
                  <w:shd w:val="clear" w:color="auto" w:fill="auto"/>
                  <w:vAlign w:val="center"/>
                </w:tcPr>
                <w:p w14:paraId="4788BC8A">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eastAsia"/>
                      <w:color w:val="auto"/>
                      <w:sz w:val="21"/>
                      <w:szCs w:val="21"/>
                      <w:lang w:val="en-US" w:eastAsia="zh-CN"/>
                    </w:rPr>
                  </w:pPr>
                </w:p>
              </w:tc>
              <w:tc>
                <w:tcPr>
                  <w:tcW w:w="588" w:type="pct"/>
                  <w:shd w:val="clear" w:color="auto" w:fill="auto"/>
                  <w:vAlign w:val="center"/>
                </w:tcPr>
                <w:p w14:paraId="0B1C1C60">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颗粒物</w:t>
                  </w:r>
                </w:p>
              </w:tc>
              <w:tc>
                <w:tcPr>
                  <w:tcW w:w="1821" w:type="pct"/>
                  <w:gridSpan w:val="2"/>
                  <w:shd w:val="clear" w:color="auto" w:fill="auto"/>
                  <w:vAlign w:val="center"/>
                </w:tcPr>
                <w:p w14:paraId="757BC0C2">
                  <w:pPr>
                    <w:pStyle w:val="19"/>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textAlignment w:val="auto"/>
                    <w:rPr>
                      <w:rFonts w:hint="default"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1.0</w:t>
                  </w:r>
                </w:p>
              </w:tc>
              <w:tc>
                <w:tcPr>
                  <w:tcW w:w="568" w:type="pct"/>
                  <w:vAlign w:val="center"/>
                </w:tcPr>
                <w:p w14:paraId="17A57057">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周界外浓度最高点</w:t>
                  </w:r>
                </w:p>
              </w:tc>
              <w:tc>
                <w:tcPr>
                  <w:tcW w:w="1838" w:type="pct"/>
                  <w:vAlign w:val="center"/>
                </w:tcPr>
                <w:p w14:paraId="2329230A">
                  <w:pPr>
                    <w:spacing w:line="240" w:lineRule="auto"/>
                    <w:ind w:firstLine="0" w:firstLineChars="0"/>
                    <w:jc w:val="center"/>
                    <w:rPr>
                      <w:color w:val="auto"/>
                      <w:sz w:val="21"/>
                      <w:szCs w:val="21"/>
                    </w:rPr>
                  </w:pPr>
                  <w:r>
                    <w:rPr>
                      <w:rFonts w:hint="eastAsia" w:ascii="Times New Roman" w:hAnsi="Times New Roman" w:eastAsia="宋体" w:cs="Times New Roman"/>
                      <w:bCs w:val="0"/>
                      <w:kern w:val="2"/>
                      <w:sz w:val="21"/>
                      <w:szCs w:val="21"/>
                      <w:lang w:val="en-US" w:eastAsia="zh-CN" w:bidi="ar-SA"/>
                    </w:rPr>
                    <w:t>《大气污染物综合排放标准》（GB16297-1996）中表2中无组织排放监控浓度限值</w:t>
                  </w:r>
                </w:p>
              </w:tc>
            </w:tr>
            <w:tr w14:paraId="2D0A6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6"/>
                  <w:shd w:val="clear" w:color="auto" w:fill="auto"/>
                  <w:vAlign w:val="center"/>
                </w:tcPr>
                <w:p w14:paraId="29D08AB0">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textAlignment w:val="auto"/>
                    <w:rPr>
                      <w:rFonts w:hint="eastAsia" w:eastAsia="宋体"/>
                      <w:bCs/>
                      <w:color w:val="000000"/>
                      <w:sz w:val="21"/>
                      <w:szCs w:val="21"/>
                      <w:lang w:val="en-US" w:eastAsia="zh-CN"/>
                    </w:rPr>
                  </w:pPr>
                  <w:r>
                    <w:rPr>
                      <w:rFonts w:hint="eastAsia"/>
                      <w:bCs/>
                      <w:color w:val="000000"/>
                      <w:sz w:val="21"/>
                      <w:szCs w:val="21"/>
                      <w:lang w:val="en-US" w:eastAsia="zh-CN"/>
                    </w:rPr>
                    <w:t>注：*</w:t>
                  </w:r>
                  <w:r>
                    <w:rPr>
                      <w:color w:val="auto"/>
                      <w:sz w:val="21"/>
                      <w:szCs w:val="21"/>
                    </w:rPr>
                    <w:t>根据</w:t>
                  </w:r>
                  <w:r>
                    <w:rPr>
                      <w:bCs/>
                      <w:color w:val="000000"/>
                      <w:sz w:val="21"/>
                      <w:szCs w:val="21"/>
                    </w:rPr>
                    <w:t>《</w:t>
                  </w:r>
                  <w:r>
                    <w:rPr>
                      <w:rFonts w:hint="eastAsia"/>
                      <w:bCs/>
                      <w:color w:val="000000"/>
                      <w:sz w:val="21"/>
                      <w:szCs w:val="21"/>
                      <w:lang w:eastAsia="zh-CN"/>
                    </w:rPr>
                    <w:t>河南省重污染天气通用行业应急减排措施制定技术指南（2024年修订版）</w:t>
                  </w:r>
                  <w:r>
                    <w:rPr>
                      <w:bCs/>
                      <w:color w:val="000000"/>
                      <w:sz w:val="21"/>
                      <w:szCs w:val="21"/>
                    </w:rPr>
                    <w:t>）</w:t>
                  </w:r>
                  <w:r>
                    <w:rPr>
                      <w:color w:val="auto"/>
                      <w:sz w:val="21"/>
                      <w:szCs w:val="21"/>
                    </w:rPr>
                    <w:t>要求，</w:t>
                  </w:r>
                  <w:r>
                    <w:rPr>
                      <w:rFonts w:hint="eastAsia"/>
                      <w:color w:val="auto"/>
                      <w:sz w:val="21"/>
                      <w:szCs w:val="21"/>
                    </w:rPr>
                    <w:t>通用行业的PM排放限值不高于10mg/m</w:t>
                  </w:r>
                  <w:r>
                    <w:rPr>
                      <w:rFonts w:hint="eastAsia"/>
                      <w:color w:val="auto"/>
                      <w:sz w:val="21"/>
                      <w:szCs w:val="21"/>
                      <w:vertAlign w:val="superscript"/>
                      <w:lang w:val="en-US" w:eastAsia="zh-CN"/>
                    </w:rPr>
                    <w:t>3</w:t>
                  </w:r>
                  <w:r>
                    <w:rPr>
                      <w:rFonts w:hint="eastAsia"/>
                      <w:color w:val="auto"/>
                      <w:sz w:val="21"/>
                      <w:szCs w:val="21"/>
                    </w:rPr>
                    <w:t>；</w:t>
                  </w:r>
                  <w:r>
                    <w:rPr>
                      <w:rFonts w:hint="eastAsia"/>
                      <w:color w:val="auto"/>
                      <w:sz w:val="21"/>
                      <w:szCs w:val="21"/>
                      <w:lang w:val="en-US" w:eastAsia="zh-CN"/>
                    </w:rPr>
                    <w:t>NHMC</w:t>
                  </w:r>
                  <w:r>
                    <w:rPr>
                      <w:rFonts w:hint="eastAsia"/>
                      <w:color w:val="auto"/>
                      <w:sz w:val="21"/>
                      <w:szCs w:val="21"/>
                    </w:rPr>
                    <w:t>排放限值不高于</w:t>
                  </w:r>
                  <w:r>
                    <w:rPr>
                      <w:rFonts w:hint="eastAsia"/>
                      <w:color w:val="auto"/>
                      <w:sz w:val="21"/>
                      <w:szCs w:val="21"/>
                      <w:lang w:val="en-US" w:eastAsia="zh-CN"/>
                    </w:rPr>
                    <w:t>30</w:t>
                  </w:r>
                  <w:r>
                    <w:rPr>
                      <w:rFonts w:hint="eastAsia"/>
                      <w:color w:val="auto"/>
                      <w:sz w:val="21"/>
                      <w:szCs w:val="21"/>
                    </w:rPr>
                    <w:t>mg/m</w:t>
                  </w:r>
                  <w:r>
                    <w:rPr>
                      <w:rFonts w:hint="eastAsia"/>
                      <w:color w:val="auto"/>
                      <w:sz w:val="21"/>
                      <w:szCs w:val="21"/>
                      <w:vertAlign w:val="superscript"/>
                      <w:lang w:val="en-US" w:eastAsia="zh-CN"/>
                    </w:rPr>
                    <w:t>3</w:t>
                  </w:r>
                  <w:r>
                    <w:rPr>
                      <w:rFonts w:hint="eastAsia"/>
                      <w:color w:val="auto"/>
                      <w:sz w:val="21"/>
                      <w:szCs w:val="21"/>
                      <w:vertAlign w:val="baseline"/>
                      <w:lang w:val="en-US" w:eastAsia="zh-CN"/>
                    </w:rPr>
                    <w:t>。</w:t>
                  </w:r>
                </w:p>
              </w:tc>
            </w:tr>
          </w:tbl>
          <w:p w14:paraId="33DB5797">
            <w:pPr>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宋体" w:hAnsi="宋体" w:cs="宋体"/>
                <w:b/>
                <w:bCs/>
                <w:color w:val="auto"/>
                <w:kern w:val="0"/>
                <w:szCs w:val="21"/>
              </w:rPr>
            </w:pPr>
            <w:r>
              <w:rPr>
                <w:rFonts w:hint="eastAsia" w:ascii="宋体" w:hAnsi="宋体" w:cs="宋体"/>
                <w:b/>
                <w:bCs/>
                <w:color w:val="auto"/>
                <w:kern w:val="0"/>
                <w:szCs w:val="21"/>
              </w:rPr>
              <w:t>二、</w:t>
            </w:r>
            <w:r>
              <w:rPr>
                <w:rFonts w:ascii="宋体" w:hAnsi="宋体" w:cs="宋体"/>
                <w:b/>
                <w:bCs/>
                <w:color w:val="auto"/>
                <w:kern w:val="0"/>
                <w:szCs w:val="21"/>
              </w:rPr>
              <w:t>废水</w:t>
            </w:r>
          </w:p>
          <w:p w14:paraId="25CCAC19">
            <w:pPr>
              <w:ind w:firstLine="480"/>
              <w:rPr>
                <w:color w:val="auto"/>
              </w:rPr>
            </w:pPr>
            <w:r>
              <w:rPr>
                <w:rFonts w:hint="eastAsia"/>
                <w:color w:val="auto"/>
              </w:rPr>
              <w:t>本项目废水执行《中药类制药工业水污染物排放标准》（GB21906-2008）</w:t>
            </w:r>
            <w:r>
              <w:rPr>
                <w:rFonts w:hint="eastAsia"/>
                <w:color w:val="auto"/>
                <w:lang w:val="en-US" w:eastAsia="zh-CN"/>
              </w:rPr>
              <w:t>表2</w:t>
            </w:r>
            <w:r>
              <w:rPr>
                <w:rFonts w:hint="eastAsia"/>
                <w:color w:val="auto"/>
              </w:rPr>
              <w:t>排放</w:t>
            </w:r>
            <w:r>
              <w:rPr>
                <w:rFonts w:hint="eastAsia"/>
                <w:color w:val="auto"/>
                <w:lang w:val="en-US" w:eastAsia="zh-CN"/>
              </w:rPr>
              <w:t>浓度</w:t>
            </w:r>
            <w:r>
              <w:rPr>
                <w:rFonts w:hint="eastAsia"/>
                <w:color w:val="auto"/>
              </w:rPr>
              <w:t>限值，同时满足南乐县污水处理厂收水水质标准。</w:t>
            </w:r>
          </w:p>
          <w:p w14:paraId="24A792AB">
            <w:pPr>
              <w:keepNext w:val="0"/>
              <w:keepLines w:val="0"/>
              <w:pageBreakBefore w:val="0"/>
              <w:widowControl w:val="0"/>
              <w:numPr>
                <w:ilvl w:val="0"/>
                <w:numId w:val="7"/>
              </w:numPr>
              <w:kinsoku/>
              <w:wordWrap w:val="0"/>
              <w:overflowPunct/>
              <w:topLinePunct w:val="0"/>
              <w:autoSpaceDE/>
              <w:autoSpaceDN/>
              <w:bidi w:val="0"/>
              <w:adjustRightInd/>
              <w:snapToGrid/>
              <w:spacing w:line="240" w:lineRule="auto"/>
              <w:ind w:left="425" w:leftChars="0" w:hanging="425" w:firstLineChars="0"/>
              <w:jc w:val="center"/>
              <w:textAlignment w:val="auto"/>
              <w:rPr>
                <w:rFonts w:hint="eastAsia" w:ascii="Times New Roman" w:hAnsi="Times New Roman" w:eastAsia="宋体" w:cs="Times New Roman"/>
                <w:b/>
                <w:bCs/>
                <w:color w:val="auto"/>
                <w:sz w:val="21"/>
                <w:szCs w:val="21"/>
                <w:u w:val="none"/>
                <w:lang w:val="en-GB"/>
              </w:rPr>
            </w:pPr>
            <w:r>
              <w:rPr>
                <w:rFonts w:hint="eastAsia" w:ascii="Times New Roman" w:hAnsi="Times New Roman" w:eastAsia="宋体" w:cs="Times New Roman"/>
                <w:b/>
                <w:bCs/>
                <w:color w:val="auto"/>
                <w:sz w:val="21"/>
                <w:szCs w:val="21"/>
                <w:u w:val="none"/>
                <w:lang w:val="en-GB"/>
              </w:rPr>
              <w:t>废水排放标准一览表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2"/>
              <w:gridCol w:w="3345"/>
              <w:gridCol w:w="2288"/>
            </w:tblGrid>
            <w:tr w14:paraId="1CCB2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2" w:type="dxa"/>
                  <w:vAlign w:val="center"/>
                </w:tcPr>
                <w:p w14:paraId="56D2B624">
                  <w:pPr>
                    <w:pStyle w:val="19"/>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auto"/>
                      <w:sz w:val="21"/>
                      <w:szCs w:val="21"/>
                      <w:vertAlign w:val="baseline"/>
                    </w:rPr>
                  </w:pPr>
                  <w:r>
                    <w:rPr>
                      <w:color w:val="auto"/>
                      <w:kern w:val="0"/>
                      <w:sz w:val="21"/>
                      <w:szCs w:val="21"/>
                    </w:rPr>
                    <w:t>废水类别</w:t>
                  </w:r>
                </w:p>
              </w:tc>
              <w:tc>
                <w:tcPr>
                  <w:tcW w:w="3345" w:type="dxa"/>
                  <w:vAlign w:val="center"/>
                </w:tcPr>
                <w:p w14:paraId="423FA49F">
                  <w:pPr>
                    <w:pStyle w:val="19"/>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auto"/>
                      <w:sz w:val="21"/>
                      <w:szCs w:val="21"/>
                      <w:vertAlign w:val="baseline"/>
                    </w:rPr>
                  </w:pPr>
                  <w:r>
                    <w:rPr>
                      <w:rFonts w:hint="eastAsia"/>
                      <w:color w:val="auto"/>
                      <w:kern w:val="0"/>
                      <w:sz w:val="21"/>
                      <w:szCs w:val="21"/>
                    </w:rPr>
                    <w:t>《中药类制药工业水污染物排放标准》（GB21906-2008）</w:t>
                  </w:r>
                  <w:r>
                    <w:rPr>
                      <w:rFonts w:hint="eastAsia"/>
                      <w:color w:val="auto"/>
                      <w:kern w:val="0"/>
                      <w:sz w:val="21"/>
                      <w:szCs w:val="21"/>
                      <w:lang w:val="en-US" w:eastAsia="zh-CN"/>
                    </w:rPr>
                    <w:t>/</w:t>
                  </w:r>
                  <w:r>
                    <w:rPr>
                      <w:color w:val="auto"/>
                      <w:kern w:val="0"/>
                      <w:sz w:val="21"/>
                      <w:szCs w:val="21"/>
                    </w:rPr>
                    <w:t>（mg/L）</w:t>
                  </w:r>
                </w:p>
              </w:tc>
              <w:tc>
                <w:tcPr>
                  <w:tcW w:w="2288" w:type="dxa"/>
                  <w:vAlign w:val="center"/>
                </w:tcPr>
                <w:p w14:paraId="625BD42F">
                  <w:pPr>
                    <w:pStyle w:val="19"/>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auto"/>
                      <w:sz w:val="21"/>
                      <w:szCs w:val="21"/>
                      <w:vertAlign w:val="baseline"/>
                    </w:rPr>
                  </w:pPr>
                  <w:r>
                    <w:rPr>
                      <w:color w:val="auto"/>
                      <w:kern w:val="0"/>
                      <w:sz w:val="21"/>
                      <w:szCs w:val="21"/>
                    </w:rPr>
                    <w:t>南乐县污水处理厂收水标准</w:t>
                  </w:r>
                  <w:r>
                    <w:rPr>
                      <w:rFonts w:hint="eastAsia"/>
                      <w:color w:val="auto"/>
                      <w:kern w:val="0"/>
                      <w:sz w:val="21"/>
                      <w:szCs w:val="21"/>
                      <w:lang w:val="en-US" w:eastAsia="zh-CN"/>
                    </w:rPr>
                    <w:t>/</w:t>
                  </w:r>
                  <w:r>
                    <w:rPr>
                      <w:color w:val="auto"/>
                      <w:kern w:val="0"/>
                      <w:sz w:val="21"/>
                      <w:szCs w:val="21"/>
                    </w:rPr>
                    <w:t>（mg/L）</w:t>
                  </w:r>
                </w:p>
              </w:tc>
            </w:tr>
            <w:tr w14:paraId="7E73B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2" w:type="dxa"/>
                  <w:vAlign w:val="center"/>
                </w:tcPr>
                <w:p w14:paraId="647AF11B">
                  <w:pPr>
                    <w:pStyle w:val="19"/>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auto"/>
                      <w:sz w:val="21"/>
                      <w:szCs w:val="21"/>
                      <w:vertAlign w:val="baseline"/>
                    </w:rPr>
                  </w:pPr>
                  <w:r>
                    <w:rPr>
                      <w:rFonts w:hint="eastAsia"/>
                      <w:color w:val="auto"/>
                      <w:kern w:val="0"/>
                      <w:sz w:val="21"/>
                      <w:szCs w:val="21"/>
                      <w:lang w:val="en-US" w:eastAsia="zh-CN"/>
                    </w:rPr>
                    <w:t>pH</w:t>
                  </w:r>
                </w:p>
              </w:tc>
              <w:tc>
                <w:tcPr>
                  <w:tcW w:w="3345" w:type="dxa"/>
                  <w:vAlign w:val="center"/>
                </w:tcPr>
                <w:p w14:paraId="19FCD223">
                  <w:pPr>
                    <w:pStyle w:val="19"/>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auto"/>
                      <w:sz w:val="21"/>
                      <w:szCs w:val="21"/>
                      <w:vertAlign w:val="baseline"/>
                    </w:rPr>
                  </w:pPr>
                  <w:r>
                    <w:rPr>
                      <w:rFonts w:hint="eastAsia"/>
                      <w:color w:val="auto"/>
                      <w:kern w:val="0"/>
                      <w:sz w:val="21"/>
                      <w:szCs w:val="21"/>
                      <w:lang w:val="en-US" w:eastAsia="zh-CN"/>
                    </w:rPr>
                    <w:t>6-9</w:t>
                  </w:r>
                </w:p>
              </w:tc>
              <w:tc>
                <w:tcPr>
                  <w:tcW w:w="2288" w:type="dxa"/>
                  <w:vAlign w:val="center"/>
                </w:tcPr>
                <w:p w14:paraId="207B68FE">
                  <w:pPr>
                    <w:pStyle w:val="19"/>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auto"/>
                      <w:sz w:val="21"/>
                      <w:szCs w:val="21"/>
                      <w:vertAlign w:val="baseline"/>
                    </w:rPr>
                  </w:pPr>
                  <w:r>
                    <w:rPr>
                      <w:rFonts w:hint="eastAsia"/>
                      <w:color w:val="auto"/>
                      <w:kern w:val="0"/>
                      <w:sz w:val="21"/>
                      <w:szCs w:val="21"/>
                      <w:lang w:val="en-US" w:eastAsia="zh-CN"/>
                    </w:rPr>
                    <w:t>6-9</w:t>
                  </w:r>
                </w:p>
              </w:tc>
            </w:tr>
            <w:tr w14:paraId="38001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2" w:type="dxa"/>
                  <w:vAlign w:val="center"/>
                </w:tcPr>
                <w:p w14:paraId="7EB6F623">
                  <w:pPr>
                    <w:pStyle w:val="19"/>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auto"/>
                      <w:sz w:val="21"/>
                      <w:szCs w:val="21"/>
                      <w:vertAlign w:val="baseline"/>
                    </w:rPr>
                  </w:pPr>
                  <w:r>
                    <w:rPr>
                      <w:rFonts w:hint="eastAsia"/>
                      <w:color w:val="auto"/>
                      <w:kern w:val="0"/>
                      <w:sz w:val="21"/>
                      <w:szCs w:val="21"/>
                      <w:lang w:val="en-US" w:eastAsia="zh-CN"/>
                    </w:rPr>
                    <w:t>色度（稀释倍数）</w:t>
                  </w:r>
                </w:p>
              </w:tc>
              <w:tc>
                <w:tcPr>
                  <w:tcW w:w="3345" w:type="dxa"/>
                  <w:vAlign w:val="center"/>
                </w:tcPr>
                <w:p w14:paraId="41E6BEEB">
                  <w:pPr>
                    <w:pStyle w:val="19"/>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auto"/>
                      <w:sz w:val="21"/>
                      <w:szCs w:val="21"/>
                      <w:vertAlign w:val="baseline"/>
                    </w:rPr>
                  </w:pPr>
                  <w:r>
                    <w:rPr>
                      <w:rFonts w:hint="eastAsia"/>
                      <w:color w:val="auto"/>
                      <w:kern w:val="0"/>
                      <w:sz w:val="21"/>
                      <w:szCs w:val="21"/>
                      <w:lang w:val="en-US" w:eastAsia="zh-CN"/>
                    </w:rPr>
                    <w:t>50</w:t>
                  </w:r>
                </w:p>
              </w:tc>
              <w:tc>
                <w:tcPr>
                  <w:tcW w:w="2288" w:type="dxa"/>
                  <w:vAlign w:val="center"/>
                </w:tcPr>
                <w:p w14:paraId="4A559044">
                  <w:pPr>
                    <w:pStyle w:val="19"/>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textAlignment w:val="auto"/>
                    <w:rPr>
                      <w:rFonts w:hint="eastAsia" w:eastAsia="宋体"/>
                      <w:b/>
                      <w:bCs/>
                      <w:color w:val="auto"/>
                      <w:sz w:val="21"/>
                      <w:szCs w:val="21"/>
                      <w:vertAlign w:val="baseline"/>
                      <w:lang w:eastAsia="zh-CN"/>
                    </w:rPr>
                  </w:pPr>
                  <w:r>
                    <w:rPr>
                      <w:rFonts w:hint="eastAsia"/>
                      <w:b/>
                      <w:bCs/>
                      <w:color w:val="auto"/>
                      <w:sz w:val="21"/>
                      <w:szCs w:val="21"/>
                      <w:vertAlign w:val="baseline"/>
                      <w:lang w:val="en-US" w:eastAsia="zh-CN"/>
                    </w:rPr>
                    <w:t>/</w:t>
                  </w:r>
                </w:p>
              </w:tc>
            </w:tr>
            <w:tr w14:paraId="5A924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2" w:type="dxa"/>
                  <w:vAlign w:val="center"/>
                </w:tcPr>
                <w:p w14:paraId="74F3A1B7">
                  <w:pPr>
                    <w:spacing w:line="240" w:lineRule="auto"/>
                    <w:ind w:firstLine="0" w:firstLineChars="0"/>
                    <w:jc w:val="center"/>
                    <w:rPr>
                      <w:rFonts w:hint="eastAsia"/>
                      <w:b/>
                      <w:bCs/>
                      <w:color w:val="auto"/>
                      <w:sz w:val="21"/>
                      <w:szCs w:val="21"/>
                      <w:vertAlign w:val="baseline"/>
                    </w:rPr>
                  </w:pPr>
                  <w:r>
                    <w:rPr>
                      <w:color w:val="auto"/>
                      <w:kern w:val="0"/>
                      <w:sz w:val="21"/>
                      <w:szCs w:val="21"/>
                    </w:rPr>
                    <w:t>CODcr</w:t>
                  </w:r>
                </w:p>
              </w:tc>
              <w:tc>
                <w:tcPr>
                  <w:tcW w:w="3345" w:type="dxa"/>
                  <w:vAlign w:val="center"/>
                </w:tcPr>
                <w:p w14:paraId="6A517579">
                  <w:pPr>
                    <w:pStyle w:val="19"/>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auto"/>
                      <w:sz w:val="21"/>
                      <w:szCs w:val="21"/>
                      <w:vertAlign w:val="baseline"/>
                    </w:rPr>
                  </w:pPr>
                  <w:r>
                    <w:rPr>
                      <w:rFonts w:hint="eastAsia" w:cs="Times New Roman"/>
                      <w:color w:val="auto"/>
                      <w:kern w:val="0"/>
                      <w:sz w:val="21"/>
                      <w:szCs w:val="21"/>
                      <w:lang w:val="en-US" w:eastAsia="zh-CN" w:bidi="ar-SA"/>
                    </w:rPr>
                    <w:t>100</w:t>
                  </w:r>
                </w:p>
              </w:tc>
              <w:tc>
                <w:tcPr>
                  <w:tcW w:w="2288" w:type="dxa"/>
                  <w:vAlign w:val="center"/>
                </w:tcPr>
                <w:p w14:paraId="409A5324">
                  <w:pPr>
                    <w:pStyle w:val="19"/>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textAlignment w:val="auto"/>
                    <w:rPr>
                      <w:rFonts w:hint="eastAsia" w:eastAsia="宋体"/>
                      <w:b/>
                      <w:bCs/>
                      <w:color w:val="auto"/>
                      <w:sz w:val="21"/>
                      <w:szCs w:val="21"/>
                      <w:vertAlign w:val="baseline"/>
                      <w:lang w:val="en-US" w:eastAsia="zh-CN"/>
                    </w:rPr>
                  </w:pPr>
                  <w:r>
                    <w:rPr>
                      <w:color w:val="auto"/>
                      <w:kern w:val="0"/>
                      <w:sz w:val="21"/>
                      <w:szCs w:val="21"/>
                    </w:rPr>
                    <w:t>40</w:t>
                  </w:r>
                  <w:r>
                    <w:rPr>
                      <w:rFonts w:hint="eastAsia"/>
                      <w:color w:val="auto"/>
                      <w:kern w:val="0"/>
                      <w:sz w:val="21"/>
                      <w:szCs w:val="21"/>
                      <w:lang w:val="en-US" w:eastAsia="zh-CN"/>
                    </w:rPr>
                    <w:t>0</w:t>
                  </w:r>
                </w:p>
              </w:tc>
            </w:tr>
            <w:tr w14:paraId="1328A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2" w:type="dxa"/>
                  <w:vAlign w:val="center"/>
                </w:tcPr>
                <w:p w14:paraId="00C35D37">
                  <w:pPr>
                    <w:spacing w:line="240" w:lineRule="auto"/>
                    <w:ind w:firstLine="0" w:firstLineChars="0"/>
                    <w:jc w:val="center"/>
                    <w:rPr>
                      <w:rFonts w:hint="eastAsia"/>
                      <w:b/>
                      <w:bCs/>
                      <w:color w:val="auto"/>
                      <w:sz w:val="21"/>
                      <w:szCs w:val="21"/>
                      <w:vertAlign w:val="baseline"/>
                    </w:rPr>
                  </w:pPr>
                  <w:r>
                    <w:rPr>
                      <w:color w:val="auto"/>
                      <w:kern w:val="0"/>
                      <w:sz w:val="21"/>
                      <w:szCs w:val="21"/>
                    </w:rPr>
                    <w:t>BOD</w:t>
                  </w:r>
                  <w:r>
                    <w:rPr>
                      <w:color w:val="auto"/>
                      <w:kern w:val="0"/>
                      <w:sz w:val="21"/>
                      <w:szCs w:val="21"/>
                      <w:vertAlign w:val="subscript"/>
                    </w:rPr>
                    <w:t>5</w:t>
                  </w:r>
                </w:p>
              </w:tc>
              <w:tc>
                <w:tcPr>
                  <w:tcW w:w="3345" w:type="dxa"/>
                  <w:vAlign w:val="center"/>
                </w:tcPr>
                <w:p w14:paraId="0CFA8659">
                  <w:pPr>
                    <w:pStyle w:val="19"/>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auto"/>
                      <w:sz w:val="21"/>
                      <w:szCs w:val="21"/>
                      <w:vertAlign w:val="baseline"/>
                    </w:rPr>
                  </w:pPr>
                  <w:r>
                    <w:rPr>
                      <w:rFonts w:hint="eastAsia"/>
                      <w:color w:val="auto"/>
                      <w:kern w:val="0"/>
                      <w:sz w:val="21"/>
                      <w:szCs w:val="21"/>
                      <w:lang w:val="en-US" w:eastAsia="zh-CN"/>
                    </w:rPr>
                    <w:t>20</w:t>
                  </w:r>
                </w:p>
              </w:tc>
              <w:tc>
                <w:tcPr>
                  <w:tcW w:w="2288" w:type="dxa"/>
                  <w:vAlign w:val="center"/>
                </w:tcPr>
                <w:p w14:paraId="53882902">
                  <w:pPr>
                    <w:pStyle w:val="19"/>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textAlignment w:val="auto"/>
                    <w:rPr>
                      <w:rFonts w:hint="default" w:eastAsia="宋体"/>
                      <w:b/>
                      <w:bCs/>
                      <w:color w:val="auto"/>
                      <w:sz w:val="21"/>
                      <w:szCs w:val="21"/>
                      <w:vertAlign w:val="baseline"/>
                      <w:lang w:val="en-US" w:eastAsia="zh-CN"/>
                    </w:rPr>
                  </w:pPr>
                  <w:r>
                    <w:rPr>
                      <w:rFonts w:hint="eastAsia"/>
                      <w:color w:val="auto"/>
                      <w:kern w:val="0"/>
                      <w:sz w:val="21"/>
                      <w:szCs w:val="21"/>
                      <w:lang w:val="en-US" w:eastAsia="zh-CN"/>
                    </w:rPr>
                    <w:t>200</w:t>
                  </w:r>
                </w:p>
              </w:tc>
            </w:tr>
            <w:tr w14:paraId="18FD3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2" w:type="dxa"/>
                  <w:vAlign w:val="center"/>
                </w:tcPr>
                <w:p w14:paraId="08804CEB">
                  <w:pPr>
                    <w:pStyle w:val="19"/>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auto"/>
                      <w:sz w:val="21"/>
                      <w:szCs w:val="21"/>
                      <w:vertAlign w:val="baseline"/>
                    </w:rPr>
                  </w:pPr>
                  <w:r>
                    <w:rPr>
                      <w:color w:val="auto"/>
                      <w:kern w:val="0"/>
                      <w:sz w:val="21"/>
                      <w:szCs w:val="21"/>
                    </w:rPr>
                    <w:t>SS</w:t>
                  </w:r>
                </w:p>
              </w:tc>
              <w:tc>
                <w:tcPr>
                  <w:tcW w:w="3345" w:type="dxa"/>
                  <w:vAlign w:val="center"/>
                </w:tcPr>
                <w:p w14:paraId="23827E7C">
                  <w:pPr>
                    <w:pStyle w:val="19"/>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auto"/>
                      <w:sz w:val="21"/>
                      <w:szCs w:val="21"/>
                      <w:vertAlign w:val="baseline"/>
                    </w:rPr>
                  </w:pPr>
                  <w:r>
                    <w:rPr>
                      <w:rFonts w:hint="eastAsia"/>
                      <w:color w:val="auto"/>
                      <w:kern w:val="0"/>
                      <w:sz w:val="21"/>
                      <w:szCs w:val="21"/>
                      <w:lang w:val="en-US" w:eastAsia="zh-CN"/>
                    </w:rPr>
                    <w:t>50</w:t>
                  </w:r>
                </w:p>
              </w:tc>
              <w:tc>
                <w:tcPr>
                  <w:tcW w:w="2288" w:type="dxa"/>
                  <w:vAlign w:val="center"/>
                </w:tcPr>
                <w:p w14:paraId="37D17FB6">
                  <w:pPr>
                    <w:pStyle w:val="19"/>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textAlignment w:val="auto"/>
                    <w:rPr>
                      <w:rFonts w:hint="default" w:eastAsia="宋体"/>
                      <w:b/>
                      <w:bCs/>
                      <w:color w:val="auto"/>
                      <w:sz w:val="21"/>
                      <w:szCs w:val="21"/>
                      <w:vertAlign w:val="baseline"/>
                      <w:lang w:val="en-US" w:eastAsia="zh-CN"/>
                    </w:rPr>
                  </w:pPr>
                  <w:r>
                    <w:rPr>
                      <w:rFonts w:hint="eastAsia"/>
                      <w:color w:val="auto"/>
                      <w:kern w:val="0"/>
                      <w:sz w:val="21"/>
                      <w:szCs w:val="21"/>
                      <w:lang w:val="en-US" w:eastAsia="zh-CN"/>
                    </w:rPr>
                    <w:t>350</w:t>
                  </w:r>
                </w:p>
              </w:tc>
            </w:tr>
            <w:tr w14:paraId="6029C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2" w:type="dxa"/>
                  <w:vAlign w:val="center"/>
                </w:tcPr>
                <w:p w14:paraId="0ED7A846">
                  <w:pPr>
                    <w:pStyle w:val="19"/>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auto"/>
                      <w:sz w:val="21"/>
                      <w:szCs w:val="21"/>
                      <w:vertAlign w:val="baseline"/>
                    </w:rPr>
                  </w:pPr>
                  <w:r>
                    <w:rPr>
                      <w:color w:val="auto"/>
                      <w:kern w:val="0"/>
                      <w:sz w:val="21"/>
                      <w:szCs w:val="21"/>
                    </w:rPr>
                    <w:t>NH</w:t>
                  </w:r>
                  <w:r>
                    <w:rPr>
                      <w:color w:val="auto"/>
                      <w:kern w:val="0"/>
                      <w:sz w:val="21"/>
                      <w:szCs w:val="21"/>
                      <w:vertAlign w:val="subscript"/>
                    </w:rPr>
                    <w:t>3</w:t>
                  </w:r>
                  <w:r>
                    <w:rPr>
                      <w:color w:val="auto"/>
                      <w:kern w:val="0"/>
                      <w:sz w:val="21"/>
                      <w:szCs w:val="21"/>
                    </w:rPr>
                    <w:t>-N</w:t>
                  </w:r>
                </w:p>
              </w:tc>
              <w:tc>
                <w:tcPr>
                  <w:tcW w:w="3345" w:type="dxa"/>
                  <w:vAlign w:val="center"/>
                </w:tcPr>
                <w:p w14:paraId="49624051">
                  <w:pPr>
                    <w:pStyle w:val="19"/>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auto"/>
                      <w:sz w:val="21"/>
                      <w:szCs w:val="21"/>
                      <w:vertAlign w:val="baseline"/>
                    </w:rPr>
                  </w:pPr>
                  <w:r>
                    <w:rPr>
                      <w:rFonts w:hint="eastAsia"/>
                      <w:color w:val="auto"/>
                      <w:kern w:val="0"/>
                      <w:sz w:val="21"/>
                      <w:szCs w:val="21"/>
                      <w:lang w:val="en-US" w:eastAsia="zh-CN"/>
                    </w:rPr>
                    <w:t>8</w:t>
                  </w:r>
                </w:p>
              </w:tc>
              <w:tc>
                <w:tcPr>
                  <w:tcW w:w="2288" w:type="dxa"/>
                  <w:vAlign w:val="center"/>
                </w:tcPr>
                <w:p w14:paraId="0E7F798C">
                  <w:pPr>
                    <w:pStyle w:val="19"/>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textAlignment w:val="auto"/>
                    <w:rPr>
                      <w:rFonts w:hint="default" w:eastAsia="宋体"/>
                      <w:b/>
                      <w:bCs/>
                      <w:color w:val="auto"/>
                      <w:sz w:val="21"/>
                      <w:szCs w:val="21"/>
                      <w:vertAlign w:val="baseline"/>
                      <w:lang w:val="en-US" w:eastAsia="zh-CN"/>
                    </w:rPr>
                  </w:pPr>
                  <w:r>
                    <w:rPr>
                      <w:rFonts w:hint="eastAsia"/>
                      <w:color w:val="auto"/>
                      <w:kern w:val="0"/>
                      <w:sz w:val="21"/>
                      <w:szCs w:val="21"/>
                      <w:lang w:val="en-US" w:eastAsia="zh-CN"/>
                    </w:rPr>
                    <w:t>35</w:t>
                  </w:r>
                </w:p>
              </w:tc>
            </w:tr>
            <w:tr w14:paraId="48CCD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2" w:type="dxa"/>
                  <w:vAlign w:val="center"/>
                </w:tcPr>
                <w:p w14:paraId="18C16EC1">
                  <w:pPr>
                    <w:pStyle w:val="19"/>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textAlignment w:val="auto"/>
                    <w:rPr>
                      <w:rFonts w:hint="eastAsia"/>
                      <w:color w:val="auto"/>
                      <w:kern w:val="0"/>
                      <w:sz w:val="21"/>
                      <w:szCs w:val="21"/>
                      <w:lang w:val="en-US" w:eastAsia="zh-CN"/>
                    </w:rPr>
                  </w:pPr>
                  <w:r>
                    <w:rPr>
                      <w:rFonts w:hint="eastAsia"/>
                      <w:color w:val="auto"/>
                      <w:kern w:val="0"/>
                      <w:sz w:val="21"/>
                      <w:szCs w:val="21"/>
                      <w:lang w:val="en-US" w:eastAsia="zh-CN"/>
                    </w:rPr>
                    <w:t>单位产品基准排水量（m</w:t>
                  </w:r>
                  <w:r>
                    <w:rPr>
                      <w:rFonts w:hint="eastAsia"/>
                      <w:color w:val="auto"/>
                      <w:kern w:val="0"/>
                      <w:sz w:val="21"/>
                      <w:szCs w:val="21"/>
                      <w:vertAlign w:val="superscript"/>
                      <w:lang w:val="en-US" w:eastAsia="zh-CN"/>
                    </w:rPr>
                    <w:t>3</w:t>
                  </w:r>
                  <w:r>
                    <w:rPr>
                      <w:rFonts w:hint="eastAsia"/>
                      <w:color w:val="auto"/>
                      <w:kern w:val="0"/>
                      <w:sz w:val="21"/>
                      <w:szCs w:val="21"/>
                      <w:lang w:val="en-US" w:eastAsia="zh-CN"/>
                    </w:rPr>
                    <w:t>/t）</w:t>
                  </w:r>
                </w:p>
              </w:tc>
              <w:tc>
                <w:tcPr>
                  <w:tcW w:w="3345" w:type="dxa"/>
                  <w:vAlign w:val="center"/>
                </w:tcPr>
                <w:p w14:paraId="03540402">
                  <w:pPr>
                    <w:pStyle w:val="19"/>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auto"/>
                      <w:sz w:val="21"/>
                      <w:szCs w:val="21"/>
                      <w:vertAlign w:val="baseline"/>
                      <w:lang w:val="en-US" w:eastAsia="zh-CN"/>
                    </w:rPr>
                  </w:pPr>
                  <w:r>
                    <w:rPr>
                      <w:rFonts w:hint="eastAsia"/>
                      <w:color w:val="auto"/>
                      <w:kern w:val="0"/>
                      <w:sz w:val="21"/>
                      <w:szCs w:val="21"/>
                      <w:lang w:val="en-US" w:eastAsia="zh-CN"/>
                    </w:rPr>
                    <w:t>300</w:t>
                  </w:r>
                </w:p>
              </w:tc>
              <w:tc>
                <w:tcPr>
                  <w:tcW w:w="2288" w:type="dxa"/>
                  <w:vAlign w:val="center"/>
                </w:tcPr>
                <w:p w14:paraId="1C8241AB">
                  <w:pPr>
                    <w:pStyle w:val="19"/>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textAlignment w:val="auto"/>
                    <w:rPr>
                      <w:rFonts w:hint="eastAsia" w:eastAsia="宋体"/>
                      <w:b/>
                      <w:bCs/>
                      <w:color w:val="auto"/>
                      <w:sz w:val="21"/>
                      <w:szCs w:val="21"/>
                      <w:vertAlign w:val="baseline"/>
                      <w:lang w:val="en-US" w:eastAsia="zh-CN"/>
                    </w:rPr>
                  </w:pPr>
                  <w:r>
                    <w:rPr>
                      <w:rFonts w:hint="eastAsia"/>
                      <w:b/>
                      <w:bCs/>
                      <w:color w:val="auto"/>
                      <w:sz w:val="21"/>
                      <w:szCs w:val="21"/>
                      <w:vertAlign w:val="baseline"/>
                      <w:lang w:val="en-US" w:eastAsia="zh-CN"/>
                    </w:rPr>
                    <w:t>/</w:t>
                  </w:r>
                </w:p>
              </w:tc>
            </w:tr>
          </w:tbl>
          <w:p w14:paraId="2BAE7717">
            <w:pPr>
              <w:keepNext w:val="0"/>
              <w:keepLines w:val="0"/>
              <w:pageBreakBefore w:val="0"/>
              <w:widowControl w:val="0"/>
              <w:kinsoku/>
              <w:wordWrap w:val="0"/>
              <w:overflowPunct/>
              <w:topLinePunct w:val="0"/>
              <w:autoSpaceDE/>
              <w:autoSpaceDN/>
              <w:bidi w:val="0"/>
              <w:adjustRightInd/>
              <w:snapToGrid/>
              <w:ind w:firstLine="0" w:firstLineChars="0"/>
              <w:textAlignment w:val="auto"/>
              <w:rPr>
                <w:b/>
                <w:bCs/>
                <w:color w:val="auto"/>
              </w:rPr>
            </w:pPr>
            <w:r>
              <w:rPr>
                <w:rFonts w:hint="eastAsia"/>
                <w:b/>
                <w:bCs/>
                <w:color w:val="auto"/>
              </w:rPr>
              <w:t>三、噪声</w:t>
            </w:r>
          </w:p>
          <w:p w14:paraId="5333E7C0">
            <w:pPr>
              <w:keepNext w:val="0"/>
              <w:keepLines w:val="0"/>
              <w:pageBreakBefore w:val="0"/>
              <w:widowControl w:val="0"/>
              <w:numPr>
                <w:ilvl w:val="0"/>
                <w:numId w:val="7"/>
              </w:numPr>
              <w:kinsoku/>
              <w:wordWrap w:val="0"/>
              <w:overflowPunct/>
              <w:topLinePunct w:val="0"/>
              <w:autoSpaceDE/>
              <w:autoSpaceDN/>
              <w:bidi w:val="0"/>
              <w:adjustRightInd/>
              <w:snapToGrid/>
              <w:spacing w:line="240" w:lineRule="auto"/>
              <w:ind w:left="425" w:leftChars="0" w:hanging="425" w:firstLineChars="0"/>
              <w:jc w:val="center"/>
              <w:textAlignment w:val="auto"/>
              <w:rPr>
                <w:rFonts w:hint="eastAsia" w:ascii="Times New Roman" w:hAnsi="Times New Roman" w:eastAsia="宋体" w:cs="Times New Roman"/>
                <w:b/>
                <w:bCs/>
                <w:color w:val="auto"/>
                <w:sz w:val="21"/>
                <w:szCs w:val="21"/>
                <w:u w:val="none"/>
                <w:lang w:val="en-GB"/>
              </w:rPr>
            </w:pPr>
            <w:r>
              <w:rPr>
                <w:rFonts w:hint="eastAsia" w:ascii="Times New Roman" w:hAnsi="Times New Roman" w:eastAsia="宋体" w:cs="Times New Roman"/>
                <w:b/>
                <w:bCs/>
                <w:color w:val="auto"/>
                <w:sz w:val="21"/>
                <w:szCs w:val="21"/>
                <w:u w:val="none"/>
                <w:lang w:val="en-GB"/>
              </w:rPr>
              <w:t>噪声排放标准</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72"/>
              <w:gridCol w:w="1614"/>
              <w:gridCol w:w="1616"/>
              <w:gridCol w:w="4230"/>
            </w:tblGrid>
            <w:tr w14:paraId="21103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76" w:type="pct"/>
                  <w:shd w:val="clear" w:color="auto" w:fill="auto"/>
                  <w:vAlign w:val="center"/>
                </w:tcPr>
                <w:p w14:paraId="53626DE1">
                  <w:pPr>
                    <w:spacing w:line="240" w:lineRule="auto"/>
                    <w:ind w:firstLine="0" w:firstLineChars="0"/>
                    <w:jc w:val="center"/>
                    <w:rPr>
                      <w:color w:val="auto"/>
                      <w:sz w:val="21"/>
                      <w:szCs w:val="21"/>
                    </w:rPr>
                  </w:pPr>
                  <w:r>
                    <w:rPr>
                      <w:color w:val="auto"/>
                      <w:sz w:val="21"/>
                      <w:szCs w:val="21"/>
                    </w:rPr>
                    <w:t>类别</w:t>
                  </w:r>
                </w:p>
              </w:tc>
              <w:tc>
                <w:tcPr>
                  <w:tcW w:w="957" w:type="pct"/>
                  <w:shd w:val="clear" w:color="auto" w:fill="auto"/>
                  <w:vAlign w:val="center"/>
                </w:tcPr>
                <w:p w14:paraId="563DD941">
                  <w:pPr>
                    <w:spacing w:line="240" w:lineRule="auto"/>
                    <w:ind w:firstLine="0" w:firstLineChars="0"/>
                    <w:jc w:val="center"/>
                    <w:rPr>
                      <w:color w:val="auto"/>
                      <w:sz w:val="21"/>
                      <w:szCs w:val="21"/>
                    </w:rPr>
                  </w:pPr>
                  <w:r>
                    <w:rPr>
                      <w:color w:val="auto"/>
                      <w:sz w:val="21"/>
                      <w:szCs w:val="21"/>
                    </w:rPr>
                    <w:t>昼间</w:t>
                  </w:r>
                </w:p>
              </w:tc>
              <w:tc>
                <w:tcPr>
                  <w:tcW w:w="958" w:type="pct"/>
                  <w:shd w:val="clear" w:color="auto" w:fill="auto"/>
                  <w:vAlign w:val="center"/>
                </w:tcPr>
                <w:p w14:paraId="319D2859">
                  <w:pPr>
                    <w:spacing w:line="240" w:lineRule="auto"/>
                    <w:ind w:firstLine="0" w:firstLineChars="0"/>
                    <w:jc w:val="center"/>
                    <w:rPr>
                      <w:color w:val="auto"/>
                      <w:sz w:val="21"/>
                      <w:szCs w:val="21"/>
                    </w:rPr>
                  </w:pPr>
                  <w:r>
                    <w:rPr>
                      <w:color w:val="auto"/>
                      <w:sz w:val="21"/>
                      <w:szCs w:val="21"/>
                    </w:rPr>
                    <w:t>夜间</w:t>
                  </w:r>
                </w:p>
              </w:tc>
              <w:tc>
                <w:tcPr>
                  <w:tcW w:w="2508" w:type="pct"/>
                  <w:vAlign w:val="center"/>
                </w:tcPr>
                <w:p w14:paraId="487DC57D">
                  <w:pPr>
                    <w:spacing w:line="240" w:lineRule="auto"/>
                    <w:ind w:firstLine="0" w:firstLineChars="0"/>
                    <w:jc w:val="center"/>
                    <w:rPr>
                      <w:color w:val="auto"/>
                      <w:sz w:val="21"/>
                      <w:szCs w:val="21"/>
                    </w:rPr>
                  </w:pPr>
                  <w:r>
                    <w:rPr>
                      <w:rFonts w:hint="eastAsia"/>
                      <w:color w:val="auto"/>
                      <w:sz w:val="21"/>
                      <w:szCs w:val="21"/>
                    </w:rPr>
                    <w:t>标准来源</w:t>
                  </w:r>
                </w:p>
              </w:tc>
            </w:tr>
            <w:tr w14:paraId="19532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76" w:type="pct"/>
                  <w:shd w:val="clear" w:color="auto" w:fill="auto"/>
                  <w:vAlign w:val="center"/>
                </w:tcPr>
                <w:p w14:paraId="0B3ADCAA">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施工期</w:t>
                  </w:r>
                </w:p>
              </w:tc>
              <w:tc>
                <w:tcPr>
                  <w:tcW w:w="957" w:type="pct"/>
                  <w:shd w:val="clear" w:color="auto" w:fill="auto"/>
                  <w:vAlign w:val="center"/>
                </w:tcPr>
                <w:p w14:paraId="0EAFAA37">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70</w:t>
                  </w:r>
                </w:p>
              </w:tc>
              <w:tc>
                <w:tcPr>
                  <w:tcW w:w="958" w:type="pct"/>
                  <w:shd w:val="clear" w:color="auto" w:fill="auto"/>
                  <w:vAlign w:val="center"/>
                </w:tcPr>
                <w:p w14:paraId="4AD84F37">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55</w:t>
                  </w:r>
                </w:p>
              </w:tc>
              <w:tc>
                <w:tcPr>
                  <w:tcW w:w="2508" w:type="pct"/>
                  <w:vAlign w:val="center"/>
                </w:tcPr>
                <w:p w14:paraId="791A26E5">
                  <w:pPr>
                    <w:spacing w:line="240" w:lineRule="auto"/>
                    <w:ind w:firstLine="0" w:firstLineChars="0"/>
                    <w:jc w:val="center"/>
                    <w:rPr>
                      <w:rFonts w:hint="eastAsia"/>
                      <w:color w:val="auto"/>
                      <w:sz w:val="21"/>
                      <w:szCs w:val="21"/>
                    </w:rPr>
                  </w:pPr>
                  <w:r>
                    <w:rPr>
                      <w:rFonts w:hint="eastAsia"/>
                      <w:color w:val="auto"/>
                      <w:sz w:val="21"/>
                      <w:szCs w:val="21"/>
                    </w:rPr>
                    <w:t>《建筑施工场界环境噪声排放标准》（GB12523－2011）</w:t>
                  </w:r>
                </w:p>
              </w:tc>
            </w:tr>
            <w:tr w14:paraId="455F9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76" w:type="pct"/>
                  <w:shd w:val="clear" w:color="auto" w:fill="auto"/>
                  <w:vAlign w:val="center"/>
                </w:tcPr>
                <w:p w14:paraId="7397197B">
                  <w:pPr>
                    <w:spacing w:line="240" w:lineRule="auto"/>
                    <w:ind w:firstLine="0" w:firstLineChars="0"/>
                    <w:jc w:val="center"/>
                    <w:rPr>
                      <w:rFonts w:hint="eastAsia" w:eastAsia="宋体"/>
                      <w:color w:val="auto"/>
                      <w:sz w:val="21"/>
                      <w:szCs w:val="21"/>
                      <w:lang w:eastAsia="zh-CN"/>
                    </w:rPr>
                  </w:pPr>
                  <w:r>
                    <w:rPr>
                      <w:rFonts w:hint="eastAsia"/>
                      <w:color w:val="auto"/>
                      <w:sz w:val="21"/>
                      <w:szCs w:val="21"/>
                      <w:lang w:val="en-US" w:eastAsia="zh-CN"/>
                    </w:rPr>
                    <w:t>运行期</w:t>
                  </w:r>
                </w:p>
              </w:tc>
              <w:tc>
                <w:tcPr>
                  <w:tcW w:w="957" w:type="pct"/>
                  <w:shd w:val="clear" w:color="auto" w:fill="auto"/>
                  <w:vAlign w:val="center"/>
                </w:tcPr>
                <w:p w14:paraId="1AC47740">
                  <w:pPr>
                    <w:spacing w:line="240" w:lineRule="auto"/>
                    <w:ind w:firstLine="0" w:firstLineChars="0"/>
                    <w:jc w:val="center"/>
                    <w:rPr>
                      <w:color w:val="auto"/>
                      <w:sz w:val="21"/>
                      <w:szCs w:val="21"/>
                    </w:rPr>
                  </w:pPr>
                  <w:r>
                    <w:rPr>
                      <w:rFonts w:hint="eastAsia"/>
                      <w:color w:val="auto"/>
                      <w:sz w:val="21"/>
                      <w:szCs w:val="21"/>
                    </w:rPr>
                    <w:t>6</w:t>
                  </w:r>
                  <w:r>
                    <w:rPr>
                      <w:color w:val="auto"/>
                      <w:sz w:val="21"/>
                      <w:szCs w:val="21"/>
                    </w:rPr>
                    <w:t>5dB（A）</w:t>
                  </w:r>
                </w:p>
              </w:tc>
              <w:tc>
                <w:tcPr>
                  <w:tcW w:w="958" w:type="pct"/>
                  <w:shd w:val="clear" w:color="auto" w:fill="auto"/>
                  <w:vAlign w:val="center"/>
                </w:tcPr>
                <w:p w14:paraId="7B87369E">
                  <w:pPr>
                    <w:spacing w:line="240" w:lineRule="auto"/>
                    <w:ind w:firstLine="0" w:firstLineChars="0"/>
                    <w:jc w:val="center"/>
                    <w:rPr>
                      <w:color w:val="auto"/>
                      <w:sz w:val="21"/>
                      <w:szCs w:val="21"/>
                    </w:rPr>
                  </w:pPr>
                  <w:r>
                    <w:rPr>
                      <w:rFonts w:hint="eastAsia"/>
                      <w:color w:val="auto"/>
                      <w:sz w:val="21"/>
                      <w:szCs w:val="21"/>
                    </w:rPr>
                    <w:t>5</w:t>
                  </w:r>
                  <w:r>
                    <w:rPr>
                      <w:color w:val="auto"/>
                      <w:sz w:val="21"/>
                      <w:szCs w:val="21"/>
                    </w:rPr>
                    <w:t>5dB（A）</w:t>
                  </w:r>
                </w:p>
              </w:tc>
              <w:tc>
                <w:tcPr>
                  <w:tcW w:w="2508" w:type="pct"/>
                  <w:vAlign w:val="center"/>
                </w:tcPr>
                <w:p w14:paraId="60B38246">
                  <w:pPr>
                    <w:spacing w:line="240" w:lineRule="auto"/>
                    <w:ind w:firstLine="0" w:firstLineChars="0"/>
                    <w:jc w:val="center"/>
                    <w:rPr>
                      <w:rFonts w:hint="default" w:eastAsia="宋体"/>
                      <w:color w:val="auto"/>
                      <w:sz w:val="21"/>
                      <w:szCs w:val="21"/>
                      <w:lang w:val="en-US" w:eastAsia="zh-CN"/>
                    </w:rPr>
                  </w:pPr>
                  <w:r>
                    <w:rPr>
                      <w:rFonts w:hint="eastAsia"/>
                      <w:color w:val="auto"/>
                      <w:sz w:val="21"/>
                      <w:szCs w:val="21"/>
                    </w:rPr>
                    <w:t>《工业企业厂界环境噪声排放标准》（GB12348-2008）</w:t>
                  </w:r>
                  <w:r>
                    <w:rPr>
                      <w:rFonts w:hint="eastAsia"/>
                      <w:color w:val="auto"/>
                      <w:sz w:val="21"/>
                      <w:szCs w:val="21"/>
                      <w:lang w:val="en-US" w:eastAsia="zh-CN"/>
                    </w:rPr>
                    <w:t>3类</w:t>
                  </w:r>
                </w:p>
              </w:tc>
            </w:tr>
          </w:tbl>
          <w:p w14:paraId="4110EEEE">
            <w:pPr>
              <w:keepNext w:val="0"/>
              <w:keepLines w:val="0"/>
              <w:pageBreakBefore w:val="0"/>
              <w:widowControl w:val="0"/>
              <w:kinsoku/>
              <w:wordWrap w:val="0"/>
              <w:overflowPunct/>
              <w:topLinePunct w:val="0"/>
              <w:autoSpaceDE/>
              <w:autoSpaceDN/>
              <w:bidi w:val="0"/>
              <w:adjustRightInd/>
              <w:snapToGrid/>
              <w:ind w:firstLine="0" w:firstLineChars="0"/>
              <w:textAlignment w:val="auto"/>
              <w:rPr>
                <w:b/>
                <w:color w:val="auto"/>
              </w:rPr>
            </w:pPr>
            <w:r>
              <w:rPr>
                <w:rFonts w:hint="eastAsia"/>
                <w:b/>
                <w:color w:val="auto"/>
              </w:rPr>
              <w:t>四、</w:t>
            </w:r>
            <w:r>
              <w:rPr>
                <w:b/>
                <w:color w:val="auto"/>
              </w:rPr>
              <w:t>固废</w:t>
            </w:r>
          </w:p>
          <w:p w14:paraId="06FEA1C3">
            <w:pPr>
              <w:keepNext w:val="0"/>
              <w:keepLines w:val="0"/>
              <w:pageBreakBefore w:val="0"/>
              <w:widowControl w:val="0"/>
              <w:kinsoku/>
              <w:wordWrap w:val="0"/>
              <w:overflowPunct/>
              <w:topLinePunct w:val="0"/>
              <w:autoSpaceDE/>
              <w:autoSpaceDN/>
              <w:bidi w:val="0"/>
              <w:adjustRightInd/>
              <w:snapToGrid/>
              <w:ind w:left="0" w:leftChars="0" w:firstLine="480"/>
              <w:textAlignment w:val="auto"/>
            </w:pPr>
            <w:r>
              <w:rPr>
                <w:color w:val="auto"/>
              </w:rPr>
              <w:t>一般固废</w:t>
            </w:r>
            <w:r>
              <w:rPr>
                <w:rFonts w:hint="eastAsia"/>
                <w:color w:val="auto"/>
                <w:lang w:val="en-US" w:eastAsia="zh-CN"/>
              </w:rPr>
              <w:t>参照</w:t>
            </w:r>
            <w:r>
              <w:rPr>
                <w:rFonts w:hint="eastAsia"/>
                <w:color w:val="auto"/>
              </w:rPr>
              <w:t>《一般工业固体废物贮存和填埋污染控制标准》（GB18599-2020）</w:t>
            </w:r>
            <w:r>
              <w:rPr>
                <w:rFonts w:hint="eastAsia"/>
                <w:color w:val="auto"/>
                <w:lang w:eastAsia="zh-CN"/>
              </w:rPr>
              <w:t>；</w:t>
            </w:r>
            <w:r>
              <w:rPr>
                <w:rFonts w:hint="eastAsia"/>
                <w:color w:val="auto"/>
                <w:lang w:val="en-US" w:eastAsia="zh-CN"/>
              </w:rPr>
              <w:t>危险固废执行《危险废物贮存污染控制标准》（GB18597-2023）。</w:t>
            </w:r>
          </w:p>
        </w:tc>
      </w:tr>
      <w:tr w14:paraId="6978B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254" w:type="pct"/>
            <w:vAlign w:val="center"/>
          </w:tcPr>
          <w:p w14:paraId="01A1BD4F">
            <w:pPr>
              <w:adjustRightInd w:val="0"/>
              <w:snapToGrid w:val="0"/>
              <w:spacing w:line="240" w:lineRule="auto"/>
              <w:ind w:firstLine="0" w:firstLineChars="0"/>
              <w:jc w:val="center"/>
              <w:rPr>
                <w:rFonts w:hint="eastAsia" w:ascii="宋体" w:hAnsi="宋体" w:cs="宋体"/>
                <w:color w:val="auto"/>
                <w:kern w:val="0"/>
                <w:szCs w:val="21"/>
              </w:rPr>
            </w:pPr>
            <w:r>
              <w:rPr>
                <w:rFonts w:hint="eastAsia" w:ascii="宋体" w:hAnsi="宋体" w:cs="宋体"/>
                <w:color w:val="auto"/>
                <w:kern w:val="0"/>
                <w:szCs w:val="21"/>
              </w:rPr>
              <w:t>总量控制指标</w:t>
            </w:r>
          </w:p>
        </w:tc>
        <w:tc>
          <w:tcPr>
            <w:tcW w:w="4745" w:type="pct"/>
            <w:vAlign w:val="center"/>
          </w:tcPr>
          <w:p w14:paraId="1B7A0B7E">
            <w:pPr>
              <w:keepNext w:val="0"/>
              <w:keepLines w:val="0"/>
              <w:pageBreakBefore w:val="0"/>
              <w:widowControl w:val="0"/>
              <w:kinsoku/>
              <w:wordWrap w:val="0"/>
              <w:overflowPunct/>
              <w:topLinePunct w:val="0"/>
              <w:autoSpaceDE/>
              <w:autoSpaceDN/>
              <w:bidi w:val="0"/>
              <w:adjustRightInd/>
              <w:snapToGrid/>
              <w:ind w:left="0" w:leftChars="0"/>
              <w:textAlignment w:val="auto"/>
              <w:rPr>
                <w:rFonts w:hint="eastAsia"/>
                <w:b/>
                <w:bCs/>
                <w:color w:val="auto"/>
                <w:lang w:val="en-US" w:eastAsia="zh-CN"/>
              </w:rPr>
            </w:pPr>
            <w:r>
              <w:rPr>
                <w:rFonts w:hint="eastAsia"/>
                <w:b/>
                <w:bCs/>
                <w:color w:val="auto"/>
                <w:lang w:val="en-US" w:eastAsia="zh-CN"/>
              </w:rPr>
              <w:t>（1）废气</w:t>
            </w:r>
          </w:p>
          <w:p w14:paraId="04820972">
            <w:pPr>
              <w:keepNext w:val="0"/>
              <w:keepLines w:val="0"/>
              <w:pageBreakBefore w:val="0"/>
              <w:widowControl w:val="0"/>
              <w:kinsoku/>
              <w:wordWrap w:val="0"/>
              <w:overflowPunct/>
              <w:topLinePunct w:val="0"/>
              <w:autoSpaceDE/>
              <w:autoSpaceDN/>
              <w:bidi w:val="0"/>
              <w:adjustRightInd/>
              <w:snapToGrid/>
              <w:spacing w:line="360" w:lineRule="auto"/>
              <w:ind w:left="0" w:leftChars="0" w:right="0" w:firstLine="480"/>
              <w:textAlignment w:val="auto"/>
              <w:rPr>
                <w:rFonts w:hint="eastAsia"/>
                <w:b w:val="0"/>
                <w:bCs w:val="0"/>
                <w:color w:val="auto"/>
                <w:sz w:val="24"/>
                <w:szCs w:val="24"/>
                <w:lang w:eastAsia="zh-CN"/>
              </w:rPr>
            </w:pPr>
            <w:r>
              <w:rPr>
                <w:rFonts w:hint="eastAsia"/>
                <w:b w:val="0"/>
                <w:bCs w:val="0"/>
                <w:color w:val="auto"/>
              </w:rPr>
              <w:t>中药饮片车间干燥、粉碎、筛分粉尘</w:t>
            </w:r>
            <w:r>
              <w:rPr>
                <w:rFonts w:hint="eastAsia"/>
                <w:b w:val="0"/>
                <w:bCs w:val="0"/>
                <w:color w:val="auto"/>
                <w:lang w:val="en-US" w:eastAsia="zh-CN"/>
              </w:rPr>
              <w:t>经袋式除尘器处理后</w:t>
            </w:r>
            <w:r>
              <w:rPr>
                <w:rFonts w:hint="eastAsia"/>
                <w:b w:val="0"/>
                <w:bCs w:val="0"/>
                <w:color w:val="auto"/>
                <w:sz w:val="24"/>
                <w:szCs w:val="24"/>
              </w:rPr>
              <w:t>能够满足《制药工业大气污染物排放标准》（GB37823-2019）表2中</w:t>
            </w:r>
            <w:r>
              <w:rPr>
                <w:rFonts w:hint="eastAsia"/>
                <w:b w:val="0"/>
                <w:bCs w:val="0"/>
                <w:color w:val="auto"/>
                <w:sz w:val="24"/>
                <w:szCs w:val="24"/>
                <w:lang w:val="en-US" w:eastAsia="zh-CN"/>
              </w:rPr>
              <w:t>特别</w:t>
            </w:r>
            <w:r>
              <w:rPr>
                <w:rFonts w:hint="eastAsia"/>
                <w:b w:val="0"/>
                <w:bCs w:val="0"/>
                <w:color w:val="auto"/>
                <w:sz w:val="24"/>
                <w:szCs w:val="24"/>
              </w:rPr>
              <w:t>排放限值要求</w:t>
            </w:r>
            <w:r>
              <w:rPr>
                <w:rFonts w:hint="eastAsia"/>
                <w:b w:val="0"/>
                <w:bCs w:val="0"/>
                <w:sz w:val="24"/>
              </w:rPr>
              <w:t>及《</w:t>
            </w:r>
            <w:r>
              <w:rPr>
                <w:rFonts w:hint="eastAsia"/>
                <w:b w:val="0"/>
                <w:bCs w:val="0"/>
                <w:color w:val="auto"/>
                <w:sz w:val="24"/>
                <w:szCs w:val="24"/>
                <w:lang w:eastAsia="zh-CN"/>
              </w:rPr>
              <w:t>河南省重污染天气通用行业应急减排措施制定技术指南（2024年修订版）</w:t>
            </w:r>
            <w:r>
              <w:rPr>
                <w:rFonts w:hint="eastAsia"/>
                <w:b w:val="0"/>
                <w:bCs w:val="0"/>
                <w:sz w:val="24"/>
              </w:rPr>
              <w:t>》颗粒物有组织排放限值为10mg/m</w:t>
            </w:r>
            <w:r>
              <w:rPr>
                <w:rFonts w:hint="eastAsia"/>
                <w:b w:val="0"/>
                <w:bCs w:val="0"/>
                <w:sz w:val="24"/>
                <w:vertAlign w:val="superscript"/>
              </w:rPr>
              <w:t>3</w:t>
            </w:r>
            <w:r>
              <w:rPr>
                <w:rFonts w:hint="eastAsia"/>
                <w:b w:val="0"/>
                <w:bCs w:val="0"/>
                <w:sz w:val="24"/>
              </w:rPr>
              <w:t>），通过1根15m高排气筒排放。</w:t>
            </w:r>
          </w:p>
          <w:p w14:paraId="454B5ED8">
            <w:pPr>
              <w:keepNext w:val="0"/>
              <w:keepLines w:val="0"/>
              <w:pageBreakBefore w:val="0"/>
              <w:widowControl w:val="0"/>
              <w:kinsoku/>
              <w:wordWrap w:val="0"/>
              <w:overflowPunct/>
              <w:topLinePunct w:val="0"/>
              <w:autoSpaceDE/>
              <w:autoSpaceDN/>
              <w:bidi w:val="0"/>
              <w:adjustRightInd/>
              <w:snapToGrid/>
              <w:spacing w:line="360" w:lineRule="auto"/>
              <w:ind w:left="0" w:leftChars="0" w:right="0" w:firstLine="480"/>
              <w:textAlignment w:val="auto"/>
              <w:rPr>
                <w:rFonts w:hint="eastAsia"/>
                <w:b w:val="0"/>
                <w:bCs w:val="0"/>
                <w:color w:val="auto"/>
                <w:sz w:val="24"/>
                <w:szCs w:val="24"/>
                <w:lang w:eastAsia="zh-CN"/>
              </w:rPr>
            </w:pPr>
            <w:r>
              <w:rPr>
                <w:rFonts w:hint="eastAsia"/>
                <w:b w:val="0"/>
                <w:bCs w:val="0"/>
                <w:color w:val="auto"/>
                <w:sz w:val="24"/>
                <w:szCs w:val="24"/>
                <w:lang w:val="en-US" w:eastAsia="zh-CN"/>
              </w:rPr>
              <w:t>口服饮片车间、颗粒剂车间及制丸车间粉尘</w:t>
            </w:r>
            <w:r>
              <w:rPr>
                <w:rFonts w:hint="eastAsia"/>
                <w:b w:val="0"/>
                <w:bCs w:val="0"/>
                <w:color w:val="auto"/>
                <w:lang w:val="en-US" w:eastAsia="zh-CN"/>
              </w:rPr>
              <w:t>经袋式除尘器处理后</w:t>
            </w:r>
            <w:r>
              <w:rPr>
                <w:rFonts w:hint="eastAsia"/>
                <w:b w:val="0"/>
                <w:bCs w:val="0"/>
                <w:color w:val="auto"/>
                <w:sz w:val="24"/>
                <w:szCs w:val="24"/>
              </w:rPr>
              <w:t>能够满足《制药工业大气污染物排放标准》（GB37823-2019）表2中</w:t>
            </w:r>
            <w:r>
              <w:rPr>
                <w:rFonts w:hint="eastAsia"/>
                <w:b w:val="0"/>
                <w:bCs w:val="0"/>
                <w:color w:val="auto"/>
                <w:sz w:val="24"/>
                <w:szCs w:val="24"/>
                <w:lang w:val="en-US" w:eastAsia="zh-CN"/>
              </w:rPr>
              <w:t>特别</w:t>
            </w:r>
            <w:r>
              <w:rPr>
                <w:rFonts w:hint="eastAsia"/>
                <w:b w:val="0"/>
                <w:bCs w:val="0"/>
                <w:color w:val="auto"/>
                <w:sz w:val="24"/>
                <w:szCs w:val="24"/>
              </w:rPr>
              <w:t>排放限值要求</w:t>
            </w:r>
            <w:r>
              <w:rPr>
                <w:rFonts w:hint="eastAsia"/>
                <w:b w:val="0"/>
                <w:bCs w:val="0"/>
                <w:sz w:val="24"/>
              </w:rPr>
              <w:t>及《</w:t>
            </w:r>
            <w:r>
              <w:rPr>
                <w:rFonts w:hint="eastAsia"/>
                <w:b w:val="0"/>
                <w:bCs w:val="0"/>
                <w:color w:val="auto"/>
                <w:sz w:val="24"/>
                <w:szCs w:val="24"/>
                <w:lang w:eastAsia="zh-CN"/>
              </w:rPr>
              <w:t>河南省重污染天气通用行业应急减排措施制定技术指南（2024年修订版）</w:t>
            </w:r>
            <w:r>
              <w:rPr>
                <w:rFonts w:hint="eastAsia"/>
                <w:b w:val="0"/>
                <w:bCs w:val="0"/>
                <w:sz w:val="24"/>
              </w:rPr>
              <w:t>》颗粒物有组织排放限值为10mg/m</w:t>
            </w:r>
            <w:r>
              <w:rPr>
                <w:rFonts w:hint="eastAsia"/>
                <w:b w:val="0"/>
                <w:bCs w:val="0"/>
                <w:sz w:val="24"/>
                <w:vertAlign w:val="superscript"/>
              </w:rPr>
              <w:t>3</w:t>
            </w:r>
            <w:r>
              <w:rPr>
                <w:rFonts w:hint="eastAsia"/>
                <w:b w:val="0"/>
                <w:bCs w:val="0"/>
                <w:sz w:val="24"/>
              </w:rPr>
              <w:t>），通过1根15m高排气筒排放。</w:t>
            </w:r>
          </w:p>
          <w:p w14:paraId="19B870DE">
            <w:pPr>
              <w:keepNext w:val="0"/>
              <w:keepLines w:val="0"/>
              <w:pageBreakBefore w:val="0"/>
              <w:widowControl w:val="0"/>
              <w:kinsoku/>
              <w:wordWrap w:val="0"/>
              <w:overflowPunct/>
              <w:topLinePunct w:val="0"/>
              <w:autoSpaceDE/>
              <w:autoSpaceDN/>
              <w:bidi w:val="0"/>
              <w:adjustRightInd/>
              <w:snapToGrid/>
              <w:ind w:left="0" w:leftChars="0" w:firstLine="482"/>
              <w:textAlignment w:val="auto"/>
              <w:rPr>
                <w:rFonts w:hint="eastAsia"/>
                <w:b w:val="0"/>
                <w:bCs w:val="0"/>
                <w:sz w:val="24"/>
              </w:rPr>
            </w:pPr>
            <w:r>
              <w:rPr>
                <w:rFonts w:hint="eastAsia"/>
                <w:b w:val="0"/>
                <w:bCs w:val="0"/>
                <w:color w:val="auto"/>
              </w:rPr>
              <w:t>实验废气经</w:t>
            </w:r>
            <w:r>
              <w:rPr>
                <w:rFonts w:hint="eastAsia"/>
                <w:b w:val="0"/>
                <w:bCs w:val="0"/>
                <w:color w:val="auto"/>
                <w:lang w:val="en-US" w:eastAsia="zh-CN"/>
              </w:rPr>
              <w:t>通风橱</w:t>
            </w:r>
            <w:r>
              <w:rPr>
                <w:rFonts w:hint="eastAsia"/>
                <w:b w:val="0"/>
                <w:bCs w:val="0"/>
                <w:color w:val="auto"/>
              </w:rPr>
              <w:t>收集</w:t>
            </w:r>
            <w:r>
              <w:rPr>
                <w:rFonts w:hint="eastAsia"/>
                <w:b w:val="0"/>
                <w:bCs w:val="0"/>
                <w:color w:val="auto"/>
                <w:lang w:val="en-US" w:eastAsia="zh-CN"/>
              </w:rPr>
              <w:t>后引至</w:t>
            </w:r>
            <w:r>
              <w:rPr>
                <w:rFonts w:hint="eastAsia"/>
                <w:b w:val="0"/>
                <w:bCs w:val="0"/>
                <w:color w:val="auto"/>
              </w:rPr>
              <w:t>1套二级活性炭吸附装置</w:t>
            </w:r>
            <w:r>
              <w:rPr>
                <w:rFonts w:hint="eastAsia"/>
                <w:b w:val="0"/>
                <w:bCs w:val="0"/>
                <w:color w:val="auto"/>
                <w:lang w:val="en-US" w:eastAsia="zh-CN"/>
              </w:rPr>
              <w:t>处理后能够满足</w:t>
            </w:r>
            <w:r>
              <w:rPr>
                <w:rFonts w:hint="eastAsia"/>
                <w:b w:val="0"/>
                <w:bCs w:val="0"/>
                <w:color w:val="auto"/>
              </w:rPr>
              <w:t>《制药工业大气污染物排放标准》（GB37823-2019）表</w:t>
            </w:r>
            <w:r>
              <w:rPr>
                <w:rFonts w:hint="eastAsia"/>
                <w:b w:val="0"/>
                <w:bCs w:val="0"/>
                <w:color w:val="auto"/>
                <w:lang w:val="en-US" w:eastAsia="zh-CN"/>
              </w:rPr>
              <w:t>2特别</w:t>
            </w:r>
            <w:r>
              <w:rPr>
                <w:rFonts w:hint="eastAsia"/>
                <w:b w:val="0"/>
                <w:bCs w:val="0"/>
                <w:color w:val="auto"/>
              </w:rPr>
              <w:t>排放限值</w:t>
            </w:r>
            <w:r>
              <w:rPr>
                <w:rFonts w:hint="eastAsia"/>
                <w:b w:val="0"/>
                <w:bCs w:val="0"/>
                <w:sz w:val="24"/>
              </w:rPr>
              <w:t>及《</w:t>
            </w:r>
            <w:r>
              <w:rPr>
                <w:rFonts w:hint="eastAsia"/>
                <w:b w:val="0"/>
                <w:bCs w:val="0"/>
                <w:color w:val="auto"/>
                <w:sz w:val="24"/>
                <w:szCs w:val="24"/>
                <w:lang w:eastAsia="zh-CN"/>
              </w:rPr>
              <w:t>河南省重污染天气通用行业应急减排措施制定技术指南（2024年修订版）</w:t>
            </w:r>
            <w:r>
              <w:rPr>
                <w:rFonts w:hint="eastAsia"/>
                <w:b w:val="0"/>
                <w:bCs w:val="0"/>
                <w:sz w:val="24"/>
              </w:rPr>
              <w:t>》</w:t>
            </w:r>
            <w:r>
              <w:rPr>
                <w:rFonts w:hint="eastAsia"/>
                <w:b w:val="0"/>
                <w:bCs w:val="0"/>
                <w:sz w:val="24"/>
                <w:lang w:val="en-US" w:eastAsia="zh-CN"/>
              </w:rPr>
              <w:t>NMHC</w:t>
            </w:r>
            <w:r>
              <w:rPr>
                <w:rFonts w:hint="eastAsia"/>
                <w:b w:val="0"/>
                <w:bCs w:val="0"/>
                <w:sz w:val="24"/>
              </w:rPr>
              <w:t>排放限值为</w:t>
            </w:r>
            <w:r>
              <w:rPr>
                <w:rFonts w:hint="eastAsia"/>
                <w:b w:val="0"/>
                <w:bCs w:val="0"/>
                <w:sz w:val="24"/>
                <w:lang w:val="en-US" w:eastAsia="zh-CN"/>
              </w:rPr>
              <w:t>30</w:t>
            </w:r>
            <w:r>
              <w:rPr>
                <w:rFonts w:hint="eastAsia"/>
                <w:b w:val="0"/>
                <w:bCs w:val="0"/>
                <w:sz w:val="24"/>
              </w:rPr>
              <w:t>mg/m</w:t>
            </w:r>
            <w:r>
              <w:rPr>
                <w:rFonts w:hint="eastAsia"/>
                <w:b w:val="0"/>
                <w:bCs w:val="0"/>
                <w:sz w:val="24"/>
                <w:vertAlign w:val="superscript"/>
              </w:rPr>
              <w:t>3</w:t>
            </w:r>
            <w:r>
              <w:rPr>
                <w:rFonts w:hint="eastAsia"/>
                <w:b w:val="0"/>
                <w:bCs w:val="0"/>
                <w:sz w:val="24"/>
              </w:rPr>
              <w:t>），通过</w:t>
            </w:r>
            <w:r>
              <w:rPr>
                <w:rFonts w:hint="eastAsia"/>
                <w:b w:val="0"/>
                <w:bCs w:val="0"/>
                <w:sz w:val="24"/>
                <w:lang w:val="en-US" w:eastAsia="zh-CN"/>
              </w:rPr>
              <w:t>楼顶专用排气筒排放</w:t>
            </w:r>
            <w:r>
              <w:rPr>
                <w:rFonts w:hint="eastAsia"/>
                <w:b w:val="0"/>
                <w:bCs w:val="0"/>
                <w:sz w:val="24"/>
              </w:rPr>
              <w:t>。</w:t>
            </w:r>
          </w:p>
          <w:p w14:paraId="3A84D7DD">
            <w:pPr>
              <w:keepNext w:val="0"/>
              <w:keepLines w:val="0"/>
              <w:pageBreakBefore w:val="0"/>
              <w:widowControl w:val="0"/>
              <w:kinsoku/>
              <w:wordWrap w:val="0"/>
              <w:overflowPunct/>
              <w:topLinePunct w:val="0"/>
              <w:autoSpaceDE/>
              <w:autoSpaceDN/>
              <w:bidi w:val="0"/>
              <w:adjustRightInd/>
              <w:snapToGrid/>
              <w:ind w:left="0" w:leftChars="0" w:firstLine="482"/>
              <w:textAlignment w:val="auto"/>
              <w:rPr>
                <w:rFonts w:hint="eastAsia"/>
                <w:b w:val="0"/>
                <w:bCs w:val="0"/>
                <w:sz w:val="24"/>
              </w:rPr>
            </w:pPr>
            <w:r>
              <w:rPr>
                <w:rFonts w:hint="eastAsia"/>
                <w:b w:val="0"/>
                <w:bCs w:val="0"/>
                <w:color w:val="auto"/>
              </w:rPr>
              <w:t>污水处理站恶臭采取加盖密闭+</w:t>
            </w:r>
            <w:r>
              <w:rPr>
                <w:rFonts w:hint="eastAsia"/>
                <w:b w:val="0"/>
                <w:bCs w:val="0"/>
                <w:color w:val="auto"/>
                <w:lang w:val="en-US" w:eastAsia="zh-CN"/>
              </w:rPr>
              <w:t>生物滤池</w:t>
            </w:r>
            <w:r>
              <w:rPr>
                <w:rFonts w:hint="eastAsia"/>
                <w:b w:val="0"/>
                <w:bCs w:val="0"/>
                <w:color w:val="auto"/>
              </w:rPr>
              <w:t>除臭措施</w:t>
            </w:r>
            <w:r>
              <w:rPr>
                <w:rFonts w:hint="eastAsia"/>
                <w:b w:val="0"/>
                <w:bCs w:val="0"/>
                <w:color w:val="auto"/>
                <w:lang w:val="en-US" w:eastAsia="zh-CN"/>
              </w:rPr>
              <w:t>后能够满足《制药工业大气污染物排放标准》（GB37823-2019）表2特别排放限值，通过15m高排气筒排放。</w:t>
            </w:r>
          </w:p>
          <w:p w14:paraId="0753CBEB">
            <w:pPr>
              <w:keepNext w:val="0"/>
              <w:keepLines w:val="0"/>
              <w:pageBreakBefore w:val="0"/>
              <w:widowControl w:val="0"/>
              <w:kinsoku/>
              <w:wordWrap w:val="0"/>
              <w:overflowPunct/>
              <w:topLinePunct w:val="0"/>
              <w:autoSpaceDE/>
              <w:autoSpaceDN/>
              <w:bidi w:val="0"/>
              <w:adjustRightInd/>
              <w:snapToGrid/>
              <w:ind w:left="0" w:leftChars="0" w:firstLine="480"/>
              <w:textAlignment w:val="auto"/>
              <w:rPr>
                <w:rFonts w:hint="eastAsia"/>
                <w:color w:val="auto"/>
              </w:rPr>
            </w:pPr>
            <w:r>
              <w:rPr>
                <w:rFonts w:hint="eastAsia"/>
                <w:b w:val="0"/>
                <w:bCs w:val="0"/>
                <w:color w:val="auto"/>
                <w:lang w:val="en-US" w:eastAsia="zh-CN"/>
              </w:rPr>
              <w:t>食堂油烟</w:t>
            </w:r>
            <w:r>
              <w:rPr>
                <w:rFonts w:hint="eastAsia"/>
                <w:b w:val="0"/>
                <w:bCs w:val="0"/>
                <w:color w:val="auto"/>
              </w:rPr>
              <w:t>经过油烟净化装置处理后</w:t>
            </w:r>
            <w:r>
              <w:rPr>
                <w:rFonts w:hint="eastAsia"/>
                <w:color w:val="auto"/>
              </w:rPr>
              <w:t>满足</w:t>
            </w:r>
            <w:r>
              <w:rPr>
                <w:rFonts w:hint="eastAsia"/>
                <w:color w:val="auto"/>
                <w:lang w:val="en-US" w:eastAsia="zh-CN"/>
              </w:rPr>
              <w:t>河南省地方标准</w:t>
            </w:r>
            <w:r>
              <w:rPr>
                <w:rFonts w:hint="eastAsia"/>
                <w:color w:val="auto"/>
              </w:rPr>
              <w:fldChar w:fldCharType="begin"/>
            </w:r>
            <w:r>
              <w:rPr>
                <w:rFonts w:hint="eastAsia"/>
                <w:color w:val="auto"/>
              </w:rPr>
              <w:instrText xml:space="preserve"> HYPERLINK "http://oss.henan.gov.cn/sbgt-wztipt/attachment/sthjt/portal/cn/rootimages/2018/06/14/20180614153132709.pdf" \t "https://sthjt.henan.gov.cn/2018/06-14/_blank" </w:instrText>
            </w:r>
            <w:r>
              <w:rPr>
                <w:rFonts w:hint="eastAsia"/>
                <w:color w:val="auto"/>
              </w:rPr>
              <w:fldChar w:fldCharType="separate"/>
            </w:r>
            <w:r>
              <w:rPr>
                <w:rFonts w:hint="eastAsia"/>
                <w:color w:val="auto"/>
                <w:lang w:eastAsia="zh-CN"/>
              </w:rPr>
              <w:t>《</w:t>
            </w:r>
            <w:r>
              <w:rPr>
                <w:rFonts w:hint="eastAsia"/>
                <w:color w:val="auto"/>
              </w:rPr>
              <w:t>餐饮业油烟污染物排放标准</w:t>
            </w:r>
            <w:r>
              <w:rPr>
                <w:rFonts w:hint="eastAsia"/>
                <w:color w:val="auto"/>
                <w:lang w:eastAsia="zh-CN"/>
              </w:rPr>
              <w:t>》</w:t>
            </w:r>
            <w:r>
              <w:rPr>
                <w:rFonts w:hint="eastAsia"/>
                <w:color w:val="auto"/>
              </w:rPr>
              <w:fldChar w:fldCharType="end"/>
            </w:r>
            <w:r>
              <w:rPr>
                <w:rFonts w:hint="eastAsia"/>
                <w:color w:val="auto"/>
              </w:rPr>
              <w:t>（DB41/1604—2018）的中要求，通过设置于屋顶的</w:t>
            </w:r>
            <w:r>
              <w:rPr>
                <w:rFonts w:hint="eastAsia"/>
                <w:color w:val="auto"/>
                <w:lang w:val="en-US" w:eastAsia="zh-CN"/>
              </w:rPr>
              <w:t>专用烟道</w:t>
            </w:r>
            <w:r>
              <w:rPr>
                <w:rFonts w:hint="eastAsia"/>
                <w:color w:val="auto"/>
              </w:rPr>
              <w:t>排放。</w:t>
            </w:r>
          </w:p>
          <w:p w14:paraId="05558673">
            <w:pPr>
              <w:pStyle w:val="19"/>
              <w:keepNext w:val="0"/>
              <w:keepLines w:val="0"/>
              <w:pageBreakBefore w:val="0"/>
              <w:widowControl w:val="0"/>
              <w:kinsoku/>
              <w:wordWrap w:val="0"/>
              <w:overflowPunct/>
              <w:topLinePunct w:val="0"/>
              <w:autoSpaceDE/>
              <w:autoSpaceDN/>
              <w:bidi w:val="0"/>
              <w:adjustRightInd/>
              <w:snapToGrid/>
              <w:spacing w:after="0"/>
              <w:ind w:left="0" w:leftChars="0"/>
              <w:textAlignment w:val="auto"/>
              <w:rPr>
                <w:rFonts w:hint="default" w:eastAsia="宋体"/>
                <w:b/>
                <w:bCs/>
                <w:lang w:val="en-US" w:eastAsia="zh-CN"/>
              </w:rPr>
            </w:pPr>
            <w:r>
              <w:rPr>
                <w:rFonts w:hint="eastAsia"/>
                <w:b/>
                <w:bCs/>
                <w:color w:val="auto"/>
                <w:lang w:eastAsia="zh-CN"/>
              </w:rPr>
              <w:t>（</w:t>
            </w:r>
            <w:r>
              <w:rPr>
                <w:rFonts w:hint="eastAsia"/>
                <w:b/>
                <w:bCs/>
                <w:color w:val="auto"/>
                <w:lang w:val="en-US" w:eastAsia="zh-CN"/>
              </w:rPr>
              <w:t>2</w:t>
            </w:r>
            <w:r>
              <w:rPr>
                <w:rFonts w:hint="eastAsia"/>
                <w:b/>
                <w:bCs/>
                <w:color w:val="auto"/>
                <w:lang w:eastAsia="zh-CN"/>
              </w:rPr>
              <w:t>）</w:t>
            </w:r>
            <w:r>
              <w:rPr>
                <w:rFonts w:hint="eastAsia"/>
                <w:b/>
                <w:bCs/>
                <w:color w:val="auto"/>
                <w:lang w:val="en-US" w:eastAsia="zh-CN"/>
              </w:rPr>
              <w:t>废水</w:t>
            </w:r>
          </w:p>
          <w:p w14:paraId="6CB19476">
            <w:pPr>
              <w:keepNext w:val="0"/>
              <w:keepLines w:val="0"/>
              <w:pageBreakBefore w:val="0"/>
              <w:widowControl w:val="0"/>
              <w:kinsoku/>
              <w:wordWrap w:val="0"/>
              <w:overflowPunct/>
              <w:topLinePunct w:val="0"/>
              <w:autoSpaceDE/>
              <w:autoSpaceDN/>
              <w:bidi w:val="0"/>
              <w:adjustRightInd/>
              <w:snapToGrid/>
              <w:ind w:left="0" w:leftChars="0"/>
              <w:textAlignment w:val="auto"/>
              <w:rPr>
                <w:rFonts w:hint="default" w:ascii="Times New Roman" w:hAnsi="Times New Roman" w:cs="Times New Roman"/>
                <w:sz w:val="24"/>
                <w:szCs w:val="24"/>
                <w:lang w:val="en-US" w:eastAsia="zh-CN"/>
              </w:rPr>
            </w:pPr>
            <w:r>
              <w:rPr>
                <w:rFonts w:hint="eastAsia"/>
                <w:color w:val="auto"/>
                <w:lang w:val="zh-CN"/>
              </w:rPr>
              <w:t>根据项目给排水分析，项目排水实行雨污分流的排水体制，本项目运营期间排水包括生活污水及</w:t>
            </w:r>
            <w:r>
              <w:rPr>
                <w:rFonts w:hint="eastAsia"/>
                <w:color w:val="auto"/>
                <w:lang w:val="en-US" w:eastAsia="zh-CN"/>
              </w:rPr>
              <w:t>综合</w:t>
            </w:r>
            <w:r>
              <w:rPr>
                <w:rFonts w:hint="eastAsia"/>
                <w:color w:val="auto"/>
                <w:lang w:val="zh-CN"/>
              </w:rPr>
              <w:t>生产废水，</w:t>
            </w:r>
            <w:r>
              <w:rPr>
                <w:rFonts w:hint="eastAsia"/>
                <w:sz w:val="24"/>
                <w:szCs w:val="24"/>
                <w:lang w:val="en-US" w:eastAsia="zh-CN"/>
              </w:rPr>
              <w:t>废水总量为175.576</w:t>
            </w:r>
            <w:r>
              <w:rPr>
                <w:rFonts w:hint="default"/>
                <w:lang w:val="en-US" w:eastAsia="zh-CN"/>
              </w:rPr>
              <w:t>m</w:t>
            </w:r>
            <w:r>
              <w:rPr>
                <w:rFonts w:hint="default"/>
                <w:vertAlign w:val="superscript"/>
                <w:lang w:val="en-US" w:eastAsia="zh-CN"/>
              </w:rPr>
              <w:t>3</w:t>
            </w:r>
            <w:r>
              <w:rPr>
                <w:rFonts w:hint="default"/>
                <w:lang w:val="en-US" w:eastAsia="zh-CN"/>
              </w:rPr>
              <w:t>/d</w:t>
            </w:r>
            <w:r>
              <w:rPr>
                <w:rFonts w:hint="eastAsia"/>
                <w:lang w:val="en-US" w:eastAsia="zh-CN"/>
              </w:rPr>
              <w:t>、</w:t>
            </w:r>
            <w:r>
              <w:rPr>
                <w:rFonts w:hint="eastAsia"/>
                <w:sz w:val="24"/>
                <w:szCs w:val="24"/>
                <w:lang w:val="en-US" w:eastAsia="zh-CN"/>
              </w:rPr>
              <w:t>56184.92</w:t>
            </w:r>
            <w:r>
              <w:rPr>
                <w:rFonts w:hint="default"/>
                <w:lang w:val="en-US" w:eastAsia="zh-CN"/>
              </w:rPr>
              <w:t>m</w:t>
            </w:r>
            <w:r>
              <w:rPr>
                <w:rFonts w:hint="default"/>
                <w:vertAlign w:val="superscript"/>
                <w:lang w:val="en-US" w:eastAsia="zh-CN"/>
              </w:rPr>
              <w:t>3</w:t>
            </w:r>
            <w:r>
              <w:rPr>
                <w:rFonts w:hint="default"/>
                <w:lang w:val="en-US" w:eastAsia="zh-CN"/>
              </w:rPr>
              <w:t>/a，</w:t>
            </w:r>
            <w:r>
              <w:rPr>
                <w:rFonts w:hint="eastAsia"/>
                <w:sz w:val="24"/>
                <w:szCs w:val="24"/>
                <w:lang w:val="en-US" w:eastAsia="zh-CN"/>
              </w:rPr>
              <w:t>，</w:t>
            </w:r>
            <w:r>
              <w:rPr>
                <w:rFonts w:hint="default" w:ascii="Times New Roman" w:hAnsi="Times New Roman" w:cs="Times New Roman"/>
                <w:sz w:val="24"/>
                <w:szCs w:val="24"/>
              </w:rPr>
              <w:t>经</w:t>
            </w:r>
            <w:r>
              <w:rPr>
                <w:rFonts w:hint="eastAsia" w:cs="Times New Roman"/>
                <w:sz w:val="24"/>
                <w:szCs w:val="24"/>
                <w:lang w:val="en-US" w:eastAsia="zh-CN"/>
              </w:rPr>
              <w:t>厂区</w:t>
            </w:r>
            <w:r>
              <w:rPr>
                <w:rFonts w:hint="default" w:ascii="Times New Roman" w:hAnsi="Times New Roman" w:cs="Times New Roman"/>
                <w:sz w:val="24"/>
                <w:szCs w:val="24"/>
              </w:rPr>
              <w:t>污水处理站处理后</w:t>
            </w:r>
            <w:r>
              <w:rPr>
                <w:rFonts w:hint="eastAsia" w:ascii="Times New Roman" w:hAnsi="Times New Roman" w:cs="Times New Roman"/>
                <w:sz w:val="24"/>
                <w:szCs w:val="24"/>
                <w:lang w:eastAsia="zh-CN"/>
              </w:rPr>
              <w:t>（</w:t>
            </w:r>
            <w:r>
              <w:rPr>
                <w:rFonts w:hint="eastAsia"/>
                <w:color w:val="auto"/>
                <w:lang w:val="en-US" w:eastAsia="zh-CN"/>
              </w:rPr>
              <w:t>采用“混凝+UASB+生物接触氧化”工艺处理，设计处理能力210m</w:t>
            </w:r>
            <w:r>
              <w:rPr>
                <w:rFonts w:hint="eastAsia"/>
                <w:color w:val="auto"/>
                <w:vertAlign w:val="superscript"/>
                <w:lang w:val="en-US" w:eastAsia="zh-CN"/>
              </w:rPr>
              <w:t>3</w:t>
            </w:r>
            <w:r>
              <w:rPr>
                <w:rFonts w:hint="eastAsia"/>
                <w:color w:val="auto"/>
                <w:lang w:val="en-US" w:eastAsia="zh-CN"/>
              </w:rPr>
              <w:t>/d</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满足</w:t>
            </w:r>
            <w:r>
              <w:rPr>
                <w:rFonts w:hint="eastAsia"/>
                <w:lang w:val="zh-CN"/>
              </w:rPr>
              <w:t>《中药类制药工业水污染物排放标准》（GB21906-2008）表2标准及</w:t>
            </w:r>
            <w:r>
              <w:rPr>
                <w:rFonts w:hint="eastAsia" w:cs="Times New Roman"/>
                <w:sz w:val="24"/>
                <w:szCs w:val="24"/>
                <w:lang w:val="en-US" w:eastAsia="zh-CN"/>
              </w:rPr>
              <w:t>南乐县</w:t>
            </w:r>
            <w:r>
              <w:rPr>
                <w:rFonts w:hint="default" w:ascii="Times New Roman" w:hAnsi="Times New Roman" w:cs="Times New Roman"/>
                <w:sz w:val="24"/>
                <w:szCs w:val="24"/>
                <w:lang w:val="en-US" w:eastAsia="zh-CN"/>
              </w:rPr>
              <w:t>污水处理厂纳管标准</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排入</w:t>
            </w:r>
            <w:r>
              <w:rPr>
                <w:rFonts w:hint="eastAsia" w:ascii="Times New Roman" w:hAnsi="Times New Roman" w:cs="Times New Roman"/>
                <w:sz w:val="24"/>
                <w:szCs w:val="24"/>
                <w:lang w:val="en-US" w:eastAsia="zh-CN"/>
              </w:rPr>
              <w:t>南乐县污水处理厂</w:t>
            </w:r>
            <w:r>
              <w:rPr>
                <w:rFonts w:hint="default" w:ascii="Times New Roman" w:hAnsi="Times New Roman" w:cs="Times New Roman"/>
                <w:sz w:val="24"/>
                <w:szCs w:val="24"/>
                <w:lang w:val="en-US" w:eastAsia="zh-CN"/>
              </w:rPr>
              <w:t>。</w:t>
            </w:r>
          </w:p>
          <w:p w14:paraId="48512833">
            <w:pPr>
              <w:pStyle w:val="19"/>
              <w:keepNext w:val="0"/>
              <w:keepLines w:val="0"/>
              <w:pageBreakBefore w:val="0"/>
              <w:widowControl w:val="0"/>
              <w:kinsoku/>
              <w:wordWrap w:val="0"/>
              <w:overflowPunct/>
              <w:topLinePunct w:val="0"/>
              <w:autoSpaceDE/>
              <w:autoSpaceDN/>
              <w:bidi w:val="0"/>
              <w:adjustRightInd/>
              <w:snapToGrid/>
              <w:spacing w:after="0"/>
              <w:ind w:left="0" w:leftChars="0"/>
              <w:textAlignment w:val="auto"/>
              <w:rPr>
                <w:rFonts w:hint="default" w:eastAsia="宋体"/>
                <w:b/>
                <w:bCs/>
                <w:lang w:val="en-US" w:eastAsia="zh-CN"/>
              </w:rPr>
            </w:pPr>
            <w:r>
              <w:rPr>
                <w:rFonts w:hint="eastAsia"/>
                <w:b/>
                <w:bCs/>
                <w:color w:val="auto"/>
                <w:lang w:eastAsia="zh-CN"/>
              </w:rPr>
              <w:t>（</w:t>
            </w:r>
            <w:r>
              <w:rPr>
                <w:rFonts w:hint="eastAsia"/>
                <w:b/>
                <w:bCs/>
                <w:color w:val="auto"/>
                <w:lang w:val="en-US" w:eastAsia="zh-CN"/>
              </w:rPr>
              <w:t>3</w:t>
            </w:r>
            <w:r>
              <w:rPr>
                <w:rFonts w:hint="eastAsia"/>
                <w:b/>
                <w:bCs/>
                <w:color w:val="auto"/>
                <w:lang w:eastAsia="zh-CN"/>
              </w:rPr>
              <w:t>）</w:t>
            </w:r>
            <w:r>
              <w:rPr>
                <w:rFonts w:hint="eastAsia"/>
                <w:b/>
                <w:bCs/>
                <w:color w:val="auto"/>
                <w:lang w:val="en-US" w:eastAsia="zh-CN"/>
              </w:rPr>
              <w:t>本项目总量控制指标</w:t>
            </w:r>
          </w:p>
          <w:p w14:paraId="6186C4EC">
            <w:pPr>
              <w:pStyle w:val="47"/>
              <w:keepNext w:val="0"/>
              <w:keepLines w:val="0"/>
              <w:pageBreakBefore w:val="0"/>
              <w:widowControl/>
              <w:kinsoku/>
              <w:wordWrap w:val="0"/>
              <w:overflowPunct/>
              <w:topLinePunct w:val="0"/>
              <w:autoSpaceDE/>
              <w:autoSpaceDN/>
              <w:bidi w:val="0"/>
              <w:adjustRightInd/>
              <w:snapToGrid/>
              <w:spacing w:line="360" w:lineRule="auto"/>
              <w:ind w:firstLine="420"/>
              <w:textAlignment w:val="auto"/>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sz w:val="24"/>
                <w:szCs w:val="24"/>
                <w:highlight w:val="none"/>
              </w:rPr>
              <w:t>根据分析，本项目</w:t>
            </w:r>
            <w:r>
              <w:rPr>
                <w:rFonts w:hint="default" w:ascii="Times New Roman" w:hAnsi="Times New Roman" w:cs="Times New Roman"/>
                <w:color w:val="000000"/>
                <w:kern w:val="0"/>
                <w:sz w:val="24"/>
                <w:szCs w:val="24"/>
                <w:highlight w:val="none"/>
              </w:rPr>
              <w:t>废气中颗粒物排放量为</w:t>
            </w:r>
            <w:r>
              <w:rPr>
                <w:rFonts w:hint="eastAsia" w:ascii="Times New Roman" w:hAnsi="Times New Roman" w:cs="Times New Roman"/>
                <w:color w:val="000000"/>
                <w:kern w:val="0"/>
                <w:sz w:val="24"/>
                <w:szCs w:val="24"/>
                <w:highlight w:val="none"/>
                <w:lang w:val="en-US" w:eastAsia="zh-CN"/>
              </w:rPr>
              <w:t>0.5761</w:t>
            </w:r>
            <w:r>
              <w:rPr>
                <w:rFonts w:hint="default" w:ascii="Times New Roman" w:hAnsi="Times New Roman" w:cs="Times New Roman"/>
                <w:color w:val="000000"/>
                <w:kern w:val="0"/>
                <w:sz w:val="24"/>
                <w:szCs w:val="24"/>
                <w:highlight w:val="none"/>
              </w:rPr>
              <w:t>t/a，</w:t>
            </w:r>
            <w:r>
              <w:rPr>
                <w:rFonts w:hint="eastAsia" w:ascii="Times New Roman" w:hAnsi="Times New Roman" w:cs="Times New Roman"/>
                <w:color w:val="000000"/>
                <w:kern w:val="0"/>
                <w:sz w:val="24"/>
                <w:szCs w:val="24"/>
                <w:highlight w:val="none"/>
                <w:lang w:val="en-US" w:eastAsia="zh-CN"/>
              </w:rPr>
              <w:t>VOCs排放量为0.0038t/a</w:t>
            </w:r>
            <w:r>
              <w:rPr>
                <w:rFonts w:hint="eastAsia" w:ascii="Times New Roman" w:hAnsi="Times New Roman" w:cs="Times New Roman"/>
                <w:color w:val="000000"/>
                <w:sz w:val="24"/>
                <w:szCs w:val="24"/>
                <w:highlight w:val="none"/>
                <w:lang w:val="en-US" w:eastAsia="zh-CN"/>
              </w:rPr>
              <w:t>；废水</w:t>
            </w:r>
            <w:r>
              <w:rPr>
                <w:rFonts w:hint="eastAsia" w:ascii="Times New Roman" w:hAnsi="Times New Roman" w:eastAsia="宋体" w:cs="Times New Roman"/>
                <w:color w:val="000000"/>
                <w:sz w:val="24"/>
                <w:szCs w:val="24"/>
                <w:highlight w:val="none"/>
                <w:lang w:val="en-US" w:eastAsia="zh-CN"/>
              </w:rPr>
              <w:t>经厂区污水总排口排放至直接</w:t>
            </w:r>
            <w:r>
              <w:rPr>
                <w:rFonts w:hint="eastAsia" w:ascii="Times New Roman" w:hAnsi="Times New Roman" w:cs="Times New Roman"/>
                <w:color w:val="000000"/>
                <w:kern w:val="0"/>
                <w:sz w:val="24"/>
                <w:szCs w:val="24"/>
                <w:highlight w:val="none"/>
                <w:lang w:val="en-US" w:eastAsia="zh-CN"/>
              </w:rPr>
              <w:t>南乐县城污水处理厂</w:t>
            </w:r>
            <w:r>
              <w:rPr>
                <w:rFonts w:hint="default" w:ascii="Times New Roman" w:hAnsi="Times New Roman" w:cs="Times New Roman"/>
                <w:color w:val="000000"/>
                <w:kern w:val="0"/>
                <w:sz w:val="24"/>
                <w:szCs w:val="24"/>
                <w:highlight w:val="none"/>
                <w:lang w:val="en-US" w:eastAsia="zh-CN"/>
              </w:rPr>
              <w:t>处理</w:t>
            </w:r>
            <w:r>
              <w:rPr>
                <w:rFonts w:hint="eastAsia" w:ascii="Times New Roman" w:hAnsi="Times New Roman" w:eastAsia="宋体" w:cs="Times New Roman"/>
                <w:color w:val="000000"/>
                <w:sz w:val="24"/>
                <w:szCs w:val="24"/>
                <w:highlight w:val="none"/>
                <w:lang w:val="en-US" w:eastAsia="zh-CN"/>
              </w:rPr>
              <w:t>；</w:t>
            </w:r>
            <w:r>
              <w:rPr>
                <w:rFonts w:hint="default" w:ascii="Times New Roman" w:hAnsi="Times New Roman" w:eastAsia="宋体" w:cs="Times New Roman"/>
                <w:color w:val="000000"/>
                <w:sz w:val="24"/>
                <w:szCs w:val="24"/>
                <w:highlight w:val="none"/>
              </w:rPr>
              <w:t>各污染物</w:t>
            </w:r>
            <w:r>
              <w:rPr>
                <w:rFonts w:hint="eastAsia" w:ascii="Times New Roman" w:hAnsi="Times New Roman" w:eastAsia="宋体" w:cs="Times New Roman"/>
                <w:color w:val="000000"/>
                <w:sz w:val="24"/>
                <w:szCs w:val="24"/>
                <w:highlight w:val="none"/>
                <w:lang w:val="en-US" w:eastAsia="zh-CN"/>
              </w:rPr>
              <w:t>经厂区排放口</w:t>
            </w:r>
            <w:r>
              <w:rPr>
                <w:rFonts w:hint="default" w:ascii="Times New Roman" w:hAnsi="Times New Roman" w:eastAsia="宋体" w:cs="Times New Roman"/>
                <w:color w:val="000000"/>
                <w:sz w:val="24"/>
                <w:szCs w:val="24"/>
                <w:highlight w:val="none"/>
              </w:rPr>
              <w:t>排放量为COD：</w:t>
            </w:r>
            <w:r>
              <w:rPr>
                <w:rFonts w:hint="eastAsia" w:ascii="Times New Roman" w:hAnsi="Times New Roman" w:eastAsia="宋体" w:cs="Times New Roman"/>
                <w:color w:val="auto"/>
                <w:sz w:val="24"/>
                <w:szCs w:val="24"/>
                <w:lang w:val="en-US" w:eastAsia="zh-CN"/>
              </w:rPr>
              <w:t>5.2</w:t>
            </w:r>
            <w:r>
              <w:rPr>
                <w:rFonts w:hint="eastAsia" w:ascii="Times New Roman" w:hAnsi="Times New Roman" w:cs="Times New Roman"/>
                <w:color w:val="auto"/>
                <w:sz w:val="24"/>
                <w:szCs w:val="24"/>
                <w:lang w:val="en-US" w:eastAsia="zh-CN"/>
              </w:rPr>
              <w:t>507</w:t>
            </w:r>
            <w:r>
              <w:rPr>
                <w:rFonts w:hint="default" w:ascii="Times New Roman" w:hAnsi="Times New Roman" w:eastAsia="宋体" w:cs="Times New Roman"/>
                <w:color w:val="000000"/>
                <w:sz w:val="24"/>
                <w:szCs w:val="24"/>
                <w:highlight w:val="none"/>
              </w:rPr>
              <w:t>t/a，NH</w:t>
            </w:r>
            <w:r>
              <w:rPr>
                <w:rFonts w:hint="default" w:ascii="Times New Roman" w:hAnsi="Times New Roman" w:eastAsia="宋体" w:cs="Times New Roman"/>
                <w:color w:val="000000"/>
                <w:sz w:val="24"/>
                <w:szCs w:val="24"/>
                <w:highlight w:val="none"/>
                <w:vertAlign w:val="subscript"/>
              </w:rPr>
              <w:t>3</w:t>
            </w:r>
            <w:r>
              <w:rPr>
                <w:rFonts w:hint="default" w:ascii="Times New Roman" w:hAnsi="Times New Roman" w:eastAsia="宋体" w:cs="Times New Roman"/>
                <w:color w:val="000000"/>
                <w:sz w:val="24"/>
                <w:szCs w:val="24"/>
                <w:highlight w:val="none"/>
              </w:rPr>
              <w:t>-N：</w:t>
            </w:r>
            <w:r>
              <w:rPr>
                <w:rFonts w:hint="eastAsia" w:ascii="Times New Roman" w:hAnsi="Times New Roman" w:eastAsia="宋体" w:cs="Times New Roman"/>
                <w:color w:val="auto"/>
                <w:sz w:val="24"/>
                <w:szCs w:val="24"/>
                <w:lang w:val="en-US" w:eastAsia="zh-CN"/>
              </w:rPr>
              <w:t>0.43</w:t>
            </w:r>
            <w:r>
              <w:rPr>
                <w:rFonts w:hint="eastAsia" w:ascii="Times New Roman" w:hAnsi="Times New Roman" w:cs="Times New Roman"/>
                <w:color w:val="auto"/>
                <w:sz w:val="24"/>
                <w:szCs w:val="24"/>
                <w:lang w:val="en-US" w:eastAsia="zh-CN"/>
              </w:rPr>
              <w:t>11</w:t>
            </w:r>
            <w:r>
              <w:rPr>
                <w:rFonts w:hint="default" w:ascii="Times New Roman" w:hAnsi="Times New Roman" w:eastAsia="宋体" w:cs="Times New Roman"/>
                <w:color w:val="000000"/>
                <w:sz w:val="24"/>
                <w:szCs w:val="24"/>
                <w:highlight w:val="none"/>
              </w:rPr>
              <w:t>t/a；</w:t>
            </w:r>
            <w:r>
              <w:rPr>
                <w:rFonts w:hint="default" w:ascii="Times New Roman" w:hAnsi="Times New Roman" w:cs="Times New Roman"/>
                <w:color w:val="000000"/>
                <w:kern w:val="0"/>
                <w:sz w:val="24"/>
                <w:szCs w:val="24"/>
                <w:highlight w:val="none"/>
              </w:rPr>
              <w:t>经</w:t>
            </w:r>
            <w:r>
              <w:rPr>
                <w:rFonts w:hint="eastAsia" w:ascii="Times New Roman" w:hAnsi="Times New Roman" w:eastAsia="宋体" w:cs="Times New Roman"/>
                <w:color w:val="000000"/>
                <w:sz w:val="24"/>
                <w:szCs w:val="24"/>
                <w:highlight w:val="none"/>
                <w:lang w:val="en-US" w:eastAsia="zh-CN"/>
              </w:rPr>
              <w:t>南乐县城污水处理厂</w:t>
            </w:r>
            <w:r>
              <w:rPr>
                <w:rFonts w:hint="default" w:ascii="Times New Roman" w:hAnsi="Times New Roman" w:cs="Times New Roman"/>
                <w:color w:val="000000"/>
                <w:kern w:val="0"/>
                <w:sz w:val="24"/>
                <w:szCs w:val="24"/>
                <w:highlight w:val="none"/>
              </w:rPr>
              <w:t>处理后各污染物排放量为COD：</w:t>
            </w:r>
            <w:r>
              <w:rPr>
                <w:rFonts w:hint="eastAsia" w:ascii="Times New Roman" w:hAnsi="Times New Roman" w:eastAsia="宋体" w:cs="Times New Roman"/>
                <w:color w:val="auto"/>
                <w:sz w:val="24"/>
                <w:szCs w:val="24"/>
                <w:lang w:val="en-US" w:eastAsia="zh-CN"/>
              </w:rPr>
              <w:t>2.2</w:t>
            </w:r>
            <w:r>
              <w:rPr>
                <w:rFonts w:hint="eastAsia" w:ascii="Times New Roman" w:hAnsi="Times New Roman" w:cs="Times New Roman"/>
                <w:color w:val="auto"/>
                <w:sz w:val="24"/>
                <w:szCs w:val="24"/>
                <w:lang w:val="en-US" w:eastAsia="zh-CN"/>
              </w:rPr>
              <w:t>474</w:t>
            </w:r>
            <w:r>
              <w:rPr>
                <w:rFonts w:hint="eastAsia" w:ascii="Times New Roman" w:hAnsi="Times New Roman" w:eastAsia="宋体" w:cs="Times New Roman"/>
                <w:color w:val="auto"/>
                <w:sz w:val="24"/>
                <w:szCs w:val="24"/>
                <w:lang w:val="en-US" w:eastAsia="zh-CN"/>
              </w:rPr>
              <w:t>t</w:t>
            </w:r>
            <w:r>
              <w:rPr>
                <w:rFonts w:hint="default" w:ascii="Times New Roman" w:hAnsi="Times New Roman" w:cs="Times New Roman"/>
                <w:color w:val="000000"/>
                <w:kern w:val="0"/>
                <w:sz w:val="24"/>
                <w:szCs w:val="24"/>
                <w:highlight w:val="none"/>
              </w:rPr>
              <w:t>/a，NH</w:t>
            </w:r>
            <w:r>
              <w:rPr>
                <w:rFonts w:hint="default" w:ascii="Times New Roman" w:hAnsi="Times New Roman" w:cs="Times New Roman"/>
                <w:color w:val="000000"/>
                <w:kern w:val="0"/>
                <w:sz w:val="24"/>
                <w:szCs w:val="24"/>
                <w:highlight w:val="none"/>
                <w:vertAlign w:val="subscript"/>
              </w:rPr>
              <w:t>3</w:t>
            </w:r>
            <w:r>
              <w:rPr>
                <w:rFonts w:hint="default" w:ascii="Times New Roman" w:hAnsi="Times New Roman" w:cs="Times New Roman"/>
                <w:color w:val="000000"/>
                <w:kern w:val="0"/>
                <w:sz w:val="24"/>
                <w:szCs w:val="24"/>
                <w:highlight w:val="none"/>
              </w:rPr>
              <w:t>-N：</w:t>
            </w:r>
            <w:r>
              <w:rPr>
                <w:rFonts w:hint="eastAsia" w:ascii="Times New Roman" w:hAnsi="Times New Roman" w:eastAsia="宋体" w:cs="Times New Roman"/>
                <w:color w:val="auto"/>
                <w:sz w:val="24"/>
                <w:szCs w:val="24"/>
                <w:lang w:val="en-US" w:eastAsia="zh-CN"/>
              </w:rPr>
              <w:t>0.112</w:t>
            </w: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000000"/>
                <w:kern w:val="0"/>
                <w:sz w:val="24"/>
                <w:szCs w:val="24"/>
                <w:highlight w:val="none"/>
              </w:rPr>
              <w:t>t/a。</w:t>
            </w:r>
          </w:p>
          <w:p w14:paraId="128CEB7F">
            <w:pPr>
              <w:pStyle w:val="47"/>
              <w:keepNext w:val="0"/>
              <w:keepLines w:val="0"/>
              <w:pageBreakBefore w:val="0"/>
              <w:widowControl/>
              <w:kinsoku/>
              <w:wordWrap w:val="0"/>
              <w:overflowPunct/>
              <w:topLinePunct w:val="0"/>
              <w:autoSpaceDE/>
              <w:autoSpaceDN/>
              <w:bidi w:val="0"/>
              <w:adjustRightInd/>
              <w:snapToGrid/>
              <w:spacing w:line="360" w:lineRule="auto"/>
              <w:ind w:firstLine="420"/>
              <w:textAlignment w:val="auto"/>
              <w:rPr>
                <w:rFonts w:hint="eastAsia" w:ascii="Times New Roman" w:hAnsi="Times New Roman" w:cs="Times New Roman"/>
                <w:color w:val="000000"/>
                <w:kern w:val="0"/>
                <w:sz w:val="24"/>
                <w:szCs w:val="24"/>
                <w:highlight w:val="none"/>
                <w:lang w:eastAsia="zh-CN"/>
              </w:rPr>
            </w:pPr>
            <w:r>
              <w:rPr>
                <w:rFonts w:hint="eastAsia"/>
                <w:color w:val="000000"/>
                <w:kern w:val="0"/>
                <w:sz w:val="24"/>
                <w:szCs w:val="24"/>
                <w:highlight w:val="none"/>
              </w:rPr>
              <w:t>因此，本项目</w:t>
            </w:r>
            <w:r>
              <w:rPr>
                <w:rFonts w:hint="eastAsia"/>
                <w:color w:val="000000"/>
                <w:kern w:val="0"/>
                <w:sz w:val="24"/>
                <w:szCs w:val="24"/>
                <w:highlight w:val="none"/>
                <w:lang w:val="en-US" w:eastAsia="zh-CN"/>
              </w:rPr>
              <w:t>废气</w:t>
            </w:r>
            <w:r>
              <w:rPr>
                <w:rFonts w:hint="eastAsia"/>
                <w:color w:val="000000"/>
                <w:kern w:val="0"/>
                <w:sz w:val="24"/>
                <w:szCs w:val="24"/>
                <w:highlight w:val="none"/>
              </w:rPr>
              <w:t>总量控制指标</w:t>
            </w:r>
            <w:r>
              <w:rPr>
                <w:rFonts w:hint="eastAsia"/>
                <w:color w:val="000000"/>
                <w:kern w:val="0"/>
                <w:sz w:val="24"/>
                <w:szCs w:val="24"/>
                <w:highlight w:val="none"/>
                <w:lang w:val="en-US" w:eastAsia="zh-CN"/>
              </w:rPr>
              <w:t>为</w:t>
            </w:r>
            <w:r>
              <w:rPr>
                <w:rFonts w:hint="eastAsia"/>
                <w:color w:val="000000"/>
                <w:kern w:val="0"/>
                <w:sz w:val="24"/>
                <w:szCs w:val="24"/>
                <w:highlight w:val="none"/>
              </w:rPr>
              <w:t>：</w:t>
            </w:r>
            <w:r>
              <w:rPr>
                <w:rFonts w:hint="eastAsia" w:ascii="Times New Roman" w:hAnsi="Times New Roman" w:cs="Times New Roman"/>
                <w:color w:val="000000"/>
                <w:kern w:val="0"/>
                <w:sz w:val="24"/>
                <w:szCs w:val="24"/>
                <w:highlight w:val="none"/>
                <w:lang w:val="en-US" w:eastAsia="zh-CN"/>
              </w:rPr>
              <w:t>颗粒物0.5761</w:t>
            </w:r>
            <w:r>
              <w:rPr>
                <w:rFonts w:hint="default" w:ascii="Times New Roman" w:hAnsi="Times New Roman" w:cs="Times New Roman"/>
                <w:color w:val="000000"/>
                <w:kern w:val="0"/>
                <w:sz w:val="24"/>
                <w:szCs w:val="24"/>
                <w:highlight w:val="none"/>
              </w:rPr>
              <w:t>t/a，</w:t>
            </w:r>
            <w:r>
              <w:rPr>
                <w:rFonts w:hint="eastAsia" w:ascii="Times New Roman" w:hAnsi="Times New Roman" w:cs="Times New Roman"/>
                <w:color w:val="000000"/>
                <w:kern w:val="0"/>
                <w:sz w:val="24"/>
                <w:szCs w:val="24"/>
                <w:highlight w:val="none"/>
                <w:lang w:val="en-US" w:eastAsia="zh-CN"/>
              </w:rPr>
              <w:t>VOCs0.0038t/a</w:t>
            </w:r>
            <w:r>
              <w:rPr>
                <w:rFonts w:hint="eastAsia" w:ascii="Times New Roman" w:hAnsi="Times New Roman" w:cs="Times New Roman"/>
                <w:color w:val="000000"/>
                <w:kern w:val="0"/>
                <w:sz w:val="24"/>
                <w:szCs w:val="24"/>
                <w:highlight w:val="none"/>
                <w:lang w:eastAsia="zh-CN"/>
              </w:rPr>
              <w:t>。</w:t>
            </w:r>
          </w:p>
          <w:p w14:paraId="63C26CF1">
            <w:pPr>
              <w:rPr>
                <w:rFonts w:hint="eastAsia" w:ascii="Times New Roman" w:hAnsi="Times New Roman" w:eastAsia="宋体" w:cs="Times New Roman"/>
                <w:color w:val="000000"/>
                <w:sz w:val="24"/>
                <w:szCs w:val="24"/>
                <w:highlight w:val="none"/>
                <w:lang w:eastAsia="zh-CN"/>
              </w:rPr>
            </w:pPr>
            <w:r>
              <w:rPr>
                <w:rFonts w:hint="eastAsia"/>
                <w:color w:val="000000"/>
                <w:kern w:val="0"/>
                <w:sz w:val="24"/>
                <w:szCs w:val="24"/>
                <w:highlight w:val="none"/>
              </w:rPr>
              <w:t>本项目</w:t>
            </w:r>
            <w:r>
              <w:rPr>
                <w:rFonts w:hint="eastAsia"/>
                <w:color w:val="000000"/>
                <w:kern w:val="0"/>
                <w:sz w:val="24"/>
                <w:szCs w:val="24"/>
                <w:highlight w:val="none"/>
                <w:lang w:val="en-US" w:eastAsia="zh-CN"/>
              </w:rPr>
              <w:t>废水</w:t>
            </w:r>
            <w:r>
              <w:rPr>
                <w:rFonts w:hint="eastAsia"/>
                <w:color w:val="000000"/>
                <w:kern w:val="0"/>
                <w:sz w:val="24"/>
                <w:szCs w:val="24"/>
                <w:highlight w:val="none"/>
              </w:rPr>
              <w:t>总量控制指标</w:t>
            </w:r>
            <w:r>
              <w:rPr>
                <w:rFonts w:hint="eastAsia"/>
                <w:color w:val="000000"/>
                <w:kern w:val="0"/>
                <w:sz w:val="24"/>
                <w:szCs w:val="24"/>
                <w:highlight w:val="none"/>
                <w:lang w:val="en-US" w:eastAsia="zh-CN"/>
              </w:rPr>
              <w:t>为</w:t>
            </w:r>
            <w:r>
              <w:rPr>
                <w:rFonts w:hint="eastAsia"/>
                <w:color w:val="000000"/>
                <w:kern w:val="0"/>
                <w:sz w:val="24"/>
                <w:szCs w:val="24"/>
                <w:highlight w:val="none"/>
              </w:rPr>
              <w:t>：</w:t>
            </w:r>
            <w:r>
              <w:rPr>
                <w:rFonts w:hint="eastAsia"/>
                <w:color w:val="000000"/>
                <w:kern w:val="0"/>
                <w:sz w:val="24"/>
                <w:szCs w:val="24"/>
                <w:highlight w:val="none"/>
                <w:lang w:val="en-US" w:eastAsia="zh-CN"/>
              </w:rPr>
              <w:t>厂排口</w:t>
            </w:r>
            <w:r>
              <w:rPr>
                <w:rFonts w:hint="default" w:ascii="Times New Roman" w:hAnsi="Times New Roman" w:eastAsia="宋体" w:cs="Times New Roman"/>
                <w:color w:val="000000"/>
                <w:sz w:val="24"/>
                <w:szCs w:val="24"/>
                <w:highlight w:val="none"/>
              </w:rPr>
              <w:t>COD</w:t>
            </w:r>
            <w:r>
              <w:rPr>
                <w:rFonts w:hint="eastAsia" w:ascii="Times New Roman" w:hAnsi="Times New Roman" w:eastAsia="宋体" w:cs="Times New Roman"/>
                <w:color w:val="auto"/>
                <w:sz w:val="24"/>
                <w:szCs w:val="24"/>
                <w:lang w:val="en-US" w:eastAsia="zh-CN"/>
              </w:rPr>
              <w:t>5.2</w:t>
            </w:r>
            <w:r>
              <w:rPr>
                <w:rFonts w:hint="eastAsia" w:ascii="Times New Roman" w:hAnsi="Times New Roman" w:cs="Times New Roman"/>
                <w:color w:val="auto"/>
                <w:sz w:val="24"/>
                <w:szCs w:val="24"/>
                <w:lang w:val="en-US" w:eastAsia="zh-CN"/>
              </w:rPr>
              <w:t>507</w:t>
            </w:r>
            <w:r>
              <w:rPr>
                <w:rFonts w:hint="default" w:ascii="Times New Roman" w:hAnsi="Times New Roman" w:eastAsia="宋体" w:cs="Times New Roman"/>
                <w:color w:val="000000"/>
                <w:sz w:val="24"/>
                <w:szCs w:val="24"/>
                <w:highlight w:val="none"/>
              </w:rPr>
              <w:t>t/a，NH</w:t>
            </w:r>
            <w:r>
              <w:rPr>
                <w:rFonts w:hint="default" w:ascii="Times New Roman" w:hAnsi="Times New Roman" w:eastAsia="宋体" w:cs="Times New Roman"/>
                <w:color w:val="000000"/>
                <w:sz w:val="24"/>
                <w:szCs w:val="24"/>
                <w:highlight w:val="none"/>
                <w:vertAlign w:val="subscript"/>
              </w:rPr>
              <w:t>3</w:t>
            </w:r>
            <w:r>
              <w:rPr>
                <w:rFonts w:hint="default" w:ascii="Times New Roman" w:hAnsi="Times New Roman" w:eastAsia="宋体" w:cs="Times New Roman"/>
                <w:color w:val="000000"/>
                <w:sz w:val="24"/>
                <w:szCs w:val="24"/>
                <w:highlight w:val="none"/>
              </w:rPr>
              <w:t>-N</w:t>
            </w:r>
            <w:r>
              <w:rPr>
                <w:rFonts w:hint="eastAsia" w:ascii="Times New Roman" w:hAnsi="Times New Roman" w:eastAsia="宋体" w:cs="Times New Roman"/>
                <w:color w:val="auto"/>
                <w:sz w:val="24"/>
                <w:szCs w:val="24"/>
                <w:lang w:val="en-US" w:eastAsia="zh-CN"/>
              </w:rPr>
              <w:t>0.43</w:t>
            </w:r>
            <w:r>
              <w:rPr>
                <w:rFonts w:hint="eastAsia" w:ascii="Times New Roman" w:hAnsi="Times New Roman" w:cs="Times New Roman"/>
                <w:color w:val="auto"/>
                <w:sz w:val="24"/>
                <w:szCs w:val="24"/>
                <w:lang w:val="en-US" w:eastAsia="zh-CN"/>
              </w:rPr>
              <w:t>11</w:t>
            </w:r>
            <w:r>
              <w:rPr>
                <w:rFonts w:hint="default" w:ascii="Times New Roman" w:hAnsi="Times New Roman" w:eastAsia="宋体" w:cs="Times New Roman"/>
                <w:color w:val="000000"/>
                <w:sz w:val="24"/>
                <w:szCs w:val="24"/>
                <w:highlight w:val="none"/>
              </w:rPr>
              <w:t>t/a</w:t>
            </w:r>
            <w:r>
              <w:rPr>
                <w:rFonts w:hint="eastAsia" w:ascii="Times New Roman" w:hAnsi="Times New Roman" w:eastAsia="宋体" w:cs="Times New Roman"/>
                <w:color w:val="000000"/>
                <w:sz w:val="24"/>
                <w:szCs w:val="24"/>
                <w:highlight w:val="none"/>
                <w:lang w:eastAsia="zh-CN"/>
              </w:rPr>
              <w:t>；</w:t>
            </w:r>
          </w:p>
          <w:p w14:paraId="7A75875A">
            <w:pPr>
              <w:rPr>
                <w:rFonts w:hint="eastAsia" w:ascii="Times New Roman" w:hAnsi="Times New Roman" w:cs="Times New Roman"/>
                <w:color w:val="000000"/>
                <w:kern w:val="0"/>
                <w:sz w:val="24"/>
                <w:szCs w:val="24"/>
                <w:highlight w:val="none"/>
                <w:lang w:eastAsia="zh-CN"/>
              </w:rPr>
            </w:pPr>
            <w:r>
              <w:rPr>
                <w:rFonts w:hint="eastAsia" w:ascii="Times New Roman" w:hAnsi="Times New Roman" w:eastAsia="宋体" w:cs="Times New Roman"/>
                <w:color w:val="000000"/>
                <w:sz w:val="24"/>
                <w:szCs w:val="24"/>
                <w:highlight w:val="none"/>
                <w:lang w:val="en-US" w:eastAsia="zh-CN"/>
              </w:rPr>
              <w:t>南乐县污水处理厂处理后</w:t>
            </w:r>
            <w:r>
              <w:rPr>
                <w:rFonts w:hint="eastAsia" w:cs="Times New Roman"/>
                <w:color w:val="000000"/>
                <w:kern w:val="0"/>
                <w:sz w:val="24"/>
                <w:szCs w:val="24"/>
                <w:highlight w:val="none"/>
                <w:lang w:eastAsia="zh-CN"/>
              </w:rPr>
              <w:t>：</w:t>
            </w:r>
            <w:r>
              <w:rPr>
                <w:rFonts w:hint="default" w:ascii="Times New Roman" w:hAnsi="Times New Roman" w:cs="Times New Roman"/>
                <w:color w:val="000000"/>
                <w:kern w:val="0"/>
                <w:sz w:val="24"/>
                <w:szCs w:val="24"/>
                <w:highlight w:val="none"/>
              </w:rPr>
              <w:t>COD</w:t>
            </w:r>
            <w:r>
              <w:rPr>
                <w:rFonts w:hint="eastAsia" w:ascii="Times New Roman" w:hAnsi="Times New Roman" w:eastAsia="宋体" w:cs="Times New Roman"/>
                <w:color w:val="auto"/>
                <w:sz w:val="24"/>
                <w:szCs w:val="24"/>
                <w:lang w:val="en-US" w:eastAsia="zh-CN"/>
              </w:rPr>
              <w:t>2.2</w:t>
            </w:r>
            <w:r>
              <w:rPr>
                <w:rFonts w:hint="eastAsia" w:ascii="Times New Roman" w:hAnsi="Times New Roman" w:cs="Times New Roman"/>
                <w:color w:val="auto"/>
                <w:sz w:val="24"/>
                <w:szCs w:val="24"/>
                <w:lang w:val="en-US" w:eastAsia="zh-CN"/>
              </w:rPr>
              <w:t>474</w:t>
            </w:r>
            <w:r>
              <w:rPr>
                <w:rFonts w:hint="eastAsia" w:ascii="Times New Roman" w:hAnsi="Times New Roman" w:eastAsia="宋体" w:cs="Times New Roman"/>
                <w:color w:val="auto"/>
                <w:sz w:val="24"/>
                <w:szCs w:val="24"/>
                <w:lang w:val="en-US" w:eastAsia="zh-CN"/>
              </w:rPr>
              <w:t>t</w:t>
            </w:r>
            <w:r>
              <w:rPr>
                <w:rFonts w:hint="default" w:ascii="Times New Roman" w:hAnsi="Times New Roman" w:cs="Times New Roman"/>
                <w:color w:val="000000"/>
                <w:kern w:val="0"/>
                <w:sz w:val="24"/>
                <w:szCs w:val="24"/>
                <w:highlight w:val="none"/>
              </w:rPr>
              <w:t>/a，NH</w:t>
            </w:r>
            <w:r>
              <w:rPr>
                <w:rFonts w:hint="default" w:ascii="Times New Roman" w:hAnsi="Times New Roman" w:cs="Times New Roman"/>
                <w:color w:val="000000"/>
                <w:kern w:val="0"/>
                <w:sz w:val="24"/>
                <w:szCs w:val="24"/>
                <w:highlight w:val="none"/>
                <w:vertAlign w:val="subscript"/>
              </w:rPr>
              <w:t>3</w:t>
            </w:r>
            <w:r>
              <w:rPr>
                <w:rFonts w:hint="default" w:ascii="Times New Roman" w:hAnsi="Times New Roman" w:cs="Times New Roman"/>
                <w:color w:val="000000"/>
                <w:kern w:val="0"/>
                <w:sz w:val="24"/>
                <w:szCs w:val="24"/>
                <w:highlight w:val="none"/>
              </w:rPr>
              <w:t>-N</w:t>
            </w:r>
            <w:r>
              <w:rPr>
                <w:rFonts w:hint="eastAsia" w:ascii="Times New Roman" w:hAnsi="Times New Roman" w:eastAsia="宋体" w:cs="Times New Roman"/>
                <w:color w:val="auto"/>
                <w:sz w:val="24"/>
                <w:szCs w:val="24"/>
                <w:lang w:val="en-US" w:eastAsia="zh-CN"/>
              </w:rPr>
              <w:t>0.112</w:t>
            </w: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000000"/>
                <w:kern w:val="0"/>
                <w:sz w:val="24"/>
                <w:szCs w:val="24"/>
                <w:highlight w:val="none"/>
              </w:rPr>
              <w:t>t/a</w:t>
            </w:r>
            <w:r>
              <w:rPr>
                <w:rFonts w:hint="eastAsia" w:ascii="Times New Roman" w:hAnsi="Times New Roman" w:cs="Times New Roman"/>
                <w:color w:val="000000"/>
                <w:kern w:val="0"/>
                <w:sz w:val="24"/>
                <w:szCs w:val="24"/>
                <w:highlight w:val="none"/>
                <w:lang w:eastAsia="zh-CN"/>
              </w:rPr>
              <w:t>。</w:t>
            </w:r>
          </w:p>
          <w:p w14:paraId="2BAE0D26">
            <w:pPr>
              <w:rPr>
                <w:rFonts w:hint="eastAsia"/>
              </w:rPr>
            </w:pPr>
          </w:p>
        </w:tc>
      </w:tr>
    </w:tbl>
    <w:p w14:paraId="2EB4A13C">
      <w:pPr>
        <w:pStyle w:val="2"/>
        <w:numPr>
          <w:ilvl w:val="0"/>
          <w:numId w:val="8"/>
        </w:numPr>
        <w:jc w:val="center"/>
        <w:rPr>
          <w:rFonts w:hint="eastAsia"/>
          <w:snapToGrid w:val="0"/>
          <w:color w:val="auto"/>
        </w:rPr>
      </w:pPr>
      <w:r>
        <w:rPr>
          <w:snapToGrid w:val="0"/>
          <w:color w:val="auto"/>
          <w:sz w:val="36"/>
          <w:szCs w:val="36"/>
          <w:lang w:val="fr-FR"/>
        </w:rPr>
        <w:br w:type="page"/>
      </w:r>
      <w:bookmarkStart w:id="8" w:name="_Toc23841"/>
      <w:r>
        <w:rPr>
          <w:rFonts w:hint="eastAsia"/>
          <w:snapToGrid w:val="0"/>
          <w:color w:val="auto"/>
        </w:rPr>
        <w:t>主要环境影响和保护措施</w:t>
      </w:r>
      <w:bookmarkEnd w:id="8"/>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826"/>
        <w:gridCol w:w="8130"/>
      </w:tblGrid>
      <w:tr w14:paraId="6FFF9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67" w:hRule="atLeast"/>
          <w:jc w:val="center"/>
        </w:trPr>
        <w:tc>
          <w:tcPr>
            <w:tcW w:w="461" w:type="pct"/>
            <w:tcMar>
              <w:left w:w="28" w:type="dxa"/>
              <w:right w:w="28" w:type="dxa"/>
            </w:tcMar>
            <w:vAlign w:val="center"/>
          </w:tcPr>
          <w:p w14:paraId="2C7C4A7E">
            <w:pPr>
              <w:adjustRightInd w:val="0"/>
              <w:snapToGrid w:val="0"/>
              <w:spacing w:line="240" w:lineRule="auto"/>
              <w:ind w:firstLine="0" w:firstLineChars="0"/>
              <w:jc w:val="center"/>
              <w:rPr>
                <w:rFonts w:cs="宋体"/>
                <w:bCs/>
                <w:color w:val="auto"/>
              </w:rPr>
            </w:pPr>
            <w:r>
              <w:rPr>
                <w:rFonts w:hint="eastAsia" w:cs="宋体"/>
                <w:color w:val="auto"/>
              </w:rPr>
              <w:t>施工期环境保护措施</w:t>
            </w:r>
          </w:p>
        </w:tc>
        <w:tc>
          <w:tcPr>
            <w:tcW w:w="4538" w:type="pct"/>
            <w:vAlign w:val="center"/>
          </w:tcPr>
          <w:p w14:paraId="139292BB">
            <w:pPr>
              <w:pStyle w:val="13"/>
              <w:keepNext w:val="0"/>
              <w:keepLines w:val="0"/>
              <w:pageBreakBefore w:val="0"/>
              <w:kinsoku/>
              <w:wordWrap/>
              <w:overflowPunct/>
              <w:topLinePunct w:val="0"/>
              <w:bidi w:val="0"/>
              <w:snapToGrid/>
              <w:spacing w:before="0" w:line="360" w:lineRule="auto"/>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本项目施工期可分为基础工程、主体工程、设备工程等阶段</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color w:val="000000"/>
                <w:kern w:val="0"/>
                <w:sz w:val="24"/>
                <w:szCs w:val="24"/>
                <w:lang w:val="en-US" w:eastAsia="zh-CN" w:bidi="ar"/>
              </w:rPr>
              <w:t>对环境的影响为</w:t>
            </w:r>
            <w:r>
              <w:rPr>
                <w:rFonts w:hint="eastAsia" w:ascii="Times New Roman" w:hAnsi="Times New Roman" w:eastAsia="宋体" w:cs="Times New Roman"/>
                <w:color w:val="000000"/>
                <w:kern w:val="0"/>
                <w:sz w:val="24"/>
                <w:szCs w:val="24"/>
                <w:lang w:val="en-US" w:eastAsia="zh-CN" w:bidi="ar"/>
              </w:rPr>
              <w:t>施工</w:t>
            </w:r>
            <w:r>
              <w:rPr>
                <w:rFonts w:hint="default" w:ascii="Times New Roman" w:hAnsi="Times New Roman" w:eastAsia="宋体" w:cs="Times New Roman"/>
                <w:color w:val="000000"/>
                <w:kern w:val="0"/>
                <w:sz w:val="24"/>
                <w:szCs w:val="24"/>
                <w:lang w:val="en-US" w:eastAsia="zh-CN" w:bidi="ar"/>
              </w:rPr>
              <w:t>扬尘</w:t>
            </w:r>
            <w:r>
              <w:rPr>
                <w:rFonts w:hint="eastAsia" w:ascii="Times New Roman" w:hAnsi="Times New Roman" w:eastAsia="宋体" w:cs="Times New Roman"/>
                <w:color w:val="000000"/>
                <w:kern w:val="0"/>
                <w:sz w:val="24"/>
                <w:szCs w:val="24"/>
                <w:lang w:val="en-US" w:eastAsia="zh-CN" w:bidi="ar"/>
              </w:rPr>
              <w:t>及车辆尾气</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施工</w:t>
            </w:r>
            <w:r>
              <w:rPr>
                <w:rFonts w:hint="default" w:ascii="Times New Roman" w:hAnsi="Times New Roman" w:eastAsia="宋体" w:cs="Times New Roman"/>
                <w:color w:val="000000"/>
                <w:kern w:val="0"/>
                <w:sz w:val="24"/>
                <w:szCs w:val="24"/>
                <w:lang w:val="en-US" w:eastAsia="zh-CN" w:bidi="ar"/>
              </w:rPr>
              <w:t>废水、</w:t>
            </w:r>
            <w:r>
              <w:rPr>
                <w:rFonts w:hint="eastAsia" w:ascii="Times New Roman" w:hAnsi="Times New Roman" w:eastAsia="宋体" w:cs="Times New Roman"/>
                <w:color w:val="000000"/>
                <w:kern w:val="0"/>
                <w:sz w:val="24"/>
                <w:szCs w:val="24"/>
                <w:lang w:val="en-US" w:eastAsia="zh-CN" w:bidi="ar"/>
              </w:rPr>
              <w:t>施工</w:t>
            </w:r>
            <w:r>
              <w:rPr>
                <w:rFonts w:hint="default" w:ascii="Times New Roman" w:hAnsi="Times New Roman" w:eastAsia="宋体" w:cs="Times New Roman"/>
                <w:color w:val="000000"/>
                <w:kern w:val="0"/>
                <w:sz w:val="24"/>
                <w:szCs w:val="24"/>
                <w:lang w:val="en-US" w:eastAsia="zh-CN" w:bidi="ar"/>
              </w:rPr>
              <w:t>噪声以及建筑垃圾、废渣</w:t>
            </w:r>
            <w:r>
              <w:rPr>
                <w:rFonts w:hint="eastAsia" w:ascii="Times New Roman" w:hAnsi="Times New Roman" w:eastAsia="宋体" w:cs="Times New Roman"/>
                <w:color w:val="000000"/>
                <w:kern w:val="0"/>
                <w:sz w:val="24"/>
                <w:szCs w:val="24"/>
                <w:lang w:val="en-US" w:eastAsia="zh-CN" w:bidi="ar"/>
              </w:rPr>
              <w:t>等</w:t>
            </w:r>
            <w:r>
              <w:rPr>
                <w:rFonts w:hint="default"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sz w:val="24"/>
                <w:szCs w:val="24"/>
                <w:lang w:val="en-US" w:eastAsia="zh-CN"/>
              </w:rPr>
              <w:t>简要分析如下：</w:t>
            </w:r>
          </w:p>
          <w:p w14:paraId="43068BF3">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0" w:firstLineChars="0"/>
              <w:jc w:val="left"/>
              <w:textAlignment w:val="auto"/>
              <w:rPr>
                <w:rFonts w:hint="default" w:ascii="Times New Roman" w:hAnsi="Times New Roman" w:eastAsia="宋体"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一、</w:t>
            </w:r>
            <w:r>
              <w:rPr>
                <w:rFonts w:hint="default" w:ascii="Times New Roman" w:hAnsi="Times New Roman" w:eastAsia="宋体" w:cs="Times New Roman"/>
                <w:b/>
                <w:bCs/>
                <w:color w:val="000000"/>
                <w:kern w:val="0"/>
                <w:sz w:val="24"/>
                <w:szCs w:val="24"/>
                <w:lang w:val="en-US" w:eastAsia="zh-CN" w:bidi="ar"/>
              </w:rPr>
              <w:t>施工期大气影响分析</w:t>
            </w:r>
          </w:p>
          <w:p w14:paraId="42B1F90B">
            <w:pPr>
              <w:pStyle w:val="13"/>
              <w:keepNext w:val="0"/>
              <w:keepLines w:val="0"/>
              <w:pageBreakBefore w:val="0"/>
              <w:kinsoku/>
              <w:wordWrap/>
              <w:overflowPunct/>
              <w:topLinePunct w:val="0"/>
              <w:bidi w:val="0"/>
              <w:snapToGrid/>
              <w:spacing w:before="0" w:line="360" w:lineRule="auto"/>
              <w:ind w:left="0" w:right="0" w:firstLine="480" w:firstLineChars="200"/>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本项目施工期大气污染物主要来源于建筑材料运输、装卸、拌合、基础施工等工序产生的扬尘，以及运输车辆产生的汽车尾气。</w:t>
            </w:r>
          </w:p>
          <w:p w14:paraId="4540F851">
            <w:pPr>
              <w:pStyle w:val="13"/>
              <w:keepNext w:val="0"/>
              <w:keepLines w:val="0"/>
              <w:pageBreakBefore w:val="0"/>
              <w:kinsoku/>
              <w:wordWrap/>
              <w:overflowPunct/>
              <w:topLinePunct w:val="0"/>
              <w:bidi w:val="0"/>
              <w:snapToGrid/>
              <w:spacing w:before="0" w:line="360" w:lineRule="auto"/>
              <w:ind w:left="0" w:right="0" w:firstLine="480" w:firstLineChars="200"/>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（1）施工扬尘</w:t>
            </w:r>
          </w:p>
          <w:p w14:paraId="6F11DE91">
            <w:pPr>
              <w:pStyle w:val="13"/>
              <w:keepNext w:val="0"/>
              <w:keepLines w:val="0"/>
              <w:pageBreakBefore w:val="0"/>
              <w:kinsoku/>
              <w:wordWrap/>
              <w:overflowPunct/>
              <w:topLinePunct w:val="0"/>
              <w:bidi w:val="0"/>
              <w:snapToGrid/>
              <w:spacing w:before="0" w:line="360" w:lineRule="auto"/>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本项目施工期扬尘主要来源于项目前期基础工程，进入后续阶段扬尘产生量较少，后续阶段主要为垃圾堆放、建材堆放以及运输车辆扬尘。</w:t>
            </w:r>
          </w:p>
          <w:p w14:paraId="7B95A1D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bCs/>
                <w:sz w:val="24"/>
                <w:u w:val="none"/>
              </w:rPr>
            </w:pPr>
            <w:r>
              <w:rPr>
                <w:rFonts w:hint="default" w:ascii="Times New Roman" w:hAnsi="Times New Roman" w:eastAsia="宋体" w:cs="Times New Roman"/>
                <w:b w:val="0"/>
                <w:bCs/>
                <w:sz w:val="24"/>
                <w:u w:val="none"/>
              </w:rPr>
              <w:t>为减少扬尘污染，项目施工期应严格按照</w:t>
            </w:r>
            <w:r>
              <w:rPr>
                <w:rFonts w:hint="default" w:ascii="Times New Roman" w:hAnsi="Times New Roman" w:eastAsia="宋体" w:cs="Times New Roman"/>
                <w:b w:val="0"/>
                <w:bCs/>
                <w:sz w:val="24"/>
                <w:u w:val="none"/>
                <w:lang w:eastAsia="zh-CN"/>
              </w:rPr>
              <w:t>《濮阳市空气质量持续改善行动实施方案》（濮政〔2024〕11号）、</w:t>
            </w:r>
            <w:r>
              <w:rPr>
                <w:rFonts w:hint="default" w:ascii="Times New Roman" w:hAnsi="Times New Roman" w:eastAsia="宋体" w:cs="Times New Roman"/>
                <w:b w:val="0"/>
                <w:bCs/>
                <w:sz w:val="24"/>
                <w:u w:val="none"/>
                <w:lang w:val="en-US" w:eastAsia="zh-CN"/>
              </w:rPr>
              <w:t>《濮阳市2024年蓝天保卫战实施方案》（濮环委办[2024]11号）</w:t>
            </w:r>
            <w:r>
              <w:rPr>
                <w:rFonts w:hint="default" w:ascii="Times New Roman" w:hAnsi="Times New Roman" w:eastAsia="宋体" w:cs="Times New Roman"/>
                <w:b w:val="0"/>
                <w:bCs/>
                <w:sz w:val="24"/>
                <w:u w:val="none"/>
              </w:rPr>
              <w:t>等文件中关于扬尘治理的要求，严格落实扬尘治理“两个标准”要求，加强施工围挡、车辆冲洗、湿法作业、密闭运输地面硬化、物料覆盖等管理，提升扬尘污染精细化管理水平。施工过程中，车辆运输散体材料和废弃物时，必须密闭，避免遗漏；加强材料转运与使用的管理，合理装卸，规范操作；施工现场设置围挡，定期洒水进行扬尘控制，具体应采取以下环保措施：</w:t>
            </w:r>
          </w:p>
          <w:p w14:paraId="4F7E823D">
            <w:pPr>
              <w:pStyle w:val="13"/>
              <w:keepNext w:val="0"/>
              <w:keepLines w:val="0"/>
              <w:pageBreakBefore w:val="0"/>
              <w:kinsoku/>
              <w:wordWrap/>
              <w:overflowPunct/>
              <w:topLinePunct w:val="0"/>
              <w:bidi w:val="0"/>
              <w:snapToGrid/>
              <w:spacing w:before="0" w:line="360" w:lineRule="auto"/>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a.在施工现场出入口公示施工负责人、扬尘污染控制措施、主管部门以及举报电话等信息，接受社会监督；</w:t>
            </w:r>
          </w:p>
          <w:p w14:paraId="02D41B0B">
            <w:pPr>
              <w:pStyle w:val="13"/>
              <w:keepNext w:val="0"/>
              <w:keepLines w:val="0"/>
              <w:pageBreakBefore w:val="0"/>
              <w:kinsoku/>
              <w:wordWrap/>
              <w:overflowPunct/>
              <w:topLinePunct w:val="0"/>
              <w:bidi w:val="0"/>
              <w:snapToGrid/>
              <w:spacing w:before="0" w:line="360" w:lineRule="auto"/>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b.施工工地设置围墙或者硬质密闭围挡，并对围挡进行维护；</w:t>
            </w:r>
          </w:p>
          <w:p w14:paraId="5F74D911">
            <w:pPr>
              <w:pStyle w:val="13"/>
              <w:keepNext w:val="0"/>
              <w:keepLines w:val="0"/>
              <w:pageBreakBefore w:val="0"/>
              <w:kinsoku/>
              <w:wordWrap/>
              <w:overflowPunct/>
              <w:topLinePunct w:val="0"/>
              <w:bidi w:val="0"/>
              <w:snapToGrid/>
              <w:spacing w:before="0" w:line="360" w:lineRule="auto"/>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c.对施工现场进出口通道、场内道路，以及材料存放区、加工区等场所地坪硬化，对其他场地进行覆盖或者临时绿化，对土方集中堆放并按照规范覆盖或者固化；</w:t>
            </w:r>
          </w:p>
          <w:p w14:paraId="246C0E02">
            <w:pPr>
              <w:pStyle w:val="13"/>
              <w:keepNext w:val="0"/>
              <w:keepLines w:val="0"/>
              <w:pageBreakBefore w:val="0"/>
              <w:kinsoku/>
              <w:wordWrap/>
              <w:overflowPunct/>
              <w:topLinePunct w:val="0"/>
              <w:bidi w:val="0"/>
              <w:snapToGrid/>
              <w:spacing w:before="0" w:line="360" w:lineRule="auto"/>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d.施工现场出入口应当设置车辆冲洗设施，施工及运输车辆经除泥、冲洗后方能驶出工地，不得带泥上路；</w:t>
            </w:r>
          </w:p>
          <w:p w14:paraId="0ACC19CC">
            <w:pPr>
              <w:pStyle w:val="13"/>
              <w:keepNext w:val="0"/>
              <w:keepLines w:val="0"/>
              <w:pageBreakBefore w:val="0"/>
              <w:kinsoku/>
              <w:wordWrap/>
              <w:overflowPunct/>
              <w:topLinePunct w:val="0"/>
              <w:bidi w:val="0"/>
              <w:snapToGrid/>
              <w:spacing w:before="0" w:line="360" w:lineRule="auto"/>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e.易产生扬尘的物料以及不能及时清运的建筑垃圾，应当设置不低于堆放高度的密闭围栏，并对堆放物品予以覆盖；</w:t>
            </w:r>
          </w:p>
          <w:p w14:paraId="492B770A">
            <w:pPr>
              <w:pStyle w:val="13"/>
              <w:keepNext w:val="0"/>
              <w:keepLines w:val="0"/>
              <w:pageBreakBefore w:val="0"/>
              <w:kinsoku/>
              <w:wordWrap/>
              <w:overflowPunct/>
              <w:topLinePunct w:val="0"/>
              <w:bidi w:val="0"/>
              <w:snapToGrid/>
              <w:spacing w:before="0" w:line="360" w:lineRule="auto"/>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f.加强建设工程扬尘网格化、精细化管理，推行绿色施工，制定、完善和严格执行建设施工管理制度，全面推行现场标准化管理；加强建设工地监督检查，落实降尘、压尘和抑尘措施。施工采用清洁能源施工设备；在运输过程中，应限制车辆运输速度，最大程度降低施工期对周围大气环境的影响。</w:t>
            </w:r>
          </w:p>
          <w:p w14:paraId="100EFE67">
            <w:pPr>
              <w:keepNext w:val="0"/>
              <w:keepLines w:val="0"/>
              <w:pageBreakBefore w:val="0"/>
              <w:kinsoku/>
              <w:wordWrap/>
              <w:overflowPunct/>
              <w:topLinePunct w:val="0"/>
              <w:bidi w:val="0"/>
              <w:snapToGrid/>
              <w:spacing w:line="360" w:lineRule="auto"/>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（2）汽车尾气的防治措施</w:t>
            </w:r>
          </w:p>
          <w:p w14:paraId="6D828531">
            <w:pPr>
              <w:keepNext w:val="0"/>
              <w:keepLines w:val="0"/>
              <w:pageBreakBefore w:val="0"/>
              <w:kinsoku/>
              <w:wordWrap/>
              <w:overflowPunct/>
              <w:topLinePunct w:val="0"/>
              <w:bidi w:val="0"/>
              <w:snapToGrid/>
              <w:spacing w:line="360" w:lineRule="auto"/>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由于施工场地车辆和各种燃油机械比较集中，尾气排放源强相对较大，主要污染因子以CO、NOX、CnHm等为主，为非连续间歇式排放，其特点是排放量小，且属间断性无组织排放，由于其这一特点，加之施工场地较开阔，扩散条件良好，因此对其不加处理就可达到相应的排放标准。在施工期内应多加注意施工设备的维护，使其能够正常的运行，提高设备原料的利用率。</w:t>
            </w:r>
          </w:p>
          <w:p w14:paraId="28E31231">
            <w:pPr>
              <w:keepNext w:val="0"/>
              <w:keepLines w:val="0"/>
              <w:pageBreakBefore w:val="0"/>
              <w:kinsoku/>
              <w:wordWrap/>
              <w:overflowPunct/>
              <w:topLinePunct w:val="0"/>
              <w:bidi w:val="0"/>
              <w:snapToGrid/>
              <w:spacing w:line="360" w:lineRule="auto"/>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另外，车辆在运输过程中会产生运输扬尘，在项目沿线采取定期洒水降尘措施后可有效降低运输过程中产生的起尘量。</w:t>
            </w:r>
          </w:p>
          <w:p w14:paraId="11E8A55F">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0" w:firstLineChars="0"/>
              <w:jc w:val="left"/>
              <w:textAlignment w:val="auto"/>
              <w:rPr>
                <w:rFonts w:hint="default" w:ascii="Times New Roman" w:hAnsi="Times New Roman" w:eastAsia="宋体"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二、</w:t>
            </w:r>
            <w:r>
              <w:rPr>
                <w:rFonts w:hint="default" w:ascii="Times New Roman" w:hAnsi="Times New Roman" w:eastAsia="宋体" w:cs="Times New Roman"/>
                <w:b/>
                <w:bCs/>
                <w:color w:val="000000"/>
                <w:kern w:val="0"/>
                <w:sz w:val="24"/>
                <w:szCs w:val="24"/>
                <w:lang w:val="en-US" w:eastAsia="zh-CN" w:bidi="ar"/>
              </w:rPr>
              <w:t>施工期水环境影响分析</w:t>
            </w:r>
          </w:p>
          <w:p w14:paraId="43D2546A">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（1）生活污水</w:t>
            </w:r>
          </w:p>
          <w:p w14:paraId="34E2BAD0">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施工期间生活污水主要为施工人员冲厕废水，</w:t>
            </w:r>
            <w:r>
              <w:rPr>
                <w:rFonts w:hint="eastAsia" w:ascii="Times New Roman" w:hAnsi="Times New Roman" w:eastAsia="宋体" w:cs="Times New Roman"/>
                <w:color w:val="000000"/>
                <w:kern w:val="0"/>
                <w:sz w:val="24"/>
                <w:szCs w:val="24"/>
                <w:lang w:val="en-US" w:eastAsia="zh-CN" w:bidi="ar"/>
              </w:rPr>
              <w:t>利用厂区已有化粪池，</w:t>
            </w:r>
            <w:r>
              <w:rPr>
                <w:rFonts w:hint="default" w:ascii="Times New Roman" w:hAnsi="Times New Roman" w:eastAsia="宋体" w:cs="Times New Roman"/>
                <w:color w:val="000000"/>
                <w:kern w:val="0"/>
                <w:sz w:val="24"/>
                <w:szCs w:val="24"/>
                <w:lang w:val="en-US" w:eastAsia="zh-CN" w:bidi="ar"/>
              </w:rPr>
              <w:t>经化粪池预处理后排入</w:t>
            </w:r>
            <w:r>
              <w:rPr>
                <w:rFonts w:hint="eastAsia" w:cs="Times New Roman"/>
                <w:color w:val="000000"/>
                <w:kern w:val="0"/>
                <w:sz w:val="24"/>
                <w:szCs w:val="24"/>
                <w:lang w:val="en-US" w:eastAsia="zh-CN" w:bidi="ar"/>
              </w:rPr>
              <w:t>南乐县</w:t>
            </w:r>
            <w:r>
              <w:rPr>
                <w:rFonts w:hint="default" w:ascii="Times New Roman" w:hAnsi="Times New Roman" w:eastAsia="宋体" w:cs="Times New Roman"/>
                <w:color w:val="000000"/>
                <w:kern w:val="0"/>
                <w:sz w:val="24"/>
                <w:szCs w:val="24"/>
                <w:lang w:val="en-US" w:eastAsia="zh-CN" w:bidi="ar"/>
              </w:rPr>
              <w:t>污水处理厂，不会对水环境产生影响。</w:t>
            </w:r>
          </w:p>
          <w:p w14:paraId="21214E0D">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（2）施工废水</w:t>
            </w:r>
          </w:p>
          <w:p w14:paraId="5C3B0393">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项目施工期使用商业混凝土，废水主要来自混凝土养护过程，主要污染物浓度为SS，施工期间养护废水经沉淀后上层清水回用于建筑材料及临时堆土的喷洒用水或施工场地喷洒用水，不外排，不会对水环境产生影响。施工期生产废水经防渗沉淀池沉淀后循环使用或用于洒水降尘。</w:t>
            </w:r>
          </w:p>
          <w:p w14:paraId="64E33419">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本项目施工时间较短，施工范围小，影响区域较小，采取以上措施后，不会对</w:t>
            </w:r>
            <w:r>
              <w:rPr>
                <w:rFonts w:hint="eastAsia" w:ascii="Times New Roman" w:hAnsi="Times New Roman" w:eastAsia="宋体" w:cs="Times New Roman"/>
                <w:color w:val="000000"/>
                <w:kern w:val="0"/>
                <w:sz w:val="24"/>
                <w:szCs w:val="24"/>
                <w:lang w:val="en-US" w:eastAsia="zh-CN" w:bidi="ar"/>
              </w:rPr>
              <w:t>周边水环境</w:t>
            </w:r>
            <w:r>
              <w:rPr>
                <w:rFonts w:hint="default" w:ascii="Times New Roman" w:hAnsi="Times New Roman" w:eastAsia="宋体" w:cs="Times New Roman"/>
                <w:color w:val="000000"/>
                <w:kern w:val="0"/>
                <w:sz w:val="24"/>
                <w:szCs w:val="24"/>
                <w:lang w:val="en-US" w:eastAsia="zh-CN" w:bidi="ar"/>
              </w:rPr>
              <w:t>产生影响。</w:t>
            </w:r>
          </w:p>
          <w:p w14:paraId="0B300436">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0" w:firstLineChars="0"/>
              <w:jc w:val="left"/>
              <w:textAlignment w:val="auto"/>
              <w:rPr>
                <w:rFonts w:hint="default" w:ascii="Times New Roman" w:hAnsi="Times New Roman" w:eastAsia="宋体" w:cs="Times New Roman"/>
                <w:b/>
                <w:bCs/>
                <w:color w:val="000000"/>
                <w:kern w:val="0"/>
                <w:sz w:val="24"/>
                <w:szCs w:val="24"/>
                <w:lang w:val="en-US" w:eastAsia="zh-CN" w:bidi="ar"/>
              </w:rPr>
            </w:pPr>
            <w:r>
              <w:rPr>
                <w:rFonts w:hint="eastAsia" w:cs="Times New Roman"/>
                <w:color w:val="000000"/>
                <w:kern w:val="0"/>
                <w:sz w:val="24"/>
                <w:szCs w:val="24"/>
                <w:lang w:val="en-US" w:eastAsia="zh-CN" w:bidi="ar"/>
              </w:rPr>
              <w:t>三、</w:t>
            </w:r>
            <w:r>
              <w:rPr>
                <w:rFonts w:hint="default" w:ascii="Times New Roman" w:hAnsi="Times New Roman" w:eastAsia="宋体" w:cs="Times New Roman"/>
                <w:b/>
                <w:bCs/>
                <w:color w:val="000000"/>
                <w:kern w:val="0"/>
                <w:sz w:val="24"/>
                <w:szCs w:val="24"/>
                <w:lang w:val="en-US" w:eastAsia="zh-CN" w:bidi="ar"/>
              </w:rPr>
              <w:t>施工期噪声影响分析</w:t>
            </w:r>
          </w:p>
          <w:p w14:paraId="1BB23413">
            <w:pPr>
              <w:pStyle w:val="13"/>
              <w:keepNext w:val="0"/>
              <w:keepLines w:val="0"/>
              <w:pageBreakBefore w:val="0"/>
              <w:kinsoku/>
              <w:wordWrap/>
              <w:overflowPunct/>
              <w:topLinePunct w:val="0"/>
              <w:bidi w:val="0"/>
              <w:snapToGrid/>
              <w:spacing w:before="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本项目施工主要是构筑物等土建工程施工及设备安装施工，影响较大的噪声源主要有混凝土翻斗车、打桩机、振捣棒、切割机、发电机等。为进一步降低周围声环境影响，建议建设单位施工期间采取如下措施。</w:t>
            </w:r>
          </w:p>
          <w:p w14:paraId="0A1D75AA">
            <w:pPr>
              <w:pStyle w:val="13"/>
              <w:keepNext w:val="0"/>
              <w:keepLines w:val="0"/>
              <w:pageBreakBefore w:val="0"/>
              <w:kinsoku/>
              <w:wordWrap/>
              <w:overflowPunct/>
              <w:topLinePunct w:val="0"/>
              <w:bidi w:val="0"/>
              <w:snapToGrid/>
              <w:spacing w:before="0" w:line="360" w:lineRule="auto"/>
              <w:ind w:left="0" w:right="0"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a</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合理安排施工进度和作业时间。除抢修、抢险作业外，不得在夜间进行产生噪声污染的施工作业。确需夜间施工作业的，必须提前3日向当地环境保护行政主管部门提出申请，经审核批准后，方可施工，并由施工单位公告当地居民。</w:t>
            </w:r>
          </w:p>
          <w:p w14:paraId="5F9DE887">
            <w:pPr>
              <w:pStyle w:val="13"/>
              <w:keepNext w:val="0"/>
              <w:keepLines w:val="0"/>
              <w:pageBreakBefore w:val="0"/>
              <w:kinsoku/>
              <w:wordWrap/>
              <w:overflowPunct/>
              <w:topLinePunct w:val="0"/>
              <w:bidi w:val="0"/>
              <w:snapToGrid/>
              <w:spacing w:before="0" w:line="360" w:lineRule="auto"/>
              <w:ind w:left="0" w:right="0"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b</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合理安排施工机械安放位置，施工机械应尽可能放置于施工场界外造成影响最小的地点。</w:t>
            </w:r>
          </w:p>
          <w:p w14:paraId="7D624197">
            <w:pPr>
              <w:pStyle w:val="13"/>
              <w:keepNext w:val="0"/>
              <w:keepLines w:val="0"/>
              <w:pageBreakBefore w:val="0"/>
              <w:kinsoku/>
              <w:wordWrap/>
              <w:overflowPunct/>
              <w:topLinePunct w:val="0"/>
              <w:bidi w:val="0"/>
              <w:snapToGrid/>
              <w:spacing w:before="0" w:line="360" w:lineRule="auto"/>
              <w:ind w:left="0" w:right="0"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c</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优先选用低噪声设备，加强设备的维护与管理，把噪声污染减小到最低程度。如打桩采用液压式打桩机，施工联络方式采用旗帜、无线电通讯等方式，尽量不使用鸣笛等高噪声的联络方式；在施工场地周围建筑物外围设围挡，设置隔声屏障或隔声帘，对应降低施工噪声对周围环境的影响。</w:t>
            </w:r>
          </w:p>
          <w:p w14:paraId="24CC42B8">
            <w:pPr>
              <w:pStyle w:val="13"/>
              <w:keepNext w:val="0"/>
              <w:keepLines w:val="0"/>
              <w:pageBreakBefore w:val="0"/>
              <w:kinsoku/>
              <w:wordWrap/>
              <w:overflowPunct/>
              <w:topLinePunct w:val="0"/>
              <w:bidi w:val="0"/>
              <w:snapToGrid/>
              <w:spacing w:before="0" w:line="360" w:lineRule="auto"/>
              <w:ind w:left="0" w:right="0"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应对施工机械采取降噪措施。施工现场的电锯、移动式空压机等高噪声设备，均应在工地相应方位搭设设备房，不可露天作业；增加消声减振装置，如在某些施工机械上安装消声罩，对振捣棒等强噪声源周围适当封闭。</w:t>
            </w:r>
          </w:p>
          <w:p w14:paraId="75F5035B">
            <w:pPr>
              <w:pStyle w:val="13"/>
              <w:keepNext w:val="0"/>
              <w:keepLines w:val="0"/>
              <w:pageBreakBefore w:val="0"/>
              <w:kinsoku/>
              <w:wordWrap/>
              <w:overflowPunct/>
              <w:topLinePunct w:val="0"/>
              <w:bidi w:val="0"/>
              <w:snapToGrid/>
              <w:spacing w:before="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e.尽量压缩施工期内汽车数量和行车密度，控制汽车鸣笛；合理布置施工场地及合理安排交通组织路线。选择对周围环境影响较小的运输路线，以减少运输噪声及运输扬尘对运输线路周围环境的影响。</w:t>
            </w:r>
          </w:p>
          <w:p w14:paraId="18A3BA3B">
            <w:pPr>
              <w:pStyle w:val="13"/>
              <w:keepNext w:val="0"/>
              <w:keepLines w:val="0"/>
              <w:pageBreakBefore w:val="0"/>
              <w:kinsoku/>
              <w:wordWrap/>
              <w:overflowPunct/>
              <w:topLinePunct w:val="0"/>
              <w:bidi w:val="0"/>
              <w:snapToGrid/>
              <w:spacing w:before="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f.在搬运易产生噪声的施工设备、建筑材料等时，应尽可能轻拿轻放，以避免相互碰撞而产生噪声；</w:t>
            </w:r>
          </w:p>
          <w:p w14:paraId="02BB1E6C">
            <w:pPr>
              <w:pStyle w:val="13"/>
              <w:keepNext w:val="0"/>
              <w:keepLines w:val="0"/>
              <w:pageBreakBefore w:val="0"/>
              <w:kinsoku/>
              <w:wordWrap/>
              <w:overflowPunct/>
              <w:topLinePunct w:val="0"/>
              <w:bidi w:val="0"/>
              <w:snapToGrid/>
              <w:spacing w:before="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g.加强对施工人员的监督和管理，促进其环保意识的增强，减少不必要的人为噪声。现场装卸钢模、设备机具时，应轻装慢放，不得随意乱扔发出巨响，夜间禁止喧哗等。</w:t>
            </w:r>
          </w:p>
          <w:p w14:paraId="4A6D80DB">
            <w:pPr>
              <w:pStyle w:val="13"/>
              <w:keepNext w:val="0"/>
              <w:keepLines w:val="0"/>
              <w:pageBreakBefore w:val="0"/>
              <w:kinsoku/>
              <w:wordWrap/>
              <w:overflowPunct/>
              <w:topLinePunct w:val="0"/>
              <w:bidi w:val="0"/>
              <w:snapToGrid/>
              <w:spacing w:before="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经采取上述措施治理后，施工期间噪声对周围声环境的影响不大。</w:t>
            </w:r>
          </w:p>
          <w:p w14:paraId="14AC2E6F">
            <w:pPr>
              <w:pStyle w:val="13"/>
              <w:keepNext w:val="0"/>
              <w:keepLines w:val="0"/>
              <w:pageBreakBefore w:val="0"/>
              <w:widowControl w:val="0"/>
              <w:kinsoku/>
              <w:wordWrap/>
              <w:overflowPunct/>
              <w:topLinePunct w:val="0"/>
              <w:autoSpaceDE w:val="0"/>
              <w:autoSpaceDN w:val="0"/>
              <w:bidi w:val="0"/>
              <w:adjustRightInd w:val="0"/>
              <w:snapToGrid/>
              <w:spacing w:before="0" w:line="360" w:lineRule="auto"/>
              <w:ind w:left="0" w:right="0" w:firstLine="0" w:firstLineChars="0"/>
              <w:textAlignment w:val="auto"/>
              <w:rPr>
                <w:rFonts w:hint="default" w:ascii="Times New Roman" w:hAnsi="Times New Roman" w:eastAsia="宋体" w:cs="Times New Roman"/>
                <w:b/>
                <w:bCs/>
                <w:sz w:val="24"/>
                <w:szCs w:val="24"/>
              </w:rPr>
            </w:pPr>
            <w:r>
              <w:rPr>
                <w:rFonts w:hint="eastAsia" w:cs="Times New Roman"/>
                <w:b/>
                <w:bCs/>
                <w:sz w:val="24"/>
                <w:szCs w:val="24"/>
                <w:lang w:val="en-US" w:eastAsia="zh-CN"/>
              </w:rPr>
              <w:t>四、</w:t>
            </w:r>
            <w:r>
              <w:rPr>
                <w:rFonts w:hint="default" w:ascii="Times New Roman" w:hAnsi="Times New Roman" w:eastAsia="宋体" w:cs="Times New Roman"/>
                <w:b/>
                <w:bCs/>
                <w:sz w:val="24"/>
                <w:szCs w:val="24"/>
              </w:rPr>
              <w:t>施工期固体废物影响分析</w:t>
            </w:r>
          </w:p>
          <w:p w14:paraId="57FE66A6">
            <w:pPr>
              <w:pStyle w:val="13"/>
              <w:keepNext w:val="0"/>
              <w:keepLines w:val="0"/>
              <w:pageBreakBefore w:val="0"/>
              <w:kinsoku/>
              <w:wordWrap/>
              <w:overflowPunct/>
              <w:topLinePunct w:val="0"/>
              <w:bidi w:val="0"/>
              <w:snapToGrid/>
              <w:spacing w:before="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施工过程产生的固体废物主要是建筑垃圾和生活垃圾。</w:t>
            </w:r>
          </w:p>
          <w:p w14:paraId="75A704B7">
            <w:pPr>
              <w:keepNext w:val="0"/>
              <w:keepLines w:val="0"/>
              <w:pageBreakBefore w:val="0"/>
              <w:kinsoku/>
              <w:wordWrap/>
              <w:overflowPunct/>
              <w:topLinePunct w:val="0"/>
              <w:bidi w:val="0"/>
              <w:snapToGrid/>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（1）建筑垃圾主要来自施工作业，包括砂石、碎砖瓦、废木料、废金属、废钢等杂物。废金属、废钢等回收利用，废建筑材料运至政部门指定的建筑垃圾堆放场。</w:t>
            </w:r>
          </w:p>
          <w:p w14:paraId="21704508">
            <w:pPr>
              <w:keepNext w:val="0"/>
              <w:keepLines w:val="0"/>
              <w:pageBreakBefore w:val="0"/>
              <w:kinsoku/>
              <w:wordWrap/>
              <w:overflowPunct/>
              <w:topLinePunct w:val="0"/>
              <w:bidi w:val="0"/>
              <w:snapToGrid/>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（2）原有设备综合利用外售、建筑拆除垃圾交由相应单位处理。</w:t>
            </w:r>
          </w:p>
          <w:p w14:paraId="4B0E614D">
            <w:pPr>
              <w:keepNext w:val="0"/>
              <w:keepLines w:val="0"/>
              <w:pageBreakBefore w:val="0"/>
              <w:kinsoku/>
              <w:wordWrap/>
              <w:overflowPunct/>
              <w:topLinePunct w:val="0"/>
              <w:bidi w:val="0"/>
              <w:snapToGrid/>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eastAsia" w:ascii="Times New Roman" w:hAnsi="Times New Roman" w:eastAsia="宋体" w:cs="Times New Roman"/>
                <w:sz w:val="24"/>
                <w:szCs w:val="24"/>
                <w:lang w:val="en-US" w:eastAsia="zh-CN"/>
              </w:rPr>
              <w:t>施工人员产生的生活垃圾</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做到</w:t>
            </w:r>
            <w:r>
              <w:rPr>
                <w:rFonts w:hint="default" w:ascii="Times New Roman" w:hAnsi="Times New Roman" w:eastAsia="宋体" w:cs="Times New Roman"/>
                <w:sz w:val="24"/>
                <w:szCs w:val="24"/>
              </w:rPr>
              <w:t>日产日清，由环卫部门统—运送到垃圾处理场集中处理。</w:t>
            </w:r>
          </w:p>
          <w:p w14:paraId="446828F2">
            <w:pPr>
              <w:keepNext w:val="0"/>
              <w:keepLines w:val="0"/>
              <w:pageBreakBefore w:val="0"/>
              <w:kinsoku/>
              <w:wordWrap/>
              <w:overflowPunct/>
              <w:topLinePunct w:val="0"/>
              <w:bidi w:val="0"/>
              <w:snapToGrid/>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施工现场不设建筑垃圾临时堆场，对于施工期间产生的建筑垃圾（如混凝土废料、含砖、石、砂的杂土等）部分回收利用，不能综合利用的建筑垃圾运至政府指定的建筑垃圾堆放场堆放。同时，为确保建筑垃圾处置措施落实，建设单位或施工总承包单位在与建筑垃圾清运公司签订运输合同时，应要求承包公司提供废弃物去向的证明材料，严禁随意倾倒、填埋，不得出现超载、撒漏、不到指定地点卸货等现象。严禁建筑垃圾倾倒至项目周边地表水体内。</w:t>
            </w:r>
          </w:p>
          <w:p w14:paraId="408719FE">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0" w:firstLineChars="0"/>
              <w:jc w:val="left"/>
              <w:textAlignment w:val="auto"/>
              <w:rPr>
                <w:rFonts w:hint="default" w:ascii="Times New Roman" w:hAnsi="Times New Roman" w:eastAsia="宋体"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五、</w:t>
            </w:r>
            <w:r>
              <w:rPr>
                <w:rFonts w:hint="default" w:ascii="Times New Roman" w:hAnsi="Times New Roman" w:eastAsia="宋体" w:cs="Times New Roman"/>
                <w:b/>
                <w:bCs/>
                <w:color w:val="000000"/>
                <w:kern w:val="0"/>
                <w:sz w:val="24"/>
                <w:szCs w:val="24"/>
                <w:lang w:val="en-US" w:eastAsia="zh-CN" w:bidi="ar"/>
              </w:rPr>
              <w:t>生态环境影响</w:t>
            </w:r>
          </w:p>
          <w:p w14:paraId="38B7FE78">
            <w:pPr>
              <w:pStyle w:val="13"/>
              <w:keepNext w:val="0"/>
              <w:keepLines w:val="0"/>
              <w:pageBreakBefore w:val="0"/>
              <w:kinsoku/>
              <w:wordWrap/>
              <w:overflowPunct/>
              <w:topLinePunct w:val="0"/>
              <w:bidi w:val="0"/>
              <w:snapToGrid/>
              <w:spacing w:before="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本项目施工期对生态环境的影响主要表现在因新增建筑物的建设对土地的永久占用和土地开挖过程中对土壤表层造成的扰动、区域植被的破坏、土地利用方式的改变等方面。</w:t>
            </w:r>
          </w:p>
          <w:p w14:paraId="1EECB579">
            <w:pPr>
              <w:pStyle w:val="13"/>
              <w:keepNext w:val="0"/>
              <w:keepLines w:val="0"/>
              <w:pageBreakBefore w:val="0"/>
              <w:kinsoku/>
              <w:wordWrap/>
              <w:overflowPunct/>
              <w:topLinePunct w:val="0"/>
              <w:bidi w:val="0"/>
              <w:snapToGrid/>
              <w:spacing w:before="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本工程新建用地为永久性占地，植被等原始地貌将被永久取代成为人工建筑，但由于项目区面积不大，因此对当地的生态破坏作用有限。</w:t>
            </w:r>
          </w:p>
          <w:p w14:paraId="46EA1BFC">
            <w:pPr>
              <w:pStyle w:val="13"/>
              <w:keepNext w:val="0"/>
              <w:keepLines w:val="0"/>
              <w:pageBreakBefore w:val="0"/>
              <w:kinsoku/>
              <w:wordWrap/>
              <w:overflowPunct/>
              <w:topLinePunct w:val="0"/>
              <w:bidi w:val="0"/>
              <w:snapToGrid/>
              <w:spacing w:before="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因场地目前较为平整，平整土地时可以做到就地消化，无需外运和运进土方；施工人员与车辆禁止随意践踏。实施这一系列措施后，可有效降低项目施工期间对生态环境的影响。</w:t>
            </w:r>
          </w:p>
          <w:p w14:paraId="5A64C8AC">
            <w:pPr>
              <w:pStyle w:val="13"/>
              <w:keepNext w:val="0"/>
              <w:keepLines w:val="0"/>
              <w:pageBreakBefore w:val="0"/>
              <w:kinsoku/>
              <w:wordWrap/>
              <w:overflowPunct/>
              <w:topLinePunct w:val="0"/>
              <w:bidi w:val="0"/>
              <w:snapToGrid/>
              <w:spacing w:before="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综上所述，施工期环境影响是短期的，且受人为、自然条件影响较大，只要加强现场施工管理，并采取以上防护措施，施工期间对周围环境不会造成很大影响。</w:t>
            </w:r>
          </w:p>
          <w:p w14:paraId="3A800AFD">
            <w:pPr>
              <w:rPr>
                <w:rFonts w:hint="default" w:ascii="Times New Roman" w:hAnsi="Times New Roman" w:eastAsia="宋体" w:cs="Times New Roman"/>
                <w:sz w:val="24"/>
                <w:szCs w:val="24"/>
              </w:rPr>
            </w:pPr>
          </w:p>
          <w:p w14:paraId="48DA4178">
            <w:pPr>
              <w:pStyle w:val="19"/>
              <w:rPr>
                <w:rFonts w:hint="default" w:ascii="Times New Roman" w:hAnsi="Times New Roman" w:eastAsia="宋体" w:cs="Times New Roman"/>
                <w:sz w:val="24"/>
                <w:szCs w:val="24"/>
              </w:rPr>
            </w:pPr>
          </w:p>
          <w:p w14:paraId="6CA6406C">
            <w:pPr>
              <w:rPr>
                <w:rFonts w:hint="default" w:ascii="Times New Roman" w:hAnsi="Times New Roman" w:eastAsia="宋体" w:cs="Times New Roman"/>
                <w:sz w:val="24"/>
                <w:szCs w:val="24"/>
              </w:rPr>
            </w:pPr>
          </w:p>
          <w:p w14:paraId="7E030E4C">
            <w:pPr>
              <w:pStyle w:val="19"/>
              <w:rPr>
                <w:rFonts w:hint="default" w:ascii="Times New Roman" w:hAnsi="Times New Roman" w:eastAsia="宋体" w:cs="Times New Roman"/>
                <w:sz w:val="24"/>
                <w:szCs w:val="24"/>
              </w:rPr>
            </w:pPr>
          </w:p>
          <w:p w14:paraId="62DE6A4E">
            <w:pPr>
              <w:rPr>
                <w:rFonts w:hint="default" w:ascii="Times New Roman" w:hAnsi="Times New Roman" w:eastAsia="宋体" w:cs="Times New Roman"/>
                <w:sz w:val="24"/>
                <w:szCs w:val="24"/>
              </w:rPr>
            </w:pPr>
          </w:p>
          <w:p w14:paraId="4B137A91">
            <w:pPr>
              <w:pStyle w:val="19"/>
              <w:rPr>
                <w:rFonts w:hint="default" w:ascii="Times New Roman" w:hAnsi="Times New Roman" w:eastAsia="宋体" w:cs="Times New Roman"/>
                <w:sz w:val="24"/>
                <w:szCs w:val="24"/>
              </w:rPr>
            </w:pPr>
          </w:p>
          <w:p w14:paraId="004ADEE2">
            <w:pPr>
              <w:rPr>
                <w:rFonts w:hint="default" w:ascii="Times New Roman" w:hAnsi="Times New Roman" w:eastAsia="宋体" w:cs="Times New Roman"/>
                <w:sz w:val="24"/>
                <w:szCs w:val="24"/>
              </w:rPr>
            </w:pPr>
          </w:p>
          <w:p w14:paraId="477555DB">
            <w:pPr>
              <w:pStyle w:val="19"/>
              <w:rPr>
                <w:rFonts w:hint="default" w:ascii="Times New Roman" w:hAnsi="Times New Roman" w:eastAsia="宋体" w:cs="Times New Roman"/>
                <w:sz w:val="24"/>
                <w:szCs w:val="24"/>
              </w:rPr>
            </w:pPr>
          </w:p>
          <w:p w14:paraId="3BA4453D">
            <w:pPr>
              <w:rPr>
                <w:rFonts w:hint="default" w:ascii="Times New Roman" w:hAnsi="Times New Roman" w:eastAsia="宋体" w:cs="Times New Roman"/>
                <w:sz w:val="24"/>
                <w:szCs w:val="24"/>
              </w:rPr>
            </w:pPr>
          </w:p>
          <w:p w14:paraId="5FEB787E">
            <w:pPr>
              <w:pStyle w:val="19"/>
              <w:rPr>
                <w:rFonts w:hint="default"/>
              </w:rPr>
            </w:pPr>
          </w:p>
          <w:p w14:paraId="0BBCD4B6">
            <w:pPr>
              <w:ind w:firstLine="480"/>
              <w:rPr>
                <w:color w:val="auto"/>
              </w:rPr>
            </w:pPr>
          </w:p>
        </w:tc>
      </w:tr>
    </w:tbl>
    <w:p w14:paraId="034E97EA">
      <w:pPr>
        <w:pStyle w:val="13"/>
        <w:rPr>
          <w:rFonts w:hint="eastAsia"/>
        </w:rPr>
      </w:pPr>
    </w:p>
    <w:p w14:paraId="5F8C9AD6">
      <w:pPr>
        <w:rPr>
          <w:rFonts w:hint="eastAsia"/>
        </w:rPr>
        <w:sectPr>
          <w:pgSz w:w="11906" w:h="16838"/>
          <w:pgMar w:top="1418" w:right="1418" w:bottom="1418" w:left="1588" w:header="1134" w:footer="1134" w:gutter="0"/>
          <w:pgBorders>
            <w:top w:val="none" w:sz="0" w:space="0"/>
            <w:left w:val="none" w:sz="0" w:space="0"/>
            <w:bottom w:val="none" w:sz="0" w:space="0"/>
            <w:right w:val="none" w:sz="0" w:space="0"/>
          </w:pgBorders>
          <w:cols w:space="720" w:num="1"/>
          <w:docGrid w:linePitch="326" w:charSpace="0"/>
        </w:sectPr>
      </w:pP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1297"/>
        <w:gridCol w:w="12761"/>
      </w:tblGrid>
      <w:tr w14:paraId="5F9E5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67" w:hRule="atLeast"/>
          <w:jc w:val="center"/>
        </w:trPr>
        <w:tc>
          <w:tcPr>
            <w:tcW w:w="461" w:type="pct"/>
            <w:tcMar>
              <w:left w:w="28" w:type="dxa"/>
              <w:right w:w="28" w:type="dxa"/>
            </w:tcMar>
            <w:vAlign w:val="center"/>
          </w:tcPr>
          <w:p w14:paraId="747835AE">
            <w:pPr>
              <w:adjustRightInd w:val="0"/>
              <w:snapToGrid w:val="0"/>
              <w:spacing w:line="240" w:lineRule="auto"/>
              <w:ind w:firstLine="0" w:firstLineChars="0"/>
              <w:jc w:val="center"/>
              <w:rPr>
                <w:rFonts w:hint="eastAsia" w:ascii="宋体" w:hAnsi="宋体" w:cs="宋体"/>
                <w:bCs/>
                <w:color w:val="auto"/>
              </w:rPr>
            </w:pPr>
            <w:r>
              <w:rPr>
                <w:rFonts w:hint="eastAsia" w:ascii="宋体" w:hAnsi="宋体" w:cs="宋体"/>
                <w:bCs/>
                <w:color w:val="auto"/>
              </w:rPr>
              <w:t>运营期环境影响和保护措施</w:t>
            </w:r>
          </w:p>
        </w:tc>
        <w:tc>
          <w:tcPr>
            <w:tcW w:w="4538" w:type="pct"/>
            <w:vAlign w:val="center"/>
          </w:tcPr>
          <w:p w14:paraId="6EB4E88E">
            <w:pPr>
              <w:keepNext w:val="0"/>
              <w:keepLines w:val="0"/>
              <w:pageBreakBefore w:val="0"/>
              <w:widowControl w:val="0"/>
              <w:tabs>
                <w:tab w:val="left" w:pos="6720"/>
              </w:tabs>
              <w:kinsoku/>
              <w:wordWrap w:val="0"/>
              <w:overflowPunct/>
              <w:topLinePunct w:val="0"/>
              <w:autoSpaceDE w:val="0"/>
              <w:autoSpaceDN w:val="0"/>
              <w:bidi w:val="0"/>
              <w:ind w:firstLine="0" w:firstLineChars="0"/>
              <w:textAlignment w:val="auto"/>
              <w:rPr>
                <w:b/>
                <w:color w:val="auto"/>
              </w:rPr>
            </w:pPr>
            <w:r>
              <w:rPr>
                <w:b/>
                <w:color w:val="auto"/>
              </w:rPr>
              <w:t>一、大气环境影响分析</w:t>
            </w:r>
          </w:p>
          <w:p w14:paraId="060532B5">
            <w:pPr>
              <w:ind w:firstLine="480"/>
              <w:rPr>
                <w:color w:val="auto"/>
              </w:rPr>
            </w:pPr>
            <w:r>
              <w:rPr>
                <w:rFonts w:hint="eastAsia"/>
                <w:color w:val="auto"/>
              </w:rPr>
              <w:t>本项目营运期废气主要包括</w:t>
            </w:r>
            <w:r>
              <w:rPr>
                <w:rFonts w:hint="eastAsia"/>
                <w:color w:val="auto"/>
                <w:lang w:val="en-US" w:eastAsia="zh-CN"/>
              </w:rPr>
              <w:t>生产过程中药材</w:t>
            </w:r>
            <w:r>
              <w:rPr>
                <w:rFonts w:hint="eastAsia"/>
                <w:color w:val="auto"/>
              </w:rPr>
              <w:t>异味、中药饮片车间干燥、炒制、粉碎、筛分</w:t>
            </w:r>
            <w:r>
              <w:rPr>
                <w:rFonts w:hint="eastAsia"/>
                <w:color w:val="auto"/>
                <w:lang w:val="en-US" w:eastAsia="zh-CN"/>
              </w:rPr>
              <w:t>工序（包括普通中药饮片和毒性饮片）和颗粒剂及丸剂车间产生的</w:t>
            </w:r>
            <w:r>
              <w:rPr>
                <w:rFonts w:hint="eastAsia"/>
                <w:color w:val="auto"/>
              </w:rPr>
              <w:t>粉尘、</w:t>
            </w:r>
            <w:r>
              <w:rPr>
                <w:rFonts w:hint="eastAsia"/>
                <w:color w:val="auto"/>
                <w:lang w:val="en-US" w:eastAsia="zh-CN"/>
              </w:rPr>
              <w:t>污水处理站恶臭、质检工序实验</w:t>
            </w:r>
            <w:r>
              <w:rPr>
                <w:rFonts w:hint="eastAsia"/>
                <w:color w:val="auto"/>
              </w:rPr>
              <w:t>室废气、食堂油烟等。</w:t>
            </w:r>
          </w:p>
          <w:p w14:paraId="50DAEB2F">
            <w:pPr>
              <w:keepNext w:val="0"/>
              <w:keepLines w:val="0"/>
              <w:pageBreakBefore w:val="0"/>
              <w:widowControl w:val="0"/>
              <w:kinsoku/>
              <w:wordWrap w:val="0"/>
              <w:overflowPunct/>
              <w:topLinePunct w:val="0"/>
              <w:autoSpaceDE w:val="0"/>
              <w:autoSpaceDN w:val="0"/>
              <w:bidi w:val="0"/>
              <w:ind w:firstLine="0" w:firstLineChars="0"/>
              <w:textAlignment w:val="auto"/>
              <w:rPr>
                <w:b/>
                <w:color w:val="auto"/>
              </w:rPr>
            </w:pPr>
            <w:r>
              <w:rPr>
                <w:b/>
                <w:color w:val="auto"/>
              </w:rPr>
              <w:t>1.废气</w:t>
            </w:r>
            <w:r>
              <w:rPr>
                <w:rFonts w:hint="eastAsia"/>
                <w:b/>
                <w:color w:val="auto"/>
              </w:rPr>
              <w:t>污染源强核算</w:t>
            </w:r>
          </w:p>
          <w:p w14:paraId="4069546F">
            <w:pPr>
              <w:keepNext w:val="0"/>
              <w:keepLines w:val="0"/>
              <w:pageBreakBefore w:val="0"/>
              <w:widowControl w:val="0"/>
              <w:numPr>
                <w:ilvl w:val="0"/>
                <w:numId w:val="9"/>
              </w:numPr>
              <w:kinsoku/>
              <w:wordWrap w:val="0"/>
              <w:overflowPunct/>
              <w:topLinePunct w:val="0"/>
              <w:autoSpaceDE/>
              <w:autoSpaceDN/>
              <w:bidi w:val="0"/>
              <w:adjustRightInd/>
              <w:snapToGrid/>
              <w:spacing w:line="240" w:lineRule="auto"/>
              <w:ind w:left="0" w:leftChars="0" w:firstLine="0" w:firstLineChars="0"/>
              <w:jc w:val="center"/>
              <w:textAlignment w:val="auto"/>
              <w:rPr>
                <w:b/>
                <w:bCs/>
                <w:color w:val="auto"/>
                <w:sz w:val="21"/>
                <w:szCs w:val="21"/>
                <w:u w:val="single"/>
              </w:rPr>
            </w:pPr>
            <w:r>
              <w:rPr>
                <w:b/>
                <w:bCs/>
                <w:color w:val="auto"/>
                <w:sz w:val="21"/>
                <w:szCs w:val="21"/>
                <w:u w:val="single"/>
              </w:rPr>
              <w:t>废气污染源源强核算一览表</w:t>
            </w:r>
          </w:p>
          <w:tbl>
            <w:tblPr>
              <w:tblStyle w:val="2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77"/>
              <w:gridCol w:w="947"/>
              <w:gridCol w:w="437"/>
              <w:gridCol w:w="609"/>
              <w:gridCol w:w="1683"/>
              <w:gridCol w:w="623"/>
              <w:gridCol w:w="763"/>
              <w:gridCol w:w="726"/>
              <w:gridCol w:w="730"/>
              <w:gridCol w:w="817"/>
              <w:gridCol w:w="604"/>
              <w:gridCol w:w="703"/>
              <w:gridCol w:w="915"/>
              <w:gridCol w:w="760"/>
              <w:gridCol w:w="696"/>
              <w:gridCol w:w="617"/>
              <w:gridCol w:w="691"/>
            </w:tblGrid>
            <w:tr w14:paraId="0E904C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21" w:type="pct"/>
                  <w:gridSpan w:val="2"/>
                  <w:vMerge w:val="restart"/>
                  <w:noWrap w:val="0"/>
                  <w:tcMar>
                    <w:top w:w="15" w:type="dxa"/>
                    <w:left w:w="15" w:type="dxa"/>
                    <w:right w:w="15" w:type="dxa"/>
                  </w:tcMar>
                  <w:vAlign w:val="center"/>
                </w:tcPr>
                <w:p w14:paraId="71F5F1FD">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b/>
                      <w:bCs w:val="0"/>
                      <w:sz w:val="21"/>
                      <w:szCs w:val="21"/>
                      <w:u w:val="single"/>
                    </w:rPr>
                  </w:pPr>
                  <w:r>
                    <w:rPr>
                      <w:b/>
                      <w:bCs w:val="0"/>
                      <w:kern w:val="0"/>
                      <w:sz w:val="21"/>
                      <w:szCs w:val="21"/>
                      <w:u w:val="single"/>
                      <w:lang w:bidi="ar"/>
                    </w:rPr>
                    <w:t>污染源</w:t>
                  </w:r>
                </w:p>
              </w:tc>
              <w:tc>
                <w:tcPr>
                  <w:tcW w:w="172" w:type="pct"/>
                  <w:vMerge w:val="restart"/>
                  <w:noWrap w:val="0"/>
                  <w:tcMar>
                    <w:top w:w="15" w:type="dxa"/>
                    <w:left w:w="15" w:type="dxa"/>
                    <w:right w:w="15" w:type="dxa"/>
                  </w:tcMar>
                  <w:vAlign w:val="center"/>
                </w:tcPr>
                <w:p w14:paraId="05BD07F3">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b/>
                      <w:bCs w:val="0"/>
                      <w:sz w:val="21"/>
                      <w:szCs w:val="21"/>
                      <w:u w:val="single"/>
                    </w:rPr>
                  </w:pPr>
                  <w:r>
                    <w:rPr>
                      <w:b/>
                      <w:bCs w:val="0"/>
                      <w:kern w:val="0"/>
                      <w:sz w:val="21"/>
                      <w:szCs w:val="21"/>
                      <w:u w:val="single"/>
                      <w:lang w:bidi="ar"/>
                    </w:rPr>
                    <w:t>污染因子</w:t>
                  </w:r>
                </w:p>
              </w:tc>
              <w:tc>
                <w:tcPr>
                  <w:tcW w:w="239" w:type="pct"/>
                  <w:vMerge w:val="restart"/>
                  <w:noWrap w:val="0"/>
                  <w:tcMar>
                    <w:top w:w="15" w:type="dxa"/>
                    <w:left w:w="15" w:type="dxa"/>
                    <w:right w:w="15" w:type="dxa"/>
                  </w:tcMar>
                  <w:vAlign w:val="center"/>
                </w:tcPr>
                <w:p w14:paraId="489E94F8">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b/>
                      <w:bCs w:val="0"/>
                      <w:sz w:val="21"/>
                      <w:szCs w:val="21"/>
                      <w:u w:val="single"/>
                    </w:rPr>
                  </w:pPr>
                  <w:r>
                    <w:rPr>
                      <w:rStyle w:val="49"/>
                      <w:b/>
                      <w:bCs w:val="0"/>
                      <w:color w:val="auto"/>
                      <w:sz w:val="21"/>
                      <w:szCs w:val="21"/>
                      <w:u w:val="single"/>
                      <w:lang w:bidi="ar"/>
                    </w:rPr>
                    <w:t>年运行时数（h</w:t>
                  </w:r>
                  <w:r>
                    <w:rPr>
                      <w:rStyle w:val="50"/>
                      <w:rFonts w:hint="default" w:ascii="Times New Roman" w:hAnsi="Times New Roman" w:cs="Times New Roman"/>
                      <w:b/>
                      <w:bCs w:val="0"/>
                      <w:color w:val="auto"/>
                      <w:sz w:val="21"/>
                      <w:szCs w:val="21"/>
                      <w:u w:val="single"/>
                      <w:lang w:bidi="ar"/>
                    </w:rPr>
                    <w:t>）</w:t>
                  </w:r>
                </w:p>
              </w:tc>
              <w:tc>
                <w:tcPr>
                  <w:tcW w:w="908" w:type="pct"/>
                  <w:gridSpan w:val="2"/>
                  <w:noWrap w:val="0"/>
                  <w:tcMar>
                    <w:top w:w="15" w:type="dxa"/>
                    <w:left w:w="15" w:type="dxa"/>
                    <w:right w:w="15" w:type="dxa"/>
                  </w:tcMar>
                  <w:vAlign w:val="center"/>
                </w:tcPr>
                <w:p w14:paraId="5989A893">
                  <w:pPr>
                    <w:keepNext w:val="0"/>
                    <w:keepLines w:val="0"/>
                    <w:pageBreakBefore w:val="0"/>
                    <w:kinsoku/>
                    <w:wordWrap w:val="0"/>
                    <w:overflowPunct/>
                    <w:topLinePunct w:val="0"/>
                    <w:autoSpaceDE/>
                    <w:autoSpaceDN/>
                    <w:bidi w:val="0"/>
                    <w:adjustRightInd/>
                    <w:snapToGrid/>
                    <w:spacing w:line="240" w:lineRule="auto"/>
                    <w:ind w:firstLine="0" w:firstLineChars="0"/>
                    <w:jc w:val="center"/>
                    <w:rPr>
                      <w:b/>
                      <w:bCs w:val="0"/>
                      <w:kern w:val="0"/>
                      <w:sz w:val="21"/>
                      <w:szCs w:val="21"/>
                      <w:u w:val="single"/>
                      <w:lang w:bidi="ar"/>
                    </w:rPr>
                  </w:pPr>
                  <w:r>
                    <w:rPr>
                      <w:b/>
                      <w:bCs w:val="0"/>
                      <w:sz w:val="21"/>
                      <w:szCs w:val="21"/>
                      <w:u w:val="single"/>
                    </w:rPr>
                    <w:t>废气收集</w:t>
                  </w:r>
                </w:p>
              </w:tc>
              <w:tc>
                <w:tcPr>
                  <w:tcW w:w="873" w:type="pct"/>
                  <w:gridSpan w:val="3"/>
                  <w:noWrap w:val="0"/>
                  <w:tcMar>
                    <w:top w:w="15" w:type="dxa"/>
                    <w:left w:w="15" w:type="dxa"/>
                    <w:right w:w="15" w:type="dxa"/>
                  </w:tcMar>
                  <w:vAlign w:val="center"/>
                </w:tcPr>
                <w:p w14:paraId="2E8085BE">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b/>
                      <w:bCs w:val="0"/>
                      <w:sz w:val="21"/>
                      <w:szCs w:val="21"/>
                      <w:u w:val="single"/>
                    </w:rPr>
                  </w:pPr>
                  <w:r>
                    <w:rPr>
                      <w:b/>
                      <w:bCs w:val="0"/>
                      <w:kern w:val="0"/>
                      <w:sz w:val="21"/>
                      <w:szCs w:val="21"/>
                      <w:u w:val="single"/>
                      <w:lang w:bidi="ar"/>
                    </w:rPr>
                    <w:t>产生情况</w:t>
                  </w:r>
                </w:p>
              </w:tc>
              <w:tc>
                <w:tcPr>
                  <w:tcW w:w="836" w:type="pct"/>
                  <w:gridSpan w:val="3"/>
                  <w:noWrap w:val="0"/>
                  <w:tcMar>
                    <w:top w:w="15" w:type="dxa"/>
                    <w:left w:w="15" w:type="dxa"/>
                    <w:right w:w="15" w:type="dxa"/>
                  </w:tcMar>
                  <w:vAlign w:val="center"/>
                </w:tcPr>
                <w:p w14:paraId="3E70B899">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b/>
                      <w:bCs w:val="0"/>
                      <w:kern w:val="0"/>
                      <w:sz w:val="21"/>
                      <w:szCs w:val="21"/>
                      <w:u w:val="single"/>
                      <w:lang w:bidi="ar"/>
                    </w:rPr>
                  </w:pPr>
                  <w:r>
                    <w:rPr>
                      <w:rFonts w:hint="eastAsia"/>
                      <w:b/>
                      <w:bCs w:val="0"/>
                      <w:kern w:val="0"/>
                      <w:sz w:val="21"/>
                      <w:szCs w:val="21"/>
                      <w:u w:val="single"/>
                      <w:lang w:bidi="ar"/>
                    </w:rPr>
                    <w:t>废气治理</w:t>
                  </w:r>
                </w:p>
              </w:tc>
              <w:tc>
                <w:tcPr>
                  <w:tcW w:w="933" w:type="pct"/>
                  <w:gridSpan w:val="3"/>
                  <w:noWrap w:val="0"/>
                  <w:tcMar>
                    <w:top w:w="15" w:type="dxa"/>
                    <w:left w:w="15" w:type="dxa"/>
                    <w:right w:w="15" w:type="dxa"/>
                  </w:tcMar>
                  <w:vAlign w:val="center"/>
                </w:tcPr>
                <w:p w14:paraId="2522AAC7">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b/>
                      <w:bCs w:val="0"/>
                      <w:sz w:val="21"/>
                      <w:szCs w:val="21"/>
                      <w:u w:val="single"/>
                    </w:rPr>
                  </w:pPr>
                  <w:r>
                    <w:rPr>
                      <w:b/>
                      <w:bCs w:val="0"/>
                      <w:kern w:val="0"/>
                      <w:sz w:val="21"/>
                      <w:szCs w:val="21"/>
                      <w:u w:val="single"/>
                      <w:lang w:bidi="ar"/>
                    </w:rPr>
                    <w:t>排放情况</w:t>
                  </w:r>
                </w:p>
              </w:tc>
              <w:tc>
                <w:tcPr>
                  <w:tcW w:w="242" w:type="pct"/>
                  <w:vMerge w:val="restart"/>
                  <w:noWrap w:val="0"/>
                  <w:tcMar>
                    <w:top w:w="15" w:type="dxa"/>
                    <w:left w:w="15" w:type="dxa"/>
                    <w:right w:w="15" w:type="dxa"/>
                  </w:tcMar>
                  <w:vAlign w:val="center"/>
                </w:tcPr>
                <w:p w14:paraId="31F29A94">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b/>
                      <w:bCs w:val="0"/>
                      <w:sz w:val="21"/>
                      <w:szCs w:val="21"/>
                      <w:u w:val="single"/>
                    </w:rPr>
                  </w:pPr>
                  <w:r>
                    <w:rPr>
                      <w:rStyle w:val="50"/>
                      <w:rFonts w:hint="default" w:ascii="Times New Roman" w:hAnsi="Times New Roman" w:cs="Times New Roman"/>
                      <w:b/>
                      <w:bCs w:val="0"/>
                      <w:color w:val="auto"/>
                      <w:sz w:val="21"/>
                      <w:szCs w:val="21"/>
                      <w:u w:val="single"/>
                      <w:lang w:bidi="ar"/>
                    </w:rPr>
                    <w:t>风量</w:t>
                  </w:r>
                  <w:r>
                    <w:rPr>
                      <w:rStyle w:val="49"/>
                      <w:b/>
                      <w:bCs w:val="0"/>
                      <w:color w:val="auto"/>
                      <w:sz w:val="21"/>
                      <w:szCs w:val="21"/>
                      <w:u w:val="single"/>
                      <w:lang w:bidi="ar"/>
                    </w:rPr>
                    <w:t>m</w:t>
                  </w:r>
                  <w:r>
                    <w:rPr>
                      <w:rStyle w:val="51"/>
                      <w:b/>
                      <w:bCs w:val="0"/>
                      <w:color w:val="auto"/>
                      <w:sz w:val="21"/>
                      <w:szCs w:val="21"/>
                      <w:u w:val="single"/>
                      <w:lang w:bidi="ar"/>
                    </w:rPr>
                    <w:t>3</w:t>
                  </w:r>
                  <w:r>
                    <w:rPr>
                      <w:rStyle w:val="50"/>
                      <w:rFonts w:hint="default" w:ascii="Times New Roman" w:hAnsi="Times New Roman" w:cs="Times New Roman"/>
                      <w:b/>
                      <w:bCs w:val="0"/>
                      <w:color w:val="auto"/>
                      <w:sz w:val="21"/>
                      <w:szCs w:val="21"/>
                      <w:u w:val="single"/>
                      <w:lang w:bidi="ar"/>
                    </w:rPr>
                    <w:t>/h</w:t>
                  </w:r>
                </w:p>
              </w:tc>
              <w:tc>
                <w:tcPr>
                  <w:tcW w:w="272" w:type="pct"/>
                  <w:vMerge w:val="restart"/>
                  <w:noWrap w:val="0"/>
                  <w:tcMar>
                    <w:top w:w="15" w:type="dxa"/>
                    <w:left w:w="15" w:type="dxa"/>
                    <w:right w:w="15" w:type="dxa"/>
                  </w:tcMar>
                  <w:vAlign w:val="center"/>
                </w:tcPr>
                <w:p w14:paraId="21F9CA19">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b/>
                      <w:bCs w:val="0"/>
                      <w:sz w:val="21"/>
                      <w:szCs w:val="21"/>
                      <w:u w:val="single"/>
                    </w:rPr>
                  </w:pPr>
                  <w:r>
                    <w:rPr>
                      <w:b/>
                      <w:bCs w:val="0"/>
                      <w:kern w:val="0"/>
                      <w:sz w:val="21"/>
                      <w:szCs w:val="21"/>
                      <w:u w:val="single"/>
                      <w:lang w:bidi="ar"/>
                    </w:rPr>
                    <w:t>排口</w:t>
                  </w:r>
                </w:p>
              </w:tc>
            </w:tr>
            <w:tr w14:paraId="21BC2E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21" w:type="pct"/>
                  <w:gridSpan w:val="2"/>
                  <w:vMerge w:val="continue"/>
                  <w:noWrap w:val="0"/>
                  <w:tcMar>
                    <w:top w:w="15" w:type="dxa"/>
                    <w:left w:w="15" w:type="dxa"/>
                    <w:right w:w="15" w:type="dxa"/>
                  </w:tcMar>
                  <w:vAlign w:val="center"/>
                </w:tcPr>
                <w:p w14:paraId="5C929B0F">
                  <w:pPr>
                    <w:keepNext w:val="0"/>
                    <w:keepLines w:val="0"/>
                    <w:pageBreakBefore w:val="0"/>
                    <w:kinsoku/>
                    <w:wordWrap w:val="0"/>
                    <w:overflowPunct/>
                    <w:topLinePunct w:val="0"/>
                    <w:autoSpaceDE/>
                    <w:autoSpaceDN/>
                    <w:bidi w:val="0"/>
                    <w:adjustRightInd/>
                    <w:snapToGrid/>
                    <w:spacing w:line="240" w:lineRule="auto"/>
                    <w:ind w:firstLine="0" w:firstLineChars="0"/>
                    <w:jc w:val="center"/>
                    <w:rPr>
                      <w:b/>
                      <w:bCs w:val="0"/>
                      <w:sz w:val="21"/>
                      <w:szCs w:val="21"/>
                      <w:u w:val="single"/>
                    </w:rPr>
                  </w:pPr>
                </w:p>
              </w:tc>
              <w:tc>
                <w:tcPr>
                  <w:tcW w:w="172" w:type="pct"/>
                  <w:vMerge w:val="continue"/>
                  <w:noWrap w:val="0"/>
                  <w:tcMar>
                    <w:top w:w="15" w:type="dxa"/>
                    <w:left w:w="15" w:type="dxa"/>
                    <w:right w:w="15" w:type="dxa"/>
                  </w:tcMar>
                  <w:vAlign w:val="center"/>
                </w:tcPr>
                <w:p w14:paraId="5FE24E1E">
                  <w:pPr>
                    <w:keepNext w:val="0"/>
                    <w:keepLines w:val="0"/>
                    <w:pageBreakBefore w:val="0"/>
                    <w:kinsoku/>
                    <w:wordWrap w:val="0"/>
                    <w:overflowPunct/>
                    <w:topLinePunct w:val="0"/>
                    <w:autoSpaceDE/>
                    <w:autoSpaceDN/>
                    <w:bidi w:val="0"/>
                    <w:adjustRightInd/>
                    <w:snapToGrid/>
                    <w:spacing w:line="240" w:lineRule="auto"/>
                    <w:ind w:firstLine="0" w:firstLineChars="0"/>
                    <w:jc w:val="center"/>
                    <w:rPr>
                      <w:b/>
                      <w:bCs w:val="0"/>
                      <w:sz w:val="21"/>
                      <w:szCs w:val="21"/>
                      <w:u w:val="single"/>
                    </w:rPr>
                  </w:pPr>
                </w:p>
              </w:tc>
              <w:tc>
                <w:tcPr>
                  <w:tcW w:w="239" w:type="pct"/>
                  <w:vMerge w:val="continue"/>
                  <w:noWrap w:val="0"/>
                  <w:tcMar>
                    <w:top w:w="15" w:type="dxa"/>
                    <w:left w:w="15" w:type="dxa"/>
                    <w:right w:w="15" w:type="dxa"/>
                  </w:tcMar>
                  <w:vAlign w:val="center"/>
                </w:tcPr>
                <w:p w14:paraId="696B5A32">
                  <w:pPr>
                    <w:keepNext w:val="0"/>
                    <w:keepLines w:val="0"/>
                    <w:pageBreakBefore w:val="0"/>
                    <w:kinsoku/>
                    <w:wordWrap w:val="0"/>
                    <w:overflowPunct/>
                    <w:topLinePunct w:val="0"/>
                    <w:autoSpaceDE/>
                    <w:autoSpaceDN/>
                    <w:bidi w:val="0"/>
                    <w:adjustRightInd/>
                    <w:snapToGrid/>
                    <w:spacing w:line="240" w:lineRule="auto"/>
                    <w:ind w:firstLine="0" w:firstLineChars="0"/>
                    <w:jc w:val="center"/>
                    <w:rPr>
                      <w:b/>
                      <w:bCs w:val="0"/>
                      <w:sz w:val="21"/>
                      <w:szCs w:val="21"/>
                      <w:u w:val="single"/>
                    </w:rPr>
                  </w:pPr>
                </w:p>
              </w:tc>
              <w:tc>
                <w:tcPr>
                  <w:tcW w:w="662" w:type="pct"/>
                  <w:noWrap w:val="0"/>
                  <w:tcMar>
                    <w:top w:w="15" w:type="dxa"/>
                    <w:left w:w="15" w:type="dxa"/>
                    <w:right w:w="15" w:type="dxa"/>
                  </w:tcMar>
                  <w:vAlign w:val="center"/>
                </w:tcPr>
                <w:p w14:paraId="119D9BDA">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b/>
                      <w:bCs w:val="0"/>
                      <w:sz w:val="21"/>
                      <w:szCs w:val="21"/>
                      <w:u w:val="single"/>
                    </w:rPr>
                  </w:pPr>
                  <w:r>
                    <w:rPr>
                      <w:b/>
                      <w:bCs w:val="0"/>
                      <w:kern w:val="0"/>
                      <w:sz w:val="21"/>
                      <w:szCs w:val="21"/>
                      <w:u w:val="single"/>
                      <w:lang w:bidi="ar"/>
                    </w:rPr>
                    <w:t>收集措施</w:t>
                  </w:r>
                </w:p>
              </w:tc>
              <w:tc>
                <w:tcPr>
                  <w:tcW w:w="245" w:type="pct"/>
                  <w:noWrap w:val="0"/>
                  <w:tcMar>
                    <w:top w:w="15" w:type="dxa"/>
                    <w:left w:w="15" w:type="dxa"/>
                    <w:right w:w="15" w:type="dxa"/>
                  </w:tcMar>
                  <w:vAlign w:val="center"/>
                </w:tcPr>
                <w:p w14:paraId="41840948">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b/>
                      <w:bCs w:val="0"/>
                      <w:kern w:val="0"/>
                      <w:sz w:val="21"/>
                      <w:szCs w:val="21"/>
                      <w:u w:val="single"/>
                      <w:lang w:bidi="ar"/>
                    </w:rPr>
                  </w:pPr>
                  <w:r>
                    <w:rPr>
                      <w:b/>
                      <w:bCs w:val="0"/>
                      <w:kern w:val="0"/>
                      <w:sz w:val="21"/>
                      <w:szCs w:val="21"/>
                      <w:u w:val="single"/>
                      <w:lang w:bidi="ar"/>
                    </w:rPr>
                    <w:t>收集</w:t>
                  </w:r>
                </w:p>
                <w:p w14:paraId="0B9F3666">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b/>
                      <w:bCs w:val="0"/>
                      <w:kern w:val="0"/>
                      <w:sz w:val="21"/>
                      <w:szCs w:val="21"/>
                      <w:u w:val="single"/>
                      <w:lang w:bidi="ar"/>
                    </w:rPr>
                  </w:pPr>
                  <w:r>
                    <w:rPr>
                      <w:b/>
                      <w:bCs w:val="0"/>
                      <w:kern w:val="0"/>
                      <w:sz w:val="21"/>
                      <w:szCs w:val="21"/>
                      <w:u w:val="single"/>
                      <w:lang w:bidi="ar"/>
                    </w:rPr>
                    <w:t>效率（%）</w:t>
                  </w:r>
                </w:p>
              </w:tc>
              <w:tc>
                <w:tcPr>
                  <w:tcW w:w="300" w:type="pct"/>
                  <w:noWrap w:val="0"/>
                  <w:tcMar>
                    <w:top w:w="15" w:type="dxa"/>
                    <w:left w:w="15" w:type="dxa"/>
                    <w:right w:w="15" w:type="dxa"/>
                  </w:tcMar>
                  <w:vAlign w:val="center"/>
                </w:tcPr>
                <w:p w14:paraId="30E33438">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b/>
                      <w:bCs w:val="0"/>
                      <w:kern w:val="0"/>
                      <w:sz w:val="21"/>
                      <w:szCs w:val="21"/>
                      <w:u w:val="single"/>
                      <w:lang w:bidi="ar"/>
                    </w:rPr>
                  </w:pPr>
                  <w:r>
                    <w:rPr>
                      <w:b/>
                      <w:bCs w:val="0"/>
                      <w:kern w:val="0"/>
                      <w:sz w:val="21"/>
                      <w:szCs w:val="21"/>
                      <w:u w:val="single"/>
                      <w:lang w:bidi="ar"/>
                    </w:rPr>
                    <w:t>产生量</w:t>
                  </w:r>
                </w:p>
                <w:p w14:paraId="18313CC1">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b/>
                      <w:bCs w:val="0"/>
                      <w:sz w:val="21"/>
                      <w:szCs w:val="21"/>
                      <w:u w:val="single"/>
                    </w:rPr>
                  </w:pPr>
                  <w:r>
                    <w:rPr>
                      <w:b/>
                      <w:bCs w:val="0"/>
                      <w:kern w:val="0"/>
                      <w:sz w:val="21"/>
                      <w:szCs w:val="21"/>
                      <w:u w:val="single"/>
                      <w:lang w:bidi="ar"/>
                    </w:rPr>
                    <w:t>t/a</w:t>
                  </w:r>
                </w:p>
              </w:tc>
              <w:tc>
                <w:tcPr>
                  <w:tcW w:w="285" w:type="pct"/>
                  <w:noWrap w:val="0"/>
                  <w:tcMar>
                    <w:top w:w="15" w:type="dxa"/>
                    <w:left w:w="15" w:type="dxa"/>
                    <w:right w:w="15" w:type="dxa"/>
                  </w:tcMar>
                  <w:vAlign w:val="center"/>
                </w:tcPr>
                <w:p w14:paraId="2444F137">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b/>
                      <w:bCs w:val="0"/>
                      <w:kern w:val="0"/>
                      <w:sz w:val="21"/>
                      <w:szCs w:val="21"/>
                      <w:u w:val="single"/>
                      <w:lang w:bidi="ar"/>
                    </w:rPr>
                  </w:pPr>
                  <w:r>
                    <w:rPr>
                      <w:rFonts w:hint="eastAsia"/>
                      <w:b/>
                      <w:bCs w:val="0"/>
                      <w:kern w:val="0"/>
                      <w:sz w:val="21"/>
                      <w:szCs w:val="21"/>
                      <w:u w:val="single"/>
                      <w:lang w:bidi="ar"/>
                    </w:rPr>
                    <w:t>速率</w:t>
                  </w:r>
                  <w:r>
                    <w:rPr>
                      <w:b/>
                      <w:bCs w:val="0"/>
                      <w:kern w:val="0"/>
                      <w:sz w:val="21"/>
                      <w:szCs w:val="21"/>
                      <w:u w:val="single"/>
                      <w:lang w:bidi="ar"/>
                    </w:rPr>
                    <w:t>kg/h</w:t>
                  </w:r>
                </w:p>
              </w:tc>
              <w:tc>
                <w:tcPr>
                  <w:tcW w:w="287" w:type="pct"/>
                  <w:noWrap w:val="0"/>
                  <w:tcMar>
                    <w:top w:w="15" w:type="dxa"/>
                    <w:left w:w="15" w:type="dxa"/>
                    <w:right w:w="15" w:type="dxa"/>
                  </w:tcMar>
                  <w:vAlign w:val="center"/>
                </w:tcPr>
                <w:p w14:paraId="761DAA86">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b/>
                      <w:bCs w:val="0"/>
                      <w:sz w:val="21"/>
                      <w:szCs w:val="21"/>
                      <w:u w:val="single"/>
                    </w:rPr>
                  </w:pPr>
                  <w:r>
                    <w:rPr>
                      <w:rStyle w:val="49"/>
                      <w:b/>
                      <w:bCs w:val="0"/>
                      <w:color w:val="auto"/>
                      <w:sz w:val="21"/>
                      <w:szCs w:val="21"/>
                      <w:u w:val="single"/>
                      <w:lang w:bidi="ar"/>
                    </w:rPr>
                    <w:t>浓度mg/m</w:t>
                  </w:r>
                  <w:r>
                    <w:rPr>
                      <w:rStyle w:val="51"/>
                      <w:b/>
                      <w:bCs w:val="0"/>
                      <w:color w:val="auto"/>
                      <w:sz w:val="21"/>
                      <w:szCs w:val="21"/>
                      <w:u w:val="single"/>
                      <w:lang w:bidi="ar"/>
                    </w:rPr>
                    <w:t>3</w:t>
                  </w:r>
                </w:p>
              </w:tc>
              <w:tc>
                <w:tcPr>
                  <w:tcW w:w="321" w:type="pct"/>
                  <w:noWrap w:val="0"/>
                  <w:tcMar>
                    <w:top w:w="15" w:type="dxa"/>
                    <w:left w:w="15" w:type="dxa"/>
                    <w:right w:w="15" w:type="dxa"/>
                  </w:tcMar>
                  <w:vAlign w:val="center"/>
                </w:tcPr>
                <w:p w14:paraId="690B3C67">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Style w:val="49"/>
                      <w:b/>
                      <w:bCs w:val="0"/>
                      <w:color w:val="auto"/>
                      <w:sz w:val="21"/>
                      <w:szCs w:val="21"/>
                      <w:u w:val="single"/>
                      <w:lang w:bidi="ar"/>
                    </w:rPr>
                  </w:pPr>
                  <w:r>
                    <w:rPr>
                      <w:b/>
                      <w:bCs w:val="0"/>
                      <w:kern w:val="0"/>
                      <w:sz w:val="21"/>
                      <w:szCs w:val="21"/>
                      <w:u w:val="single"/>
                      <w:lang w:bidi="ar"/>
                    </w:rPr>
                    <w:t>治理工艺</w:t>
                  </w:r>
                </w:p>
              </w:tc>
              <w:tc>
                <w:tcPr>
                  <w:tcW w:w="237" w:type="pct"/>
                  <w:noWrap w:val="0"/>
                  <w:tcMar>
                    <w:top w:w="15" w:type="dxa"/>
                    <w:left w:w="15" w:type="dxa"/>
                    <w:right w:w="15" w:type="dxa"/>
                  </w:tcMar>
                  <w:vAlign w:val="center"/>
                </w:tcPr>
                <w:p w14:paraId="32F52EF0">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Style w:val="49"/>
                      <w:b/>
                      <w:bCs w:val="0"/>
                      <w:color w:val="auto"/>
                      <w:sz w:val="21"/>
                      <w:szCs w:val="21"/>
                      <w:u w:val="single"/>
                      <w:lang w:bidi="ar"/>
                    </w:rPr>
                  </w:pPr>
                  <w:r>
                    <w:rPr>
                      <w:b/>
                      <w:bCs w:val="0"/>
                      <w:kern w:val="0"/>
                      <w:sz w:val="21"/>
                      <w:szCs w:val="21"/>
                      <w:u w:val="single"/>
                      <w:lang w:bidi="ar"/>
                    </w:rPr>
                    <w:t>处理效率（%）</w:t>
                  </w:r>
                </w:p>
              </w:tc>
              <w:tc>
                <w:tcPr>
                  <w:tcW w:w="276" w:type="pct"/>
                  <w:noWrap w:val="0"/>
                  <w:tcMar>
                    <w:top w:w="15" w:type="dxa"/>
                    <w:left w:w="15" w:type="dxa"/>
                    <w:right w:w="15" w:type="dxa"/>
                  </w:tcMar>
                  <w:vAlign w:val="center"/>
                </w:tcPr>
                <w:p w14:paraId="448478BE">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b/>
                      <w:bCs w:val="0"/>
                      <w:kern w:val="0"/>
                      <w:sz w:val="21"/>
                      <w:szCs w:val="21"/>
                      <w:u w:val="single"/>
                      <w:lang w:bidi="ar"/>
                    </w:rPr>
                  </w:pPr>
                  <w:r>
                    <w:rPr>
                      <w:b/>
                      <w:bCs w:val="0"/>
                      <w:kern w:val="0"/>
                      <w:sz w:val="21"/>
                      <w:szCs w:val="21"/>
                      <w:u w:val="single"/>
                      <w:lang w:bidi="ar"/>
                    </w:rPr>
                    <w:t>是否为可行技术</w:t>
                  </w:r>
                </w:p>
              </w:tc>
              <w:tc>
                <w:tcPr>
                  <w:tcW w:w="360" w:type="pct"/>
                  <w:noWrap w:val="0"/>
                  <w:tcMar>
                    <w:top w:w="15" w:type="dxa"/>
                    <w:left w:w="15" w:type="dxa"/>
                    <w:right w:w="15" w:type="dxa"/>
                  </w:tcMar>
                  <w:vAlign w:val="center"/>
                </w:tcPr>
                <w:p w14:paraId="374EF79A">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b/>
                      <w:bCs w:val="0"/>
                      <w:kern w:val="0"/>
                      <w:sz w:val="21"/>
                      <w:szCs w:val="21"/>
                      <w:u w:val="single"/>
                      <w:lang w:bidi="ar"/>
                    </w:rPr>
                  </w:pPr>
                  <w:r>
                    <w:rPr>
                      <w:b/>
                      <w:bCs w:val="0"/>
                      <w:kern w:val="0"/>
                      <w:sz w:val="21"/>
                      <w:szCs w:val="21"/>
                      <w:u w:val="single"/>
                      <w:lang w:bidi="ar"/>
                    </w:rPr>
                    <w:t>排放量</w:t>
                  </w:r>
                </w:p>
                <w:p w14:paraId="27370803">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b/>
                      <w:bCs w:val="0"/>
                      <w:sz w:val="21"/>
                      <w:szCs w:val="21"/>
                      <w:u w:val="single"/>
                    </w:rPr>
                  </w:pPr>
                  <w:r>
                    <w:rPr>
                      <w:b/>
                      <w:bCs w:val="0"/>
                      <w:kern w:val="0"/>
                      <w:sz w:val="21"/>
                      <w:szCs w:val="21"/>
                      <w:u w:val="single"/>
                      <w:lang w:bidi="ar"/>
                    </w:rPr>
                    <w:t>t/a</w:t>
                  </w:r>
                </w:p>
              </w:tc>
              <w:tc>
                <w:tcPr>
                  <w:tcW w:w="299" w:type="pct"/>
                  <w:noWrap w:val="0"/>
                  <w:tcMar>
                    <w:top w:w="15" w:type="dxa"/>
                    <w:left w:w="15" w:type="dxa"/>
                    <w:right w:w="15" w:type="dxa"/>
                  </w:tcMar>
                  <w:vAlign w:val="center"/>
                </w:tcPr>
                <w:p w14:paraId="0E2B92B5">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b/>
                      <w:bCs w:val="0"/>
                      <w:sz w:val="21"/>
                      <w:szCs w:val="21"/>
                      <w:u w:val="single"/>
                    </w:rPr>
                  </w:pPr>
                  <w:r>
                    <w:rPr>
                      <w:b/>
                      <w:bCs w:val="0"/>
                      <w:kern w:val="0"/>
                      <w:sz w:val="21"/>
                      <w:szCs w:val="21"/>
                      <w:u w:val="single"/>
                      <w:lang w:bidi="ar"/>
                    </w:rPr>
                    <w:t>速率kg/h</w:t>
                  </w:r>
                </w:p>
              </w:tc>
              <w:tc>
                <w:tcPr>
                  <w:tcW w:w="274" w:type="pct"/>
                  <w:noWrap w:val="0"/>
                  <w:tcMar>
                    <w:top w:w="15" w:type="dxa"/>
                    <w:left w:w="15" w:type="dxa"/>
                    <w:right w:w="15" w:type="dxa"/>
                  </w:tcMar>
                  <w:vAlign w:val="center"/>
                </w:tcPr>
                <w:p w14:paraId="0D21749B">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b/>
                      <w:bCs w:val="0"/>
                      <w:sz w:val="21"/>
                      <w:szCs w:val="21"/>
                      <w:u w:val="single"/>
                    </w:rPr>
                  </w:pPr>
                  <w:r>
                    <w:rPr>
                      <w:rStyle w:val="49"/>
                      <w:b/>
                      <w:bCs w:val="0"/>
                      <w:color w:val="auto"/>
                      <w:sz w:val="21"/>
                      <w:szCs w:val="21"/>
                      <w:u w:val="single"/>
                      <w:lang w:bidi="ar"/>
                    </w:rPr>
                    <w:t>浓度mg/m</w:t>
                  </w:r>
                  <w:r>
                    <w:rPr>
                      <w:rStyle w:val="51"/>
                      <w:b/>
                      <w:bCs w:val="0"/>
                      <w:color w:val="auto"/>
                      <w:sz w:val="21"/>
                      <w:szCs w:val="21"/>
                      <w:u w:val="single"/>
                      <w:lang w:bidi="ar"/>
                    </w:rPr>
                    <w:t>3</w:t>
                  </w:r>
                </w:p>
              </w:tc>
              <w:tc>
                <w:tcPr>
                  <w:tcW w:w="242" w:type="pct"/>
                  <w:vMerge w:val="continue"/>
                  <w:noWrap w:val="0"/>
                  <w:tcMar>
                    <w:top w:w="15" w:type="dxa"/>
                    <w:left w:w="15" w:type="dxa"/>
                    <w:right w:w="15" w:type="dxa"/>
                  </w:tcMar>
                  <w:vAlign w:val="center"/>
                </w:tcPr>
                <w:p w14:paraId="42AD4F9B">
                  <w:pPr>
                    <w:keepNext w:val="0"/>
                    <w:keepLines w:val="0"/>
                    <w:pageBreakBefore w:val="0"/>
                    <w:kinsoku/>
                    <w:wordWrap w:val="0"/>
                    <w:overflowPunct/>
                    <w:topLinePunct w:val="0"/>
                    <w:autoSpaceDE/>
                    <w:autoSpaceDN/>
                    <w:bidi w:val="0"/>
                    <w:adjustRightInd/>
                    <w:snapToGrid/>
                    <w:spacing w:line="240" w:lineRule="auto"/>
                    <w:ind w:firstLine="0" w:firstLineChars="0"/>
                    <w:jc w:val="center"/>
                    <w:rPr>
                      <w:b/>
                      <w:bCs w:val="0"/>
                      <w:sz w:val="21"/>
                      <w:szCs w:val="21"/>
                      <w:u w:val="single"/>
                    </w:rPr>
                  </w:pPr>
                </w:p>
              </w:tc>
              <w:tc>
                <w:tcPr>
                  <w:tcW w:w="272" w:type="pct"/>
                  <w:vMerge w:val="continue"/>
                  <w:noWrap w:val="0"/>
                  <w:tcMar>
                    <w:top w:w="15" w:type="dxa"/>
                    <w:left w:w="15" w:type="dxa"/>
                    <w:right w:w="15" w:type="dxa"/>
                  </w:tcMar>
                  <w:vAlign w:val="center"/>
                </w:tcPr>
                <w:p w14:paraId="0AECFB27">
                  <w:pPr>
                    <w:keepNext w:val="0"/>
                    <w:keepLines w:val="0"/>
                    <w:pageBreakBefore w:val="0"/>
                    <w:kinsoku/>
                    <w:wordWrap w:val="0"/>
                    <w:overflowPunct/>
                    <w:topLinePunct w:val="0"/>
                    <w:autoSpaceDE/>
                    <w:autoSpaceDN/>
                    <w:bidi w:val="0"/>
                    <w:adjustRightInd/>
                    <w:snapToGrid/>
                    <w:spacing w:line="240" w:lineRule="auto"/>
                    <w:ind w:firstLine="0" w:firstLineChars="0"/>
                    <w:jc w:val="center"/>
                    <w:rPr>
                      <w:b/>
                      <w:bCs w:val="0"/>
                      <w:sz w:val="21"/>
                      <w:szCs w:val="21"/>
                      <w:u w:val="single"/>
                    </w:rPr>
                  </w:pPr>
                </w:p>
              </w:tc>
            </w:tr>
            <w:tr w14:paraId="441D40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19" w:hRule="atLeast"/>
                <w:jc w:val="center"/>
              </w:trPr>
              <w:tc>
                <w:tcPr>
                  <w:tcW w:w="148" w:type="pct"/>
                  <w:vMerge w:val="restart"/>
                  <w:noWrap w:val="0"/>
                  <w:tcMar>
                    <w:top w:w="15" w:type="dxa"/>
                    <w:left w:w="15" w:type="dxa"/>
                    <w:right w:w="15" w:type="dxa"/>
                  </w:tcMar>
                  <w:vAlign w:val="center"/>
                </w:tcPr>
                <w:p w14:paraId="0CA5BF53">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b/>
                      <w:bCs w:val="0"/>
                      <w:sz w:val="21"/>
                      <w:szCs w:val="21"/>
                      <w:u w:val="single"/>
                    </w:rPr>
                  </w:pPr>
                  <w:r>
                    <w:rPr>
                      <w:b/>
                      <w:bCs w:val="0"/>
                      <w:kern w:val="0"/>
                      <w:sz w:val="21"/>
                      <w:szCs w:val="21"/>
                      <w:u w:val="single"/>
                      <w:lang w:bidi="ar"/>
                    </w:rPr>
                    <w:t>有组织</w:t>
                  </w:r>
                </w:p>
              </w:tc>
              <w:tc>
                <w:tcPr>
                  <w:tcW w:w="372" w:type="pct"/>
                  <w:vMerge w:val="restart"/>
                  <w:noWrap w:val="0"/>
                  <w:tcMar>
                    <w:top w:w="15" w:type="dxa"/>
                    <w:left w:w="15" w:type="dxa"/>
                    <w:right w:w="15" w:type="dxa"/>
                  </w:tcMar>
                  <w:vAlign w:val="center"/>
                </w:tcPr>
                <w:p w14:paraId="66EA7985">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b/>
                      <w:bCs w:val="0"/>
                      <w:sz w:val="21"/>
                      <w:szCs w:val="21"/>
                      <w:u w:val="single"/>
                    </w:rPr>
                  </w:pPr>
                  <w:r>
                    <w:rPr>
                      <w:rFonts w:hint="eastAsia"/>
                      <w:b/>
                      <w:bCs w:val="0"/>
                      <w:sz w:val="21"/>
                      <w:szCs w:val="21"/>
                      <w:u w:val="single"/>
                      <w:lang w:val="en-US" w:eastAsia="zh-CN"/>
                    </w:rPr>
                    <w:t>中药材异味</w:t>
                  </w:r>
                </w:p>
              </w:tc>
              <w:tc>
                <w:tcPr>
                  <w:tcW w:w="172" w:type="pct"/>
                  <w:vMerge w:val="restart"/>
                  <w:noWrap w:val="0"/>
                  <w:tcMar>
                    <w:top w:w="15" w:type="dxa"/>
                    <w:left w:w="15" w:type="dxa"/>
                    <w:right w:w="15" w:type="dxa"/>
                  </w:tcMar>
                  <w:vAlign w:val="center"/>
                </w:tcPr>
                <w:p w14:paraId="563124E8">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eastAsia="宋体"/>
                      <w:b/>
                      <w:bCs w:val="0"/>
                      <w:sz w:val="21"/>
                      <w:szCs w:val="21"/>
                      <w:u w:val="single"/>
                      <w:lang w:eastAsia="zh-CN"/>
                    </w:rPr>
                  </w:pPr>
                  <w:r>
                    <w:rPr>
                      <w:rFonts w:hint="eastAsia"/>
                      <w:b/>
                      <w:bCs w:val="0"/>
                      <w:sz w:val="21"/>
                      <w:szCs w:val="21"/>
                      <w:u w:val="single"/>
                      <w:lang w:val="en-US" w:eastAsia="zh-CN"/>
                    </w:rPr>
                    <w:t>臭气浓度</w:t>
                  </w:r>
                </w:p>
              </w:tc>
              <w:tc>
                <w:tcPr>
                  <w:tcW w:w="239" w:type="pct"/>
                  <w:vMerge w:val="restart"/>
                  <w:noWrap w:val="0"/>
                  <w:tcMar>
                    <w:top w:w="15" w:type="dxa"/>
                    <w:left w:w="15" w:type="dxa"/>
                    <w:right w:w="15" w:type="dxa"/>
                  </w:tcMar>
                  <w:vAlign w:val="center"/>
                </w:tcPr>
                <w:p w14:paraId="2DFA88EC">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eastAsia="宋体"/>
                      <w:b/>
                      <w:bCs w:val="0"/>
                      <w:sz w:val="21"/>
                      <w:szCs w:val="21"/>
                      <w:u w:val="single"/>
                      <w:lang w:val="en-US" w:eastAsia="zh-CN"/>
                    </w:rPr>
                  </w:pPr>
                  <w:r>
                    <w:rPr>
                      <w:rFonts w:hint="eastAsia"/>
                      <w:b/>
                      <w:bCs w:val="0"/>
                      <w:sz w:val="21"/>
                      <w:szCs w:val="21"/>
                      <w:u w:val="single"/>
                      <w:lang w:val="en-US" w:eastAsia="zh-CN"/>
                    </w:rPr>
                    <w:t>2560</w:t>
                  </w:r>
                </w:p>
              </w:tc>
              <w:tc>
                <w:tcPr>
                  <w:tcW w:w="662" w:type="pct"/>
                  <w:noWrap w:val="0"/>
                  <w:tcMar>
                    <w:top w:w="15" w:type="dxa"/>
                    <w:left w:w="15" w:type="dxa"/>
                    <w:right w:w="15" w:type="dxa"/>
                  </w:tcMar>
                  <w:vAlign w:val="center"/>
                </w:tcPr>
                <w:p w14:paraId="7F265524">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b/>
                      <w:bCs w:val="0"/>
                      <w:kern w:val="0"/>
                      <w:sz w:val="21"/>
                      <w:szCs w:val="21"/>
                      <w:u w:val="single"/>
                      <w:lang w:bidi="ar"/>
                    </w:rPr>
                  </w:pPr>
                  <w:r>
                    <w:rPr>
                      <w:rFonts w:hint="eastAsia"/>
                      <w:b/>
                      <w:bCs w:val="0"/>
                      <w:kern w:val="0"/>
                      <w:sz w:val="21"/>
                      <w:szCs w:val="21"/>
                      <w:u w:val="single"/>
                      <w:lang w:bidi="ar"/>
                    </w:rPr>
                    <w:t>设置为密闭作业房</w:t>
                  </w:r>
                  <w:r>
                    <w:rPr>
                      <w:rFonts w:hint="eastAsia"/>
                      <w:b/>
                      <w:bCs w:val="0"/>
                      <w:kern w:val="0"/>
                      <w:sz w:val="21"/>
                      <w:szCs w:val="21"/>
                      <w:u w:val="single"/>
                      <w:lang w:eastAsia="zh-CN" w:bidi="ar"/>
                    </w:rPr>
                    <w:t>，</w:t>
                  </w:r>
                  <w:r>
                    <w:rPr>
                      <w:rFonts w:hint="eastAsia"/>
                      <w:b/>
                      <w:bCs w:val="0"/>
                      <w:kern w:val="0"/>
                      <w:sz w:val="21"/>
                      <w:szCs w:val="21"/>
                      <w:u w:val="single"/>
                      <w:lang w:bidi="ar"/>
                    </w:rPr>
                    <w:t>在产异味装置上方分别设置集气罩，整体密闭房设置负压抽风</w:t>
                  </w:r>
                </w:p>
              </w:tc>
              <w:tc>
                <w:tcPr>
                  <w:tcW w:w="245" w:type="pct"/>
                  <w:vMerge w:val="restart"/>
                  <w:noWrap w:val="0"/>
                  <w:tcMar>
                    <w:top w:w="15" w:type="dxa"/>
                    <w:left w:w="15" w:type="dxa"/>
                    <w:right w:w="15" w:type="dxa"/>
                  </w:tcMar>
                  <w:vAlign w:val="center"/>
                </w:tcPr>
                <w:p w14:paraId="6C42E336">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val="0"/>
                      <w:sz w:val="21"/>
                      <w:szCs w:val="21"/>
                      <w:u w:val="single"/>
                      <w:lang w:val="en-US" w:eastAsia="zh-CN"/>
                    </w:rPr>
                  </w:pPr>
                  <w:r>
                    <w:rPr>
                      <w:rFonts w:hint="eastAsia" w:ascii="Times New Roman" w:hAnsi="Times New Roman" w:eastAsia="宋体" w:cs="Times New Roman"/>
                      <w:b/>
                      <w:bCs w:val="0"/>
                      <w:sz w:val="21"/>
                      <w:szCs w:val="21"/>
                      <w:u w:val="single"/>
                      <w:lang w:val="en-US" w:eastAsia="zh-CN"/>
                    </w:rPr>
                    <w:t>/</w:t>
                  </w:r>
                </w:p>
              </w:tc>
              <w:tc>
                <w:tcPr>
                  <w:tcW w:w="300" w:type="pct"/>
                  <w:vMerge w:val="restart"/>
                  <w:noWrap w:val="0"/>
                  <w:tcMar>
                    <w:top w:w="15" w:type="dxa"/>
                    <w:left w:w="15" w:type="dxa"/>
                    <w:right w:w="15" w:type="dxa"/>
                  </w:tcMar>
                  <w:vAlign w:val="center"/>
                </w:tcPr>
                <w:p w14:paraId="70E0A91C">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val="0"/>
                      <w:sz w:val="21"/>
                      <w:szCs w:val="21"/>
                      <w:u w:val="single"/>
                      <w:lang w:val="en-US" w:eastAsia="zh-CN"/>
                    </w:rPr>
                  </w:pPr>
                  <w:r>
                    <w:rPr>
                      <w:rFonts w:hint="eastAsia" w:ascii="Times New Roman" w:hAnsi="Times New Roman" w:eastAsia="宋体" w:cs="Times New Roman"/>
                      <w:b/>
                      <w:bCs w:val="0"/>
                      <w:sz w:val="21"/>
                      <w:szCs w:val="21"/>
                      <w:u w:val="single"/>
                      <w:lang w:val="en-US" w:eastAsia="zh-CN"/>
                    </w:rPr>
                    <w:t>/</w:t>
                  </w:r>
                </w:p>
              </w:tc>
              <w:tc>
                <w:tcPr>
                  <w:tcW w:w="285" w:type="pct"/>
                  <w:vMerge w:val="restart"/>
                  <w:noWrap w:val="0"/>
                  <w:tcMar>
                    <w:top w:w="15" w:type="dxa"/>
                    <w:left w:w="15" w:type="dxa"/>
                    <w:right w:w="15" w:type="dxa"/>
                  </w:tcMar>
                  <w:vAlign w:val="center"/>
                </w:tcPr>
                <w:p w14:paraId="78CCD746">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val="0"/>
                      <w:sz w:val="21"/>
                      <w:szCs w:val="21"/>
                      <w:u w:val="single"/>
                      <w:lang w:val="en-US" w:eastAsia="zh-CN"/>
                    </w:rPr>
                  </w:pPr>
                  <w:r>
                    <w:rPr>
                      <w:rFonts w:hint="eastAsia" w:ascii="Times New Roman" w:hAnsi="Times New Roman" w:eastAsia="宋体" w:cs="Times New Roman"/>
                      <w:b/>
                      <w:bCs w:val="0"/>
                      <w:sz w:val="21"/>
                      <w:szCs w:val="21"/>
                      <w:u w:val="single"/>
                      <w:lang w:val="en-US" w:eastAsia="zh-CN"/>
                    </w:rPr>
                    <w:t>/</w:t>
                  </w:r>
                </w:p>
              </w:tc>
              <w:tc>
                <w:tcPr>
                  <w:tcW w:w="287" w:type="pct"/>
                  <w:vMerge w:val="restart"/>
                  <w:noWrap w:val="0"/>
                  <w:tcMar>
                    <w:top w:w="15" w:type="dxa"/>
                    <w:left w:w="15" w:type="dxa"/>
                    <w:right w:w="15" w:type="dxa"/>
                  </w:tcMar>
                  <w:vAlign w:val="center"/>
                </w:tcPr>
                <w:p w14:paraId="0197E769">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val="0"/>
                      <w:sz w:val="21"/>
                      <w:szCs w:val="21"/>
                      <w:u w:val="single"/>
                      <w:lang w:val="en-US" w:eastAsia="zh-CN"/>
                    </w:rPr>
                  </w:pPr>
                  <w:r>
                    <w:rPr>
                      <w:rFonts w:hint="eastAsia" w:ascii="Times New Roman" w:hAnsi="Times New Roman" w:eastAsia="宋体" w:cs="Times New Roman"/>
                      <w:b/>
                      <w:bCs w:val="0"/>
                      <w:sz w:val="21"/>
                      <w:szCs w:val="21"/>
                      <w:u w:val="single"/>
                      <w:lang w:val="en-US" w:eastAsia="zh-CN"/>
                    </w:rPr>
                    <w:t>/</w:t>
                  </w:r>
                </w:p>
              </w:tc>
              <w:tc>
                <w:tcPr>
                  <w:tcW w:w="321" w:type="pct"/>
                  <w:vMerge w:val="restart"/>
                  <w:noWrap w:val="0"/>
                  <w:tcMar>
                    <w:top w:w="15" w:type="dxa"/>
                    <w:left w:w="15" w:type="dxa"/>
                    <w:right w:w="15" w:type="dxa"/>
                  </w:tcMar>
                  <w:vAlign w:val="center"/>
                </w:tcPr>
                <w:p w14:paraId="0EFE91C1">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val="0"/>
                      <w:sz w:val="21"/>
                      <w:szCs w:val="21"/>
                      <w:u w:val="single"/>
                    </w:rPr>
                  </w:pPr>
                  <w:r>
                    <w:rPr>
                      <w:rFonts w:hint="eastAsia"/>
                      <w:b/>
                      <w:bCs w:val="0"/>
                      <w:kern w:val="0"/>
                      <w:sz w:val="21"/>
                      <w:szCs w:val="21"/>
                      <w:u w:val="single"/>
                      <w:lang w:bidi="ar"/>
                    </w:rPr>
                    <w:t>喷淋塔+水雾分离器+活性炭</w:t>
                  </w:r>
                </w:p>
              </w:tc>
              <w:tc>
                <w:tcPr>
                  <w:tcW w:w="237" w:type="pct"/>
                  <w:vMerge w:val="restart"/>
                  <w:noWrap w:val="0"/>
                  <w:tcMar>
                    <w:top w:w="15" w:type="dxa"/>
                    <w:left w:w="15" w:type="dxa"/>
                    <w:right w:w="15" w:type="dxa"/>
                  </w:tcMar>
                  <w:vAlign w:val="center"/>
                </w:tcPr>
                <w:p w14:paraId="48171D01">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val="0"/>
                      <w:sz w:val="21"/>
                      <w:szCs w:val="21"/>
                      <w:u w:val="single"/>
                    </w:rPr>
                  </w:pPr>
                  <w:r>
                    <w:rPr>
                      <w:rFonts w:hint="eastAsia" w:ascii="Times New Roman" w:hAnsi="Times New Roman" w:eastAsia="宋体" w:cs="Times New Roman"/>
                      <w:b/>
                      <w:bCs w:val="0"/>
                      <w:sz w:val="21"/>
                      <w:szCs w:val="21"/>
                      <w:u w:val="single"/>
                    </w:rPr>
                    <w:t>90</w:t>
                  </w:r>
                </w:p>
              </w:tc>
              <w:tc>
                <w:tcPr>
                  <w:tcW w:w="276" w:type="pct"/>
                  <w:vMerge w:val="restart"/>
                  <w:noWrap w:val="0"/>
                  <w:tcMar>
                    <w:top w:w="15" w:type="dxa"/>
                    <w:left w:w="15" w:type="dxa"/>
                    <w:right w:w="15" w:type="dxa"/>
                  </w:tcMar>
                  <w:vAlign w:val="center"/>
                </w:tcPr>
                <w:p w14:paraId="28A63C19">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val="0"/>
                      <w:sz w:val="21"/>
                      <w:szCs w:val="21"/>
                      <w:u w:val="single"/>
                    </w:rPr>
                  </w:pPr>
                  <w:r>
                    <w:rPr>
                      <w:rFonts w:hint="eastAsia" w:ascii="Times New Roman" w:hAnsi="Times New Roman" w:eastAsia="宋体" w:cs="Times New Roman"/>
                      <w:b/>
                      <w:bCs w:val="0"/>
                      <w:sz w:val="21"/>
                      <w:szCs w:val="21"/>
                      <w:u w:val="single"/>
                    </w:rPr>
                    <w:t>是</w:t>
                  </w:r>
                </w:p>
              </w:tc>
              <w:tc>
                <w:tcPr>
                  <w:tcW w:w="360" w:type="pct"/>
                  <w:vMerge w:val="restart"/>
                  <w:noWrap w:val="0"/>
                  <w:tcMar>
                    <w:top w:w="15" w:type="dxa"/>
                    <w:left w:w="15" w:type="dxa"/>
                    <w:right w:w="15" w:type="dxa"/>
                  </w:tcMar>
                  <w:vAlign w:val="center"/>
                </w:tcPr>
                <w:p w14:paraId="1D9AEA2D">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val="0"/>
                      <w:sz w:val="21"/>
                      <w:szCs w:val="21"/>
                      <w:u w:val="single"/>
                      <w:lang w:val="en-US" w:eastAsia="zh-CN"/>
                    </w:rPr>
                  </w:pPr>
                  <w:r>
                    <w:rPr>
                      <w:rFonts w:hint="eastAsia" w:ascii="Times New Roman" w:hAnsi="Times New Roman" w:eastAsia="宋体" w:cs="Times New Roman"/>
                      <w:b/>
                      <w:bCs w:val="0"/>
                      <w:sz w:val="21"/>
                      <w:szCs w:val="21"/>
                      <w:u w:val="single"/>
                      <w:lang w:val="en-US" w:eastAsia="zh-CN"/>
                    </w:rPr>
                    <w:t>/</w:t>
                  </w:r>
                </w:p>
              </w:tc>
              <w:tc>
                <w:tcPr>
                  <w:tcW w:w="299" w:type="pct"/>
                  <w:vMerge w:val="restart"/>
                  <w:noWrap w:val="0"/>
                  <w:tcMar>
                    <w:top w:w="15" w:type="dxa"/>
                    <w:left w:w="15" w:type="dxa"/>
                    <w:right w:w="15" w:type="dxa"/>
                  </w:tcMar>
                  <w:vAlign w:val="center"/>
                </w:tcPr>
                <w:p w14:paraId="5D992209">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val="0"/>
                      <w:sz w:val="21"/>
                      <w:szCs w:val="21"/>
                      <w:u w:val="single"/>
                      <w:lang w:val="en-US" w:eastAsia="zh-CN"/>
                    </w:rPr>
                  </w:pPr>
                  <w:r>
                    <w:rPr>
                      <w:rFonts w:hint="eastAsia" w:ascii="Times New Roman" w:hAnsi="Times New Roman" w:eastAsia="宋体" w:cs="Times New Roman"/>
                      <w:b/>
                      <w:bCs w:val="0"/>
                      <w:sz w:val="21"/>
                      <w:szCs w:val="21"/>
                      <w:u w:val="single"/>
                      <w:lang w:val="en-US" w:eastAsia="zh-CN"/>
                    </w:rPr>
                    <w:t>/</w:t>
                  </w:r>
                </w:p>
              </w:tc>
              <w:tc>
                <w:tcPr>
                  <w:tcW w:w="274" w:type="pct"/>
                  <w:vMerge w:val="restart"/>
                  <w:noWrap w:val="0"/>
                  <w:tcMar>
                    <w:top w:w="15" w:type="dxa"/>
                    <w:left w:w="15" w:type="dxa"/>
                    <w:right w:w="15" w:type="dxa"/>
                  </w:tcMar>
                  <w:vAlign w:val="center"/>
                </w:tcPr>
                <w:p w14:paraId="32660852">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val="0"/>
                      <w:sz w:val="21"/>
                      <w:szCs w:val="21"/>
                      <w:u w:val="single"/>
                      <w:lang w:val="en-US" w:eastAsia="zh-CN"/>
                    </w:rPr>
                  </w:pPr>
                  <w:r>
                    <w:rPr>
                      <w:rFonts w:hint="eastAsia" w:ascii="Times New Roman" w:hAnsi="Times New Roman" w:eastAsia="宋体" w:cs="Times New Roman"/>
                      <w:b/>
                      <w:bCs w:val="0"/>
                      <w:sz w:val="21"/>
                      <w:szCs w:val="21"/>
                      <w:u w:val="single"/>
                      <w:lang w:val="en-US" w:eastAsia="zh-CN"/>
                    </w:rPr>
                    <w:t>&lt;2000</w:t>
                  </w:r>
                  <w:r>
                    <w:rPr>
                      <w:rFonts w:hint="eastAsia" w:ascii="Times New Roman" w:hAnsi="Times New Roman" w:eastAsia="宋体" w:cs="Times New Roman"/>
                      <w:b/>
                      <w:bCs w:val="0"/>
                      <w:color w:val="auto"/>
                      <w:sz w:val="21"/>
                      <w:szCs w:val="21"/>
                      <w:u w:val="single"/>
                      <w:lang w:val="en-US" w:eastAsia="zh-CN"/>
                    </w:rPr>
                    <w:t>（无量纲）</w:t>
                  </w:r>
                </w:p>
              </w:tc>
              <w:tc>
                <w:tcPr>
                  <w:tcW w:w="242" w:type="pct"/>
                  <w:vMerge w:val="restart"/>
                  <w:noWrap w:val="0"/>
                  <w:tcMar>
                    <w:top w:w="15" w:type="dxa"/>
                    <w:left w:w="15" w:type="dxa"/>
                    <w:right w:w="15" w:type="dxa"/>
                  </w:tcMar>
                  <w:vAlign w:val="center"/>
                </w:tcPr>
                <w:p w14:paraId="1FA39B0B">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eastAsia="宋体"/>
                      <w:b/>
                      <w:bCs w:val="0"/>
                      <w:sz w:val="21"/>
                      <w:szCs w:val="21"/>
                      <w:u w:val="single"/>
                      <w:lang w:val="en-US" w:eastAsia="zh-CN"/>
                    </w:rPr>
                  </w:pPr>
                  <w:r>
                    <w:rPr>
                      <w:rFonts w:hint="eastAsia"/>
                      <w:b/>
                      <w:bCs w:val="0"/>
                      <w:sz w:val="21"/>
                      <w:szCs w:val="21"/>
                      <w:u w:val="single"/>
                      <w:lang w:val="en-US" w:eastAsia="zh-CN"/>
                    </w:rPr>
                    <w:t>/</w:t>
                  </w:r>
                </w:p>
              </w:tc>
              <w:tc>
                <w:tcPr>
                  <w:tcW w:w="272" w:type="pct"/>
                  <w:vMerge w:val="restart"/>
                  <w:noWrap w:val="0"/>
                  <w:tcMar>
                    <w:top w:w="15" w:type="dxa"/>
                    <w:left w:w="15" w:type="dxa"/>
                    <w:right w:w="15" w:type="dxa"/>
                  </w:tcMar>
                  <w:vAlign w:val="center"/>
                </w:tcPr>
                <w:p w14:paraId="492DECD7">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eastAsia="宋体"/>
                      <w:b/>
                      <w:bCs w:val="0"/>
                      <w:sz w:val="21"/>
                      <w:szCs w:val="21"/>
                      <w:u w:val="single"/>
                      <w:lang w:eastAsia="zh-CN"/>
                    </w:rPr>
                  </w:pPr>
                  <w:r>
                    <w:rPr>
                      <w:rFonts w:hint="eastAsia"/>
                      <w:b/>
                      <w:bCs w:val="0"/>
                      <w:sz w:val="21"/>
                      <w:szCs w:val="21"/>
                      <w:u w:val="single"/>
                    </w:rPr>
                    <w:t>DA00</w:t>
                  </w:r>
                  <w:r>
                    <w:rPr>
                      <w:rFonts w:hint="eastAsia"/>
                      <w:b/>
                      <w:bCs w:val="0"/>
                      <w:sz w:val="21"/>
                      <w:szCs w:val="21"/>
                      <w:u w:val="single"/>
                      <w:lang w:val="en-US" w:eastAsia="zh-CN"/>
                    </w:rPr>
                    <w:t>1</w:t>
                  </w:r>
                </w:p>
              </w:tc>
            </w:tr>
            <w:tr w14:paraId="5E57DB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19" w:hRule="atLeast"/>
                <w:jc w:val="center"/>
              </w:trPr>
              <w:tc>
                <w:tcPr>
                  <w:tcW w:w="148" w:type="pct"/>
                  <w:vMerge w:val="continue"/>
                  <w:noWrap w:val="0"/>
                  <w:tcMar>
                    <w:top w:w="15" w:type="dxa"/>
                    <w:left w:w="15" w:type="dxa"/>
                    <w:right w:w="15" w:type="dxa"/>
                  </w:tcMar>
                  <w:vAlign w:val="center"/>
                </w:tcPr>
                <w:p w14:paraId="2481154D">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b/>
                      <w:bCs w:val="0"/>
                      <w:u w:val="single"/>
                    </w:rPr>
                  </w:pPr>
                </w:p>
              </w:tc>
              <w:tc>
                <w:tcPr>
                  <w:tcW w:w="372" w:type="pct"/>
                  <w:vMerge w:val="continue"/>
                  <w:noWrap w:val="0"/>
                  <w:tcMar>
                    <w:top w:w="15" w:type="dxa"/>
                    <w:left w:w="15" w:type="dxa"/>
                    <w:right w:w="15" w:type="dxa"/>
                  </w:tcMar>
                  <w:vAlign w:val="center"/>
                </w:tcPr>
                <w:p w14:paraId="5027E2EF">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b/>
                      <w:bCs w:val="0"/>
                      <w:u w:val="single"/>
                    </w:rPr>
                  </w:pPr>
                </w:p>
              </w:tc>
              <w:tc>
                <w:tcPr>
                  <w:tcW w:w="172" w:type="pct"/>
                  <w:vMerge w:val="continue"/>
                  <w:noWrap w:val="0"/>
                  <w:tcMar>
                    <w:top w:w="15" w:type="dxa"/>
                    <w:left w:w="15" w:type="dxa"/>
                    <w:right w:w="15" w:type="dxa"/>
                  </w:tcMar>
                  <w:vAlign w:val="center"/>
                </w:tcPr>
                <w:p w14:paraId="43BD3556">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b/>
                      <w:bCs w:val="0"/>
                      <w:u w:val="single"/>
                    </w:rPr>
                  </w:pPr>
                </w:p>
              </w:tc>
              <w:tc>
                <w:tcPr>
                  <w:tcW w:w="239" w:type="pct"/>
                  <w:vMerge w:val="continue"/>
                  <w:noWrap w:val="0"/>
                  <w:tcMar>
                    <w:top w:w="15" w:type="dxa"/>
                    <w:left w:w="15" w:type="dxa"/>
                    <w:right w:w="15" w:type="dxa"/>
                  </w:tcMar>
                  <w:vAlign w:val="center"/>
                </w:tcPr>
                <w:p w14:paraId="03A3B35A">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b/>
                      <w:bCs w:val="0"/>
                      <w:u w:val="single"/>
                    </w:rPr>
                  </w:pPr>
                </w:p>
              </w:tc>
              <w:tc>
                <w:tcPr>
                  <w:tcW w:w="662" w:type="pct"/>
                  <w:noWrap w:val="0"/>
                  <w:tcMar>
                    <w:top w:w="15" w:type="dxa"/>
                    <w:left w:w="15" w:type="dxa"/>
                    <w:right w:w="15" w:type="dxa"/>
                  </w:tcMar>
                  <w:vAlign w:val="center"/>
                </w:tcPr>
                <w:p w14:paraId="183F1B3A">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bCs w:val="0"/>
                      <w:kern w:val="0"/>
                      <w:sz w:val="21"/>
                      <w:szCs w:val="21"/>
                      <w:u w:val="single"/>
                      <w:lang w:bidi="ar"/>
                    </w:rPr>
                  </w:pPr>
                  <w:r>
                    <w:rPr>
                      <w:rFonts w:hint="eastAsia"/>
                      <w:b/>
                      <w:bCs w:val="0"/>
                      <w:color w:val="auto"/>
                      <w:sz w:val="21"/>
                      <w:szCs w:val="21"/>
                      <w:u w:val="single"/>
                      <w:lang w:val="en-US" w:eastAsia="zh-CN"/>
                    </w:rPr>
                    <w:t>药渣暂存间以及危废暂存间密封设置，废气引至上述生产工序设置的“喷淋塔+水雾分离器+活性炭”装置</w:t>
                  </w:r>
                </w:p>
              </w:tc>
              <w:tc>
                <w:tcPr>
                  <w:tcW w:w="245" w:type="pct"/>
                  <w:vMerge w:val="continue"/>
                  <w:noWrap w:val="0"/>
                  <w:tcMar>
                    <w:top w:w="15" w:type="dxa"/>
                    <w:left w:w="15" w:type="dxa"/>
                    <w:right w:w="15" w:type="dxa"/>
                  </w:tcMar>
                  <w:vAlign w:val="center"/>
                </w:tcPr>
                <w:p w14:paraId="6F4043D7">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bCs w:val="0"/>
                      <w:kern w:val="0"/>
                      <w:sz w:val="21"/>
                      <w:szCs w:val="21"/>
                      <w:u w:val="single"/>
                      <w:lang w:bidi="ar"/>
                    </w:rPr>
                  </w:pPr>
                </w:p>
              </w:tc>
              <w:tc>
                <w:tcPr>
                  <w:tcW w:w="300" w:type="pct"/>
                  <w:vMerge w:val="continue"/>
                  <w:noWrap w:val="0"/>
                  <w:tcMar>
                    <w:top w:w="15" w:type="dxa"/>
                    <w:left w:w="15" w:type="dxa"/>
                    <w:right w:w="15" w:type="dxa"/>
                  </w:tcMar>
                  <w:vAlign w:val="center"/>
                </w:tcPr>
                <w:p w14:paraId="6B5F1DF0">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bCs w:val="0"/>
                      <w:kern w:val="0"/>
                      <w:sz w:val="21"/>
                      <w:szCs w:val="21"/>
                      <w:u w:val="single"/>
                      <w:lang w:bidi="ar"/>
                    </w:rPr>
                  </w:pPr>
                </w:p>
              </w:tc>
              <w:tc>
                <w:tcPr>
                  <w:tcW w:w="285" w:type="pct"/>
                  <w:vMerge w:val="continue"/>
                  <w:noWrap w:val="0"/>
                  <w:tcMar>
                    <w:top w:w="15" w:type="dxa"/>
                    <w:left w:w="15" w:type="dxa"/>
                    <w:right w:w="15" w:type="dxa"/>
                  </w:tcMar>
                  <w:vAlign w:val="center"/>
                </w:tcPr>
                <w:p w14:paraId="788EAF28">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bCs w:val="0"/>
                      <w:kern w:val="0"/>
                      <w:sz w:val="21"/>
                      <w:szCs w:val="21"/>
                      <w:u w:val="single"/>
                      <w:lang w:bidi="ar"/>
                    </w:rPr>
                  </w:pPr>
                </w:p>
              </w:tc>
              <w:tc>
                <w:tcPr>
                  <w:tcW w:w="287" w:type="pct"/>
                  <w:vMerge w:val="continue"/>
                  <w:noWrap w:val="0"/>
                  <w:tcMar>
                    <w:top w:w="15" w:type="dxa"/>
                    <w:left w:w="15" w:type="dxa"/>
                    <w:right w:w="15" w:type="dxa"/>
                  </w:tcMar>
                  <w:vAlign w:val="center"/>
                </w:tcPr>
                <w:p w14:paraId="15885E3D">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bCs w:val="0"/>
                      <w:kern w:val="0"/>
                      <w:sz w:val="21"/>
                      <w:szCs w:val="21"/>
                      <w:u w:val="single"/>
                      <w:lang w:bidi="ar"/>
                    </w:rPr>
                  </w:pPr>
                </w:p>
              </w:tc>
              <w:tc>
                <w:tcPr>
                  <w:tcW w:w="321" w:type="pct"/>
                  <w:vMerge w:val="continue"/>
                  <w:noWrap w:val="0"/>
                  <w:tcMar>
                    <w:top w:w="15" w:type="dxa"/>
                    <w:left w:w="15" w:type="dxa"/>
                    <w:right w:w="15" w:type="dxa"/>
                  </w:tcMar>
                  <w:vAlign w:val="center"/>
                </w:tcPr>
                <w:p w14:paraId="511489D6">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bCs w:val="0"/>
                      <w:kern w:val="0"/>
                      <w:sz w:val="21"/>
                      <w:szCs w:val="21"/>
                      <w:u w:val="single"/>
                      <w:lang w:bidi="ar"/>
                    </w:rPr>
                  </w:pPr>
                </w:p>
              </w:tc>
              <w:tc>
                <w:tcPr>
                  <w:tcW w:w="237" w:type="pct"/>
                  <w:vMerge w:val="continue"/>
                  <w:noWrap w:val="0"/>
                  <w:tcMar>
                    <w:top w:w="15" w:type="dxa"/>
                    <w:left w:w="15" w:type="dxa"/>
                    <w:right w:w="15" w:type="dxa"/>
                  </w:tcMar>
                  <w:vAlign w:val="center"/>
                </w:tcPr>
                <w:p w14:paraId="4708DA21">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bCs w:val="0"/>
                      <w:kern w:val="0"/>
                      <w:sz w:val="21"/>
                      <w:szCs w:val="21"/>
                      <w:u w:val="single"/>
                      <w:lang w:bidi="ar"/>
                    </w:rPr>
                  </w:pPr>
                </w:p>
              </w:tc>
              <w:tc>
                <w:tcPr>
                  <w:tcW w:w="276" w:type="pct"/>
                  <w:vMerge w:val="continue"/>
                  <w:noWrap w:val="0"/>
                  <w:tcMar>
                    <w:top w:w="15" w:type="dxa"/>
                    <w:left w:w="15" w:type="dxa"/>
                    <w:right w:w="15" w:type="dxa"/>
                  </w:tcMar>
                  <w:vAlign w:val="center"/>
                </w:tcPr>
                <w:p w14:paraId="3B254DEF">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bCs w:val="0"/>
                      <w:kern w:val="0"/>
                      <w:sz w:val="21"/>
                      <w:szCs w:val="21"/>
                      <w:u w:val="single"/>
                      <w:lang w:bidi="ar"/>
                    </w:rPr>
                  </w:pPr>
                </w:p>
              </w:tc>
              <w:tc>
                <w:tcPr>
                  <w:tcW w:w="360" w:type="pct"/>
                  <w:vMerge w:val="continue"/>
                  <w:noWrap w:val="0"/>
                  <w:tcMar>
                    <w:top w:w="15" w:type="dxa"/>
                    <w:left w:w="15" w:type="dxa"/>
                    <w:right w:w="15" w:type="dxa"/>
                  </w:tcMar>
                  <w:vAlign w:val="center"/>
                </w:tcPr>
                <w:p w14:paraId="16A902A9">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bCs w:val="0"/>
                      <w:kern w:val="0"/>
                      <w:sz w:val="21"/>
                      <w:szCs w:val="21"/>
                      <w:u w:val="single"/>
                      <w:lang w:bidi="ar"/>
                    </w:rPr>
                  </w:pPr>
                </w:p>
              </w:tc>
              <w:tc>
                <w:tcPr>
                  <w:tcW w:w="299" w:type="pct"/>
                  <w:vMerge w:val="continue"/>
                  <w:noWrap w:val="0"/>
                  <w:tcMar>
                    <w:top w:w="15" w:type="dxa"/>
                    <w:left w:w="15" w:type="dxa"/>
                    <w:right w:w="15" w:type="dxa"/>
                  </w:tcMar>
                  <w:vAlign w:val="center"/>
                </w:tcPr>
                <w:p w14:paraId="58A34877">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bCs w:val="0"/>
                      <w:kern w:val="0"/>
                      <w:sz w:val="21"/>
                      <w:szCs w:val="21"/>
                      <w:u w:val="single"/>
                      <w:lang w:bidi="ar"/>
                    </w:rPr>
                  </w:pPr>
                </w:p>
              </w:tc>
              <w:tc>
                <w:tcPr>
                  <w:tcW w:w="274" w:type="pct"/>
                  <w:vMerge w:val="continue"/>
                  <w:noWrap w:val="0"/>
                  <w:tcMar>
                    <w:top w:w="15" w:type="dxa"/>
                    <w:left w:w="15" w:type="dxa"/>
                    <w:right w:w="15" w:type="dxa"/>
                  </w:tcMar>
                  <w:vAlign w:val="center"/>
                </w:tcPr>
                <w:p w14:paraId="2CDBC280">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bCs w:val="0"/>
                      <w:kern w:val="0"/>
                      <w:sz w:val="21"/>
                      <w:szCs w:val="21"/>
                      <w:u w:val="single"/>
                      <w:lang w:bidi="ar"/>
                    </w:rPr>
                  </w:pPr>
                </w:p>
              </w:tc>
              <w:tc>
                <w:tcPr>
                  <w:tcW w:w="242" w:type="pct"/>
                  <w:vMerge w:val="continue"/>
                  <w:noWrap w:val="0"/>
                  <w:tcMar>
                    <w:top w:w="15" w:type="dxa"/>
                    <w:left w:w="15" w:type="dxa"/>
                    <w:right w:w="15" w:type="dxa"/>
                  </w:tcMar>
                  <w:vAlign w:val="center"/>
                </w:tcPr>
                <w:p w14:paraId="15155C31">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bCs w:val="0"/>
                      <w:kern w:val="0"/>
                      <w:sz w:val="21"/>
                      <w:szCs w:val="21"/>
                      <w:u w:val="single"/>
                      <w:lang w:bidi="ar"/>
                    </w:rPr>
                  </w:pPr>
                </w:p>
              </w:tc>
              <w:tc>
                <w:tcPr>
                  <w:tcW w:w="272" w:type="pct"/>
                  <w:vMerge w:val="continue"/>
                  <w:noWrap w:val="0"/>
                  <w:tcMar>
                    <w:top w:w="15" w:type="dxa"/>
                    <w:left w:w="15" w:type="dxa"/>
                    <w:right w:w="15" w:type="dxa"/>
                  </w:tcMar>
                  <w:vAlign w:val="center"/>
                </w:tcPr>
                <w:p w14:paraId="6A035EA6">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bCs w:val="0"/>
                      <w:kern w:val="0"/>
                      <w:sz w:val="21"/>
                      <w:szCs w:val="21"/>
                      <w:u w:val="single"/>
                      <w:lang w:bidi="ar"/>
                    </w:rPr>
                  </w:pPr>
                </w:p>
              </w:tc>
            </w:tr>
            <w:tr w14:paraId="299432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8" w:type="pct"/>
                  <w:vMerge w:val="continue"/>
                  <w:noWrap w:val="0"/>
                  <w:tcMar>
                    <w:top w:w="15" w:type="dxa"/>
                    <w:left w:w="15" w:type="dxa"/>
                    <w:right w:w="15" w:type="dxa"/>
                  </w:tcMar>
                  <w:vAlign w:val="center"/>
                </w:tcPr>
                <w:p w14:paraId="73F04788">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bCs w:val="0"/>
                      <w:sz w:val="21"/>
                      <w:szCs w:val="21"/>
                      <w:u w:val="single"/>
                      <w:lang w:val="en-US" w:eastAsia="zh-CN"/>
                    </w:rPr>
                  </w:pPr>
                </w:p>
              </w:tc>
              <w:tc>
                <w:tcPr>
                  <w:tcW w:w="372" w:type="pct"/>
                  <w:noWrap w:val="0"/>
                  <w:tcMar>
                    <w:top w:w="15" w:type="dxa"/>
                    <w:left w:w="15" w:type="dxa"/>
                    <w:right w:w="15" w:type="dxa"/>
                  </w:tcMar>
                  <w:vAlign w:val="center"/>
                </w:tcPr>
                <w:p w14:paraId="5A5A75CD">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b w:val="0"/>
                      <w:bCs/>
                      <w:kern w:val="0"/>
                      <w:sz w:val="21"/>
                      <w:szCs w:val="21"/>
                      <w:u w:val="none"/>
                      <w:lang w:bidi="ar"/>
                    </w:rPr>
                  </w:pPr>
                  <w:r>
                    <w:rPr>
                      <w:rFonts w:hint="eastAsia"/>
                      <w:b w:val="0"/>
                      <w:bCs/>
                      <w:kern w:val="0"/>
                      <w:sz w:val="21"/>
                      <w:szCs w:val="21"/>
                      <w:u w:val="none"/>
                      <w:lang w:val="en-US" w:eastAsia="zh-CN" w:bidi="ar"/>
                    </w:rPr>
                    <w:t>普通</w:t>
                  </w:r>
                  <w:r>
                    <w:rPr>
                      <w:rFonts w:hint="eastAsia"/>
                      <w:b w:val="0"/>
                      <w:bCs/>
                      <w:kern w:val="0"/>
                      <w:sz w:val="21"/>
                      <w:szCs w:val="21"/>
                      <w:u w:val="none"/>
                      <w:lang w:bidi="ar"/>
                    </w:rPr>
                    <w:t>中药饮片车间干燥、炒制、粉碎、筛分粉尘</w:t>
                  </w:r>
                </w:p>
              </w:tc>
              <w:tc>
                <w:tcPr>
                  <w:tcW w:w="172" w:type="pct"/>
                  <w:noWrap w:val="0"/>
                  <w:tcMar>
                    <w:top w:w="15" w:type="dxa"/>
                    <w:left w:w="15" w:type="dxa"/>
                    <w:right w:w="15" w:type="dxa"/>
                  </w:tcMar>
                  <w:vAlign w:val="center"/>
                </w:tcPr>
                <w:p w14:paraId="18909A68">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eastAsia="宋体"/>
                      <w:b w:val="0"/>
                      <w:bCs/>
                      <w:sz w:val="21"/>
                      <w:szCs w:val="21"/>
                      <w:u w:val="none"/>
                      <w:lang w:val="en-US" w:eastAsia="zh-CN"/>
                    </w:rPr>
                  </w:pPr>
                  <w:r>
                    <w:rPr>
                      <w:rFonts w:hint="eastAsia"/>
                      <w:b w:val="0"/>
                      <w:bCs/>
                      <w:sz w:val="21"/>
                      <w:szCs w:val="21"/>
                      <w:u w:val="none"/>
                      <w:lang w:val="en-US" w:eastAsia="zh-CN"/>
                    </w:rPr>
                    <w:t>颗粒物</w:t>
                  </w:r>
                </w:p>
              </w:tc>
              <w:tc>
                <w:tcPr>
                  <w:tcW w:w="239" w:type="pct"/>
                  <w:noWrap w:val="0"/>
                  <w:tcMar>
                    <w:top w:w="15" w:type="dxa"/>
                    <w:left w:w="15" w:type="dxa"/>
                    <w:right w:w="15" w:type="dxa"/>
                  </w:tcMar>
                  <w:vAlign w:val="center"/>
                </w:tcPr>
                <w:p w14:paraId="26888CCF">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val="0"/>
                      <w:bCs/>
                      <w:sz w:val="21"/>
                      <w:szCs w:val="21"/>
                      <w:u w:val="none"/>
                    </w:rPr>
                  </w:pPr>
                  <w:r>
                    <w:rPr>
                      <w:rFonts w:hint="eastAsia"/>
                      <w:b w:val="0"/>
                      <w:bCs/>
                      <w:sz w:val="21"/>
                      <w:szCs w:val="21"/>
                      <w:u w:val="none"/>
                      <w:lang w:val="en-US" w:eastAsia="zh-CN"/>
                    </w:rPr>
                    <w:t>2560</w:t>
                  </w:r>
                </w:p>
              </w:tc>
              <w:tc>
                <w:tcPr>
                  <w:tcW w:w="662" w:type="pct"/>
                  <w:noWrap w:val="0"/>
                  <w:tcMar>
                    <w:top w:w="15" w:type="dxa"/>
                    <w:left w:w="15" w:type="dxa"/>
                    <w:right w:w="15" w:type="dxa"/>
                  </w:tcMar>
                  <w:vAlign w:val="center"/>
                </w:tcPr>
                <w:p w14:paraId="7F90F4B8">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val="0"/>
                      <w:bCs/>
                      <w:kern w:val="0"/>
                      <w:sz w:val="21"/>
                      <w:szCs w:val="21"/>
                      <w:u w:val="none"/>
                      <w:lang w:bidi="ar"/>
                    </w:rPr>
                  </w:pPr>
                  <w:r>
                    <w:rPr>
                      <w:rFonts w:hint="eastAsia"/>
                      <w:b w:val="0"/>
                      <w:bCs/>
                      <w:kern w:val="0"/>
                      <w:sz w:val="21"/>
                      <w:szCs w:val="21"/>
                      <w:u w:val="none"/>
                      <w:lang w:bidi="ar"/>
                    </w:rPr>
                    <w:t>设备上方采用集气罩，投料口设置集尘罩，集气罩为三面包围结构</w:t>
                  </w:r>
                </w:p>
              </w:tc>
              <w:tc>
                <w:tcPr>
                  <w:tcW w:w="245" w:type="pct"/>
                  <w:noWrap w:val="0"/>
                  <w:tcMar>
                    <w:top w:w="15" w:type="dxa"/>
                    <w:left w:w="15" w:type="dxa"/>
                    <w:right w:w="15" w:type="dxa"/>
                  </w:tcMar>
                  <w:vAlign w:val="center"/>
                </w:tcPr>
                <w:p w14:paraId="2466FD5C">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95</w:t>
                  </w:r>
                </w:p>
              </w:tc>
              <w:tc>
                <w:tcPr>
                  <w:tcW w:w="300" w:type="pct"/>
                  <w:noWrap w:val="0"/>
                  <w:tcMar>
                    <w:top w:w="15" w:type="dxa"/>
                    <w:left w:w="15" w:type="dxa"/>
                    <w:right w:w="15" w:type="dxa"/>
                  </w:tcMar>
                  <w:vAlign w:val="center"/>
                </w:tcPr>
                <w:p w14:paraId="3F6D5E38">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7.6</w:t>
                  </w:r>
                </w:p>
              </w:tc>
              <w:tc>
                <w:tcPr>
                  <w:tcW w:w="285" w:type="pct"/>
                  <w:noWrap w:val="0"/>
                  <w:tcMar>
                    <w:top w:w="15" w:type="dxa"/>
                    <w:left w:w="15" w:type="dxa"/>
                    <w:right w:w="15" w:type="dxa"/>
                  </w:tcMar>
                  <w:vAlign w:val="center"/>
                </w:tcPr>
                <w:p w14:paraId="10A3D37E">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2.97</w:t>
                  </w:r>
                </w:p>
              </w:tc>
              <w:tc>
                <w:tcPr>
                  <w:tcW w:w="287" w:type="pct"/>
                  <w:noWrap w:val="0"/>
                  <w:tcMar>
                    <w:top w:w="15" w:type="dxa"/>
                    <w:left w:w="15" w:type="dxa"/>
                    <w:right w:w="15" w:type="dxa"/>
                  </w:tcMar>
                  <w:vAlign w:val="center"/>
                </w:tcPr>
                <w:p w14:paraId="2D07835C">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198</w:t>
                  </w:r>
                </w:p>
              </w:tc>
              <w:tc>
                <w:tcPr>
                  <w:tcW w:w="321" w:type="pct"/>
                  <w:noWrap w:val="0"/>
                  <w:tcMar>
                    <w:top w:w="15" w:type="dxa"/>
                    <w:left w:w="15" w:type="dxa"/>
                    <w:right w:w="15" w:type="dxa"/>
                  </w:tcMar>
                  <w:vAlign w:val="center"/>
                </w:tcPr>
                <w:p w14:paraId="71431693">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b w:val="0"/>
                      <w:bCs/>
                      <w:color w:val="auto"/>
                      <w:sz w:val="21"/>
                      <w:szCs w:val="21"/>
                      <w:u w:val="none"/>
                      <w:lang w:val="en-US" w:eastAsia="zh-CN"/>
                    </w:rPr>
                  </w:pPr>
                  <w:r>
                    <w:rPr>
                      <w:rFonts w:hint="eastAsia"/>
                      <w:b w:val="0"/>
                      <w:bCs/>
                      <w:color w:val="auto"/>
                      <w:sz w:val="21"/>
                      <w:szCs w:val="21"/>
                      <w:u w:val="none"/>
                      <w:lang w:val="en-US" w:eastAsia="zh-CN"/>
                    </w:rPr>
                    <w:t>袋式除尘器</w:t>
                  </w:r>
                </w:p>
              </w:tc>
              <w:tc>
                <w:tcPr>
                  <w:tcW w:w="237" w:type="pct"/>
                  <w:noWrap w:val="0"/>
                  <w:tcMar>
                    <w:top w:w="15" w:type="dxa"/>
                    <w:left w:w="15" w:type="dxa"/>
                    <w:right w:w="15" w:type="dxa"/>
                  </w:tcMar>
                  <w:vAlign w:val="center"/>
                </w:tcPr>
                <w:p w14:paraId="1433A054">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99</w:t>
                  </w:r>
                </w:p>
              </w:tc>
              <w:tc>
                <w:tcPr>
                  <w:tcW w:w="276" w:type="pct"/>
                  <w:noWrap w:val="0"/>
                  <w:tcMar>
                    <w:top w:w="15" w:type="dxa"/>
                    <w:left w:w="15" w:type="dxa"/>
                    <w:right w:w="15" w:type="dxa"/>
                  </w:tcMar>
                  <w:vAlign w:val="center"/>
                </w:tcPr>
                <w:p w14:paraId="586DE69E">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sz w:val="21"/>
                      <w:szCs w:val="21"/>
                      <w:u w:val="none"/>
                    </w:rPr>
                  </w:pPr>
                  <w:r>
                    <w:rPr>
                      <w:rFonts w:hint="eastAsia" w:ascii="Times New Roman" w:hAnsi="Times New Roman" w:eastAsia="宋体" w:cs="Times New Roman"/>
                      <w:b w:val="0"/>
                      <w:bCs/>
                      <w:sz w:val="21"/>
                      <w:szCs w:val="21"/>
                      <w:u w:val="none"/>
                    </w:rPr>
                    <w:t>是</w:t>
                  </w:r>
                </w:p>
              </w:tc>
              <w:tc>
                <w:tcPr>
                  <w:tcW w:w="360" w:type="pct"/>
                  <w:noWrap w:val="0"/>
                  <w:tcMar>
                    <w:top w:w="15" w:type="dxa"/>
                    <w:left w:w="15" w:type="dxa"/>
                    <w:right w:w="15" w:type="dxa"/>
                  </w:tcMar>
                  <w:vAlign w:val="center"/>
                </w:tcPr>
                <w:p w14:paraId="23960AC3">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0.0760</w:t>
                  </w:r>
                </w:p>
              </w:tc>
              <w:tc>
                <w:tcPr>
                  <w:tcW w:w="299" w:type="pct"/>
                  <w:noWrap w:val="0"/>
                  <w:tcMar>
                    <w:top w:w="15" w:type="dxa"/>
                    <w:left w:w="15" w:type="dxa"/>
                    <w:right w:w="15" w:type="dxa"/>
                  </w:tcMar>
                  <w:vAlign w:val="center"/>
                </w:tcPr>
                <w:p w14:paraId="2E2DCF76">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0.0297</w:t>
                  </w:r>
                </w:p>
              </w:tc>
              <w:tc>
                <w:tcPr>
                  <w:tcW w:w="274" w:type="pct"/>
                  <w:noWrap w:val="0"/>
                  <w:tcMar>
                    <w:top w:w="15" w:type="dxa"/>
                    <w:left w:w="15" w:type="dxa"/>
                    <w:right w:w="15" w:type="dxa"/>
                  </w:tcMar>
                  <w:vAlign w:val="center"/>
                </w:tcPr>
                <w:p w14:paraId="14DE52A7">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2.0</w:t>
                  </w:r>
                </w:p>
              </w:tc>
              <w:tc>
                <w:tcPr>
                  <w:tcW w:w="242" w:type="pct"/>
                  <w:noWrap w:val="0"/>
                  <w:tcMar>
                    <w:top w:w="15" w:type="dxa"/>
                    <w:left w:w="15" w:type="dxa"/>
                    <w:right w:w="15" w:type="dxa"/>
                  </w:tcMar>
                  <w:vAlign w:val="center"/>
                </w:tcPr>
                <w:p w14:paraId="244C9620">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eastAsia="宋体"/>
                      <w:b w:val="0"/>
                      <w:bCs/>
                      <w:sz w:val="21"/>
                      <w:szCs w:val="21"/>
                      <w:u w:val="none"/>
                      <w:lang w:val="en-US" w:eastAsia="zh-CN"/>
                    </w:rPr>
                  </w:pPr>
                  <w:r>
                    <w:rPr>
                      <w:rFonts w:hint="eastAsia"/>
                      <w:b w:val="0"/>
                      <w:bCs/>
                      <w:sz w:val="21"/>
                      <w:szCs w:val="21"/>
                      <w:u w:val="none"/>
                      <w:lang w:val="en-US" w:eastAsia="zh-CN"/>
                    </w:rPr>
                    <w:t>15000</w:t>
                  </w:r>
                </w:p>
              </w:tc>
              <w:tc>
                <w:tcPr>
                  <w:tcW w:w="272" w:type="pct"/>
                  <w:noWrap w:val="0"/>
                  <w:tcMar>
                    <w:top w:w="15" w:type="dxa"/>
                    <w:left w:w="15" w:type="dxa"/>
                    <w:right w:w="15" w:type="dxa"/>
                  </w:tcMar>
                  <w:vAlign w:val="center"/>
                </w:tcPr>
                <w:p w14:paraId="6F652B0F">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eastAsia="宋体"/>
                      <w:b w:val="0"/>
                      <w:bCs/>
                      <w:sz w:val="21"/>
                      <w:szCs w:val="21"/>
                      <w:u w:val="none"/>
                      <w:lang w:val="en-US" w:eastAsia="zh-CN"/>
                    </w:rPr>
                  </w:pPr>
                  <w:r>
                    <w:rPr>
                      <w:rFonts w:hint="eastAsia"/>
                      <w:b w:val="0"/>
                      <w:bCs/>
                      <w:sz w:val="21"/>
                      <w:szCs w:val="21"/>
                      <w:u w:val="none"/>
                    </w:rPr>
                    <w:t>DA00</w:t>
                  </w:r>
                  <w:r>
                    <w:rPr>
                      <w:rFonts w:hint="eastAsia"/>
                      <w:b w:val="0"/>
                      <w:bCs/>
                      <w:sz w:val="21"/>
                      <w:szCs w:val="21"/>
                      <w:u w:val="none"/>
                      <w:lang w:val="en-US" w:eastAsia="zh-CN"/>
                    </w:rPr>
                    <w:t>2</w:t>
                  </w:r>
                </w:p>
              </w:tc>
            </w:tr>
            <w:tr w14:paraId="7DA156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8" w:type="pct"/>
                  <w:vMerge w:val="continue"/>
                  <w:noWrap w:val="0"/>
                  <w:tcMar>
                    <w:top w:w="15" w:type="dxa"/>
                    <w:left w:w="15" w:type="dxa"/>
                    <w:right w:w="15" w:type="dxa"/>
                  </w:tcMar>
                  <w:vAlign w:val="center"/>
                </w:tcPr>
                <w:p w14:paraId="4A29FA9E">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bCs w:val="0"/>
                      <w:sz w:val="21"/>
                      <w:szCs w:val="21"/>
                      <w:u w:val="single"/>
                      <w:lang w:val="en-US" w:eastAsia="zh-CN"/>
                    </w:rPr>
                  </w:pPr>
                </w:p>
              </w:tc>
              <w:tc>
                <w:tcPr>
                  <w:tcW w:w="372" w:type="pct"/>
                  <w:noWrap w:val="0"/>
                  <w:tcMar>
                    <w:top w:w="15" w:type="dxa"/>
                    <w:left w:w="15" w:type="dxa"/>
                    <w:right w:w="15" w:type="dxa"/>
                  </w:tcMar>
                  <w:vAlign w:val="center"/>
                </w:tcPr>
                <w:p w14:paraId="20B0A540">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b w:val="0"/>
                      <w:bCs/>
                      <w:kern w:val="0"/>
                      <w:sz w:val="21"/>
                      <w:szCs w:val="21"/>
                      <w:u w:val="none"/>
                      <w:lang w:bidi="ar"/>
                    </w:rPr>
                  </w:pPr>
                  <w:r>
                    <w:rPr>
                      <w:rFonts w:hint="eastAsia"/>
                      <w:b w:val="0"/>
                      <w:bCs/>
                      <w:color w:val="auto"/>
                      <w:sz w:val="21"/>
                      <w:szCs w:val="21"/>
                      <w:u w:val="none"/>
                      <w:lang w:val="en-US" w:eastAsia="zh-CN"/>
                    </w:rPr>
                    <w:t>毒性饮片</w:t>
                  </w:r>
                  <w:r>
                    <w:rPr>
                      <w:rFonts w:hint="eastAsia"/>
                      <w:b w:val="0"/>
                      <w:bCs/>
                      <w:kern w:val="0"/>
                      <w:sz w:val="21"/>
                      <w:szCs w:val="21"/>
                      <w:u w:val="none"/>
                      <w:lang w:bidi="ar"/>
                    </w:rPr>
                    <w:t>车间干燥、</w:t>
                  </w:r>
                  <w:r>
                    <w:rPr>
                      <w:rFonts w:hint="eastAsia"/>
                      <w:b w:val="0"/>
                      <w:bCs/>
                      <w:kern w:val="0"/>
                      <w:sz w:val="21"/>
                      <w:szCs w:val="21"/>
                      <w:u w:val="none"/>
                      <w:lang w:val="en-US" w:eastAsia="zh-CN" w:bidi="ar"/>
                    </w:rPr>
                    <w:t>切制</w:t>
                  </w:r>
                  <w:r>
                    <w:rPr>
                      <w:rFonts w:hint="eastAsia"/>
                      <w:b w:val="0"/>
                      <w:bCs/>
                      <w:kern w:val="0"/>
                      <w:sz w:val="21"/>
                      <w:szCs w:val="21"/>
                      <w:u w:val="none"/>
                      <w:lang w:bidi="ar"/>
                    </w:rPr>
                    <w:t>、筛分粉尘</w:t>
                  </w:r>
                </w:p>
              </w:tc>
              <w:tc>
                <w:tcPr>
                  <w:tcW w:w="172" w:type="pct"/>
                  <w:noWrap w:val="0"/>
                  <w:tcMar>
                    <w:top w:w="15" w:type="dxa"/>
                    <w:left w:w="15" w:type="dxa"/>
                    <w:right w:w="15" w:type="dxa"/>
                  </w:tcMar>
                  <w:vAlign w:val="center"/>
                </w:tcPr>
                <w:p w14:paraId="0D4A6FAF">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val="0"/>
                      <w:bCs/>
                      <w:sz w:val="21"/>
                      <w:szCs w:val="21"/>
                      <w:u w:val="none"/>
                    </w:rPr>
                  </w:pPr>
                  <w:r>
                    <w:rPr>
                      <w:rFonts w:hint="eastAsia"/>
                      <w:b w:val="0"/>
                      <w:bCs/>
                      <w:sz w:val="21"/>
                      <w:szCs w:val="21"/>
                      <w:u w:val="none"/>
                      <w:lang w:val="en-US" w:eastAsia="zh-CN"/>
                    </w:rPr>
                    <w:t>颗粒物</w:t>
                  </w:r>
                </w:p>
              </w:tc>
              <w:tc>
                <w:tcPr>
                  <w:tcW w:w="239" w:type="pct"/>
                  <w:noWrap w:val="0"/>
                  <w:tcMar>
                    <w:top w:w="15" w:type="dxa"/>
                    <w:left w:w="15" w:type="dxa"/>
                    <w:right w:w="15" w:type="dxa"/>
                  </w:tcMar>
                  <w:vAlign w:val="center"/>
                </w:tcPr>
                <w:p w14:paraId="7B26DB13">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val="0"/>
                      <w:bCs/>
                      <w:sz w:val="21"/>
                      <w:szCs w:val="21"/>
                      <w:u w:val="none"/>
                    </w:rPr>
                  </w:pPr>
                  <w:r>
                    <w:rPr>
                      <w:rFonts w:hint="eastAsia"/>
                      <w:b w:val="0"/>
                      <w:bCs/>
                      <w:sz w:val="21"/>
                      <w:szCs w:val="21"/>
                      <w:u w:val="none"/>
                      <w:lang w:val="en-US" w:eastAsia="zh-CN"/>
                    </w:rPr>
                    <w:t>2560</w:t>
                  </w:r>
                </w:p>
              </w:tc>
              <w:tc>
                <w:tcPr>
                  <w:tcW w:w="662" w:type="pct"/>
                  <w:noWrap w:val="0"/>
                  <w:tcMar>
                    <w:top w:w="15" w:type="dxa"/>
                    <w:left w:w="15" w:type="dxa"/>
                    <w:right w:w="15" w:type="dxa"/>
                  </w:tcMar>
                  <w:vAlign w:val="center"/>
                </w:tcPr>
                <w:p w14:paraId="745A5526">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val="0"/>
                      <w:bCs/>
                      <w:kern w:val="0"/>
                      <w:sz w:val="21"/>
                      <w:szCs w:val="21"/>
                      <w:u w:val="none"/>
                      <w:lang w:bidi="ar"/>
                    </w:rPr>
                  </w:pPr>
                  <w:r>
                    <w:rPr>
                      <w:rFonts w:hint="eastAsia"/>
                      <w:b w:val="0"/>
                      <w:bCs/>
                      <w:kern w:val="0"/>
                      <w:sz w:val="21"/>
                      <w:szCs w:val="21"/>
                      <w:u w:val="none"/>
                      <w:lang w:bidi="ar"/>
                    </w:rPr>
                    <w:t>设备上方采用集气罩，投料口设置集尘罩，集气罩为三面包围结构</w:t>
                  </w:r>
                </w:p>
              </w:tc>
              <w:tc>
                <w:tcPr>
                  <w:tcW w:w="245" w:type="pct"/>
                  <w:noWrap w:val="0"/>
                  <w:tcMar>
                    <w:top w:w="15" w:type="dxa"/>
                    <w:left w:w="15" w:type="dxa"/>
                    <w:right w:w="15" w:type="dxa"/>
                  </w:tcMar>
                  <w:vAlign w:val="center"/>
                </w:tcPr>
                <w:p w14:paraId="4639B34B">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95</w:t>
                  </w:r>
                </w:p>
              </w:tc>
              <w:tc>
                <w:tcPr>
                  <w:tcW w:w="300" w:type="pct"/>
                  <w:noWrap w:val="0"/>
                  <w:tcMar>
                    <w:top w:w="15" w:type="dxa"/>
                    <w:left w:w="15" w:type="dxa"/>
                    <w:right w:w="15" w:type="dxa"/>
                  </w:tcMar>
                  <w:vAlign w:val="center"/>
                </w:tcPr>
                <w:p w14:paraId="04C29C22">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0.76</w:t>
                  </w:r>
                </w:p>
              </w:tc>
              <w:tc>
                <w:tcPr>
                  <w:tcW w:w="285" w:type="pct"/>
                  <w:noWrap w:val="0"/>
                  <w:tcMar>
                    <w:top w:w="15" w:type="dxa"/>
                    <w:left w:w="15" w:type="dxa"/>
                    <w:right w:w="15" w:type="dxa"/>
                  </w:tcMar>
                  <w:vAlign w:val="center"/>
                </w:tcPr>
                <w:p w14:paraId="077B7B79">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0.297</w:t>
                  </w:r>
                </w:p>
              </w:tc>
              <w:tc>
                <w:tcPr>
                  <w:tcW w:w="287" w:type="pct"/>
                  <w:noWrap w:val="0"/>
                  <w:tcMar>
                    <w:top w:w="15" w:type="dxa"/>
                    <w:left w:w="15" w:type="dxa"/>
                    <w:right w:w="15" w:type="dxa"/>
                  </w:tcMar>
                  <w:vAlign w:val="center"/>
                </w:tcPr>
                <w:p w14:paraId="0CA0CD7F">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148.5</w:t>
                  </w:r>
                </w:p>
              </w:tc>
              <w:tc>
                <w:tcPr>
                  <w:tcW w:w="321" w:type="pct"/>
                  <w:shd w:val="clear" w:color="auto" w:fill="auto"/>
                  <w:noWrap w:val="0"/>
                  <w:tcMar>
                    <w:top w:w="15" w:type="dxa"/>
                    <w:left w:w="15" w:type="dxa"/>
                    <w:right w:w="15" w:type="dxa"/>
                  </w:tcMar>
                  <w:vAlign w:val="center"/>
                </w:tcPr>
                <w:p w14:paraId="5262B955">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color w:val="auto"/>
                      <w:kern w:val="2"/>
                      <w:sz w:val="21"/>
                      <w:szCs w:val="21"/>
                      <w:u w:val="none"/>
                      <w:lang w:val="en-US" w:eastAsia="zh-CN" w:bidi="ar-SA"/>
                    </w:rPr>
                  </w:pPr>
                  <w:r>
                    <w:rPr>
                      <w:rFonts w:hint="eastAsia"/>
                      <w:b w:val="0"/>
                      <w:bCs/>
                      <w:color w:val="auto"/>
                      <w:sz w:val="21"/>
                      <w:szCs w:val="21"/>
                      <w:u w:val="none"/>
                      <w:lang w:val="en-US" w:eastAsia="zh-CN"/>
                    </w:rPr>
                    <w:t>袋式除尘器</w:t>
                  </w:r>
                </w:p>
              </w:tc>
              <w:tc>
                <w:tcPr>
                  <w:tcW w:w="237" w:type="pct"/>
                  <w:shd w:val="clear" w:color="auto" w:fill="auto"/>
                  <w:noWrap w:val="0"/>
                  <w:tcMar>
                    <w:top w:w="15" w:type="dxa"/>
                    <w:left w:w="15" w:type="dxa"/>
                    <w:right w:w="15" w:type="dxa"/>
                  </w:tcMar>
                  <w:vAlign w:val="center"/>
                </w:tcPr>
                <w:p w14:paraId="7B007BBD">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kern w:val="2"/>
                      <w:sz w:val="21"/>
                      <w:szCs w:val="21"/>
                      <w:u w:val="none"/>
                      <w:lang w:val="en-US" w:eastAsia="zh-CN" w:bidi="ar-SA"/>
                    </w:rPr>
                  </w:pPr>
                  <w:r>
                    <w:rPr>
                      <w:rFonts w:hint="eastAsia" w:ascii="Times New Roman" w:hAnsi="Times New Roman" w:eastAsia="宋体" w:cs="Times New Roman"/>
                      <w:b w:val="0"/>
                      <w:bCs/>
                      <w:sz w:val="21"/>
                      <w:szCs w:val="21"/>
                      <w:u w:val="none"/>
                      <w:lang w:val="en-US" w:eastAsia="zh-CN"/>
                    </w:rPr>
                    <w:t>99</w:t>
                  </w:r>
                </w:p>
              </w:tc>
              <w:tc>
                <w:tcPr>
                  <w:tcW w:w="276" w:type="pct"/>
                  <w:shd w:val="clear" w:color="auto" w:fill="auto"/>
                  <w:noWrap w:val="0"/>
                  <w:tcMar>
                    <w:top w:w="15" w:type="dxa"/>
                    <w:left w:w="15" w:type="dxa"/>
                    <w:right w:w="15" w:type="dxa"/>
                  </w:tcMar>
                  <w:vAlign w:val="center"/>
                </w:tcPr>
                <w:p w14:paraId="5EDDCB51">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kern w:val="2"/>
                      <w:sz w:val="21"/>
                      <w:szCs w:val="21"/>
                      <w:u w:val="none"/>
                      <w:lang w:val="en-US" w:eastAsia="zh-CN" w:bidi="ar-SA"/>
                    </w:rPr>
                  </w:pPr>
                  <w:r>
                    <w:rPr>
                      <w:rFonts w:hint="eastAsia" w:ascii="Times New Roman" w:hAnsi="Times New Roman" w:eastAsia="宋体" w:cs="Times New Roman"/>
                      <w:b w:val="0"/>
                      <w:bCs/>
                      <w:sz w:val="21"/>
                      <w:szCs w:val="21"/>
                      <w:u w:val="none"/>
                    </w:rPr>
                    <w:t>是</w:t>
                  </w:r>
                </w:p>
              </w:tc>
              <w:tc>
                <w:tcPr>
                  <w:tcW w:w="360" w:type="pct"/>
                  <w:noWrap w:val="0"/>
                  <w:tcMar>
                    <w:top w:w="15" w:type="dxa"/>
                    <w:left w:w="15" w:type="dxa"/>
                    <w:right w:w="15" w:type="dxa"/>
                  </w:tcMar>
                  <w:vAlign w:val="center"/>
                </w:tcPr>
                <w:p w14:paraId="7C4FA9CA">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0.0076</w:t>
                  </w:r>
                </w:p>
              </w:tc>
              <w:tc>
                <w:tcPr>
                  <w:tcW w:w="299" w:type="pct"/>
                  <w:noWrap w:val="0"/>
                  <w:tcMar>
                    <w:top w:w="15" w:type="dxa"/>
                    <w:left w:w="15" w:type="dxa"/>
                    <w:right w:w="15" w:type="dxa"/>
                  </w:tcMar>
                  <w:vAlign w:val="center"/>
                </w:tcPr>
                <w:p w14:paraId="5884ADAC">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0.0030</w:t>
                  </w:r>
                </w:p>
              </w:tc>
              <w:tc>
                <w:tcPr>
                  <w:tcW w:w="274" w:type="pct"/>
                  <w:noWrap w:val="0"/>
                  <w:tcMar>
                    <w:top w:w="15" w:type="dxa"/>
                    <w:left w:w="15" w:type="dxa"/>
                    <w:right w:w="15" w:type="dxa"/>
                  </w:tcMar>
                  <w:vAlign w:val="center"/>
                </w:tcPr>
                <w:p w14:paraId="200241DC">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1.5</w:t>
                  </w:r>
                </w:p>
              </w:tc>
              <w:tc>
                <w:tcPr>
                  <w:tcW w:w="242" w:type="pct"/>
                  <w:noWrap w:val="0"/>
                  <w:tcMar>
                    <w:top w:w="15" w:type="dxa"/>
                    <w:left w:w="15" w:type="dxa"/>
                    <w:right w:w="15" w:type="dxa"/>
                  </w:tcMar>
                  <w:vAlign w:val="center"/>
                </w:tcPr>
                <w:p w14:paraId="75DA8A87">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eastAsia="宋体"/>
                      <w:b w:val="0"/>
                      <w:bCs/>
                      <w:sz w:val="21"/>
                      <w:szCs w:val="21"/>
                      <w:u w:val="none"/>
                      <w:lang w:val="en-US" w:eastAsia="zh-CN"/>
                    </w:rPr>
                  </w:pPr>
                  <w:r>
                    <w:rPr>
                      <w:rFonts w:hint="eastAsia"/>
                      <w:b w:val="0"/>
                      <w:bCs/>
                      <w:sz w:val="21"/>
                      <w:szCs w:val="21"/>
                      <w:u w:val="none"/>
                      <w:lang w:val="en-US" w:eastAsia="zh-CN"/>
                    </w:rPr>
                    <w:t>2000</w:t>
                  </w:r>
                </w:p>
              </w:tc>
              <w:tc>
                <w:tcPr>
                  <w:tcW w:w="272" w:type="pct"/>
                  <w:noWrap w:val="0"/>
                  <w:tcMar>
                    <w:top w:w="15" w:type="dxa"/>
                    <w:left w:w="15" w:type="dxa"/>
                    <w:right w:w="15" w:type="dxa"/>
                  </w:tcMar>
                  <w:vAlign w:val="center"/>
                </w:tcPr>
                <w:p w14:paraId="3CF8E1EA">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eastAsia="宋体"/>
                      <w:b w:val="0"/>
                      <w:bCs/>
                      <w:sz w:val="21"/>
                      <w:szCs w:val="21"/>
                      <w:u w:val="none"/>
                      <w:lang w:val="en-US" w:eastAsia="zh-CN"/>
                    </w:rPr>
                  </w:pPr>
                  <w:r>
                    <w:rPr>
                      <w:rFonts w:hint="eastAsia"/>
                      <w:b w:val="0"/>
                      <w:bCs/>
                      <w:sz w:val="21"/>
                      <w:szCs w:val="21"/>
                      <w:u w:val="none"/>
                    </w:rPr>
                    <w:t>DA00</w:t>
                  </w:r>
                  <w:r>
                    <w:rPr>
                      <w:rFonts w:hint="eastAsia"/>
                      <w:b w:val="0"/>
                      <w:bCs/>
                      <w:sz w:val="21"/>
                      <w:szCs w:val="21"/>
                      <w:u w:val="none"/>
                      <w:lang w:val="en-US" w:eastAsia="zh-CN"/>
                    </w:rPr>
                    <w:t>3</w:t>
                  </w:r>
                </w:p>
              </w:tc>
            </w:tr>
            <w:tr w14:paraId="327E69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8" w:type="pct"/>
                  <w:vMerge w:val="continue"/>
                  <w:noWrap w:val="0"/>
                  <w:tcMar>
                    <w:top w:w="15" w:type="dxa"/>
                    <w:left w:w="15" w:type="dxa"/>
                    <w:right w:w="15" w:type="dxa"/>
                  </w:tcMar>
                  <w:vAlign w:val="center"/>
                </w:tcPr>
                <w:p w14:paraId="7EB7BA8B">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bCs w:val="0"/>
                      <w:sz w:val="21"/>
                      <w:szCs w:val="21"/>
                      <w:u w:val="single"/>
                      <w:lang w:val="en-US" w:eastAsia="zh-CN"/>
                    </w:rPr>
                  </w:pPr>
                </w:p>
              </w:tc>
              <w:tc>
                <w:tcPr>
                  <w:tcW w:w="372" w:type="pct"/>
                  <w:noWrap w:val="0"/>
                  <w:tcMar>
                    <w:top w:w="15" w:type="dxa"/>
                    <w:left w:w="15" w:type="dxa"/>
                    <w:right w:w="15" w:type="dxa"/>
                  </w:tcMar>
                  <w:vAlign w:val="center"/>
                </w:tcPr>
                <w:p w14:paraId="16F94D88">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b w:val="0"/>
                      <w:bCs/>
                      <w:kern w:val="0"/>
                      <w:sz w:val="21"/>
                      <w:szCs w:val="21"/>
                      <w:u w:val="none"/>
                      <w:lang w:bidi="ar"/>
                    </w:rPr>
                  </w:pPr>
                  <w:r>
                    <w:rPr>
                      <w:rFonts w:hint="eastAsia"/>
                      <w:b w:val="0"/>
                      <w:bCs/>
                      <w:kern w:val="0"/>
                      <w:sz w:val="21"/>
                      <w:szCs w:val="21"/>
                      <w:u w:val="none"/>
                      <w:lang w:val="en-US" w:eastAsia="zh-CN" w:bidi="ar"/>
                    </w:rPr>
                    <w:t>口服饮片车间、颗粒剂车间及制丸车间</w:t>
                  </w:r>
                </w:p>
              </w:tc>
              <w:tc>
                <w:tcPr>
                  <w:tcW w:w="172" w:type="pct"/>
                  <w:noWrap w:val="0"/>
                  <w:tcMar>
                    <w:top w:w="15" w:type="dxa"/>
                    <w:left w:w="15" w:type="dxa"/>
                    <w:right w:w="15" w:type="dxa"/>
                  </w:tcMar>
                  <w:vAlign w:val="center"/>
                </w:tcPr>
                <w:p w14:paraId="0C02446C">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val="0"/>
                      <w:bCs/>
                      <w:sz w:val="21"/>
                      <w:szCs w:val="21"/>
                      <w:u w:val="none"/>
                    </w:rPr>
                  </w:pPr>
                  <w:r>
                    <w:rPr>
                      <w:rFonts w:hint="eastAsia"/>
                      <w:b w:val="0"/>
                      <w:bCs/>
                      <w:sz w:val="21"/>
                      <w:szCs w:val="21"/>
                      <w:u w:val="none"/>
                      <w:lang w:val="en-US" w:eastAsia="zh-CN"/>
                    </w:rPr>
                    <w:t>颗粒物</w:t>
                  </w:r>
                </w:p>
              </w:tc>
              <w:tc>
                <w:tcPr>
                  <w:tcW w:w="239" w:type="pct"/>
                  <w:noWrap w:val="0"/>
                  <w:tcMar>
                    <w:top w:w="15" w:type="dxa"/>
                    <w:left w:w="15" w:type="dxa"/>
                    <w:right w:w="15" w:type="dxa"/>
                  </w:tcMar>
                  <w:vAlign w:val="center"/>
                </w:tcPr>
                <w:p w14:paraId="00866B1E">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eastAsia="宋体"/>
                      <w:b w:val="0"/>
                      <w:bCs/>
                      <w:sz w:val="21"/>
                      <w:szCs w:val="21"/>
                      <w:u w:val="none"/>
                      <w:lang w:val="en-US" w:eastAsia="zh-CN"/>
                    </w:rPr>
                  </w:pPr>
                  <w:r>
                    <w:rPr>
                      <w:rFonts w:hint="eastAsia"/>
                      <w:b w:val="0"/>
                      <w:bCs/>
                      <w:sz w:val="21"/>
                      <w:szCs w:val="21"/>
                      <w:u w:val="none"/>
                      <w:lang w:val="en-US" w:eastAsia="zh-CN"/>
                    </w:rPr>
                    <w:t>1500</w:t>
                  </w:r>
                </w:p>
              </w:tc>
              <w:tc>
                <w:tcPr>
                  <w:tcW w:w="662" w:type="pct"/>
                  <w:noWrap w:val="0"/>
                  <w:tcMar>
                    <w:top w:w="15" w:type="dxa"/>
                    <w:left w:w="15" w:type="dxa"/>
                    <w:right w:w="15" w:type="dxa"/>
                  </w:tcMar>
                  <w:vAlign w:val="center"/>
                </w:tcPr>
                <w:p w14:paraId="1A222F12">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b w:val="0"/>
                      <w:bCs/>
                      <w:kern w:val="0"/>
                      <w:sz w:val="21"/>
                      <w:szCs w:val="21"/>
                      <w:u w:val="none"/>
                      <w:lang w:val="en-US" w:bidi="ar"/>
                    </w:rPr>
                  </w:pPr>
                  <w:r>
                    <w:rPr>
                      <w:rFonts w:hint="eastAsia"/>
                      <w:b w:val="0"/>
                      <w:bCs/>
                      <w:kern w:val="0"/>
                      <w:sz w:val="21"/>
                      <w:szCs w:val="21"/>
                      <w:u w:val="none"/>
                      <w:lang w:val="en-US" w:eastAsia="zh-CN" w:bidi="ar"/>
                    </w:rPr>
                    <w:t>位于D级洁净区+全密闭</w:t>
                  </w:r>
                </w:p>
              </w:tc>
              <w:tc>
                <w:tcPr>
                  <w:tcW w:w="245" w:type="pct"/>
                  <w:noWrap w:val="0"/>
                  <w:tcMar>
                    <w:top w:w="15" w:type="dxa"/>
                    <w:left w:w="15" w:type="dxa"/>
                    <w:right w:w="15" w:type="dxa"/>
                  </w:tcMar>
                  <w:vAlign w:val="center"/>
                </w:tcPr>
                <w:p w14:paraId="16479438">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100</w:t>
                  </w:r>
                </w:p>
              </w:tc>
              <w:tc>
                <w:tcPr>
                  <w:tcW w:w="300" w:type="pct"/>
                  <w:noWrap w:val="0"/>
                  <w:tcMar>
                    <w:top w:w="15" w:type="dxa"/>
                    <w:left w:w="15" w:type="dxa"/>
                    <w:right w:w="15" w:type="dxa"/>
                  </w:tcMar>
                  <w:vAlign w:val="center"/>
                </w:tcPr>
                <w:p w14:paraId="687B29A0">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1.05</w:t>
                  </w:r>
                </w:p>
              </w:tc>
              <w:tc>
                <w:tcPr>
                  <w:tcW w:w="285" w:type="pct"/>
                  <w:noWrap w:val="0"/>
                  <w:tcMar>
                    <w:top w:w="15" w:type="dxa"/>
                    <w:left w:w="15" w:type="dxa"/>
                    <w:right w:w="15" w:type="dxa"/>
                  </w:tcMar>
                  <w:vAlign w:val="center"/>
                </w:tcPr>
                <w:p w14:paraId="31239FD3">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0.7</w:t>
                  </w:r>
                </w:p>
              </w:tc>
              <w:tc>
                <w:tcPr>
                  <w:tcW w:w="287" w:type="pct"/>
                  <w:noWrap w:val="0"/>
                  <w:tcMar>
                    <w:top w:w="15" w:type="dxa"/>
                    <w:left w:w="15" w:type="dxa"/>
                    <w:right w:w="15" w:type="dxa"/>
                  </w:tcMar>
                  <w:vAlign w:val="center"/>
                </w:tcPr>
                <w:p w14:paraId="3A6A2C22">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140</w:t>
                  </w:r>
                </w:p>
              </w:tc>
              <w:tc>
                <w:tcPr>
                  <w:tcW w:w="321" w:type="pct"/>
                  <w:noWrap w:val="0"/>
                  <w:tcMar>
                    <w:top w:w="15" w:type="dxa"/>
                    <w:left w:w="15" w:type="dxa"/>
                    <w:right w:w="15" w:type="dxa"/>
                  </w:tcMar>
                  <w:vAlign w:val="center"/>
                </w:tcPr>
                <w:p w14:paraId="649F106E">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b w:val="0"/>
                      <w:bCs/>
                      <w:color w:val="auto"/>
                      <w:sz w:val="21"/>
                      <w:szCs w:val="21"/>
                      <w:u w:val="none"/>
                      <w:lang w:val="en-US" w:eastAsia="zh-CN"/>
                    </w:rPr>
                  </w:pPr>
                  <w:r>
                    <w:rPr>
                      <w:rFonts w:hint="eastAsia"/>
                      <w:b w:val="0"/>
                      <w:bCs/>
                      <w:color w:val="auto"/>
                      <w:sz w:val="21"/>
                      <w:szCs w:val="21"/>
                      <w:u w:val="none"/>
                      <w:lang w:val="en-US" w:eastAsia="zh-CN"/>
                    </w:rPr>
                    <w:t>空气滤网系统</w:t>
                  </w:r>
                </w:p>
              </w:tc>
              <w:tc>
                <w:tcPr>
                  <w:tcW w:w="237" w:type="pct"/>
                  <w:noWrap w:val="0"/>
                  <w:tcMar>
                    <w:top w:w="15" w:type="dxa"/>
                    <w:left w:w="15" w:type="dxa"/>
                    <w:right w:w="15" w:type="dxa"/>
                  </w:tcMar>
                  <w:vAlign w:val="center"/>
                </w:tcPr>
                <w:p w14:paraId="29ABD929">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95</w:t>
                  </w:r>
                </w:p>
              </w:tc>
              <w:tc>
                <w:tcPr>
                  <w:tcW w:w="276" w:type="pct"/>
                  <w:noWrap w:val="0"/>
                  <w:tcMar>
                    <w:top w:w="15" w:type="dxa"/>
                    <w:left w:w="15" w:type="dxa"/>
                    <w:right w:w="15" w:type="dxa"/>
                  </w:tcMar>
                  <w:vAlign w:val="center"/>
                </w:tcPr>
                <w:p w14:paraId="6C20CE97">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sz w:val="21"/>
                      <w:szCs w:val="21"/>
                      <w:u w:val="none"/>
                    </w:rPr>
                  </w:pPr>
                  <w:r>
                    <w:rPr>
                      <w:rFonts w:hint="eastAsia" w:ascii="Times New Roman" w:hAnsi="Times New Roman" w:eastAsia="宋体" w:cs="Times New Roman"/>
                      <w:b w:val="0"/>
                      <w:bCs/>
                      <w:sz w:val="21"/>
                      <w:szCs w:val="21"/>
                      <w:u w:val="none"/>
                    </w:rPr>
                    <w:t>是</w:t>
                  </w:r>
                </w:p>
              </w:tc>
              <w:tc>
                <w:tcPr>
                  <w:tcW w:w="360" w:type="pct"/>
                  <w:noWrap w:val="0"/>
                  <w:tcMar>
                    <w:top w:w="15" w:type="dxa"/>
                    <w:left w:w="15" w:type="dxa"/>
                    <w:right w:w="15" w:type="dxa"/>
                  </w:tcMar>
                  <w:vAlign w:val="center"/>
                </w:tcPr>
                <w:p w14:paraId="24CC9BD3">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0.0525</w:t>
                  </w:r>
                </w:p>
              </w:tc>
              <w:tc>
                <w:tcPr>
                  <w:tcW w:w="299" w:type="pct"/>
                  <w:noWrap w:val="0"/>
                  <w:tcMar>
                    <w:top w:w="15" w:type="dxa"/>
                    <w:left w:w="15" w:type="dxa"/>
                    <w:right w:w="15" w:type="dxa"/>
                  </w:tcMar>
                  <w:vAlign w:val="center"/>
                </w:tcPr>
                <w:p w14:paraId="4ED402AE">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0.035</w:t>
                  </w:r>
                </w:p>
              </w:tc>
              <w:tc>
                <w:tcPr>
                  <w:tcW w:w="274" w:type="pct"/>
                  <w:noWrap w:val="0"/>
                  <w:tcMar>
                    <w:top w:w="15" w:type="dxa"/>
                    <w:left w:w="15" w:type="dxa"/>
                    <w:right w:w="15" w:type="dxa"/>
                  </w:tcMar>
                  <w:vAlign w:val="center"/>
                </w:tcPr>
                <w:p w14:paraId="3489C1DE">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7</w:t>
                  </w:r>
                </w:p>
              </w:tc>
              <w:tc>
                <w:tcPr>
                  <w:tcW w:w="242" w:type="pct"/>
                  <w:noWrap w:val="0"/>
                  <w:tcMar>
                    <w:top w:w="15" w:type="dxa"/>
                    <w:left w:w="15" w:type="dxa"/>
                    <w:right w:w="15" w:type="dxa"/>
                  </w:tcMar>
                  <w:vAlign w:val="center"/>
                </w:tcPr>
                <w:p w14:paraId="0432DBF3">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eastAsia="宋体"/>
                      <w:b w:val="0"/>
                      <w:bCs/>
                      <w:sz w:val="21"/>
                      <w:szCs w:val="21"/>
                      <w:u w:val="none"/>
                      <w:lang w:val="en-US" w:eastAsia="zh-CN"/>
                    </w:rPr>
                  </w:pPr>
                  <w:r>
                    <w:rPr>
                      <w:rFonts w:hint="eastAsia"/>
                      <w:b w:val="0"/>
                      <w:bCs/>
                      <w:sz w:val="21"/>
                      <w:szCs w:val="21"/>
                      <w:u w:val="none"/>
                      <w:lang w:val="en-US" w:eastAsia="zh-CN"/>
                    </w:rPr>
                    <w:t>5000</w:t>
                  </w:r>
                </w:p>
              </w:tc>
              <w:tc>
                <w:tcPr>
                  <w:tcW w:w="272" w:type="pct"/>
                  <w:noWrap w:val="0"/>
                  <w:tcMar>
                    <w:top w:w="15" w:type="dxa"/>
                    <w:left w:w="15" w:type="dxa"/>
                    <w:right w:w="15" w:type="dxa"/>
                  </w:tcMar>
                  <w:vAlign w:val="center"/>
                </w:tcPr>
                <w:p w14:paraId="73F72902">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eastAsia="宋体"/>
                      <w:b w:val="0"/>
                      <w:bCs/>
                      <w:sz w:val="21"/>
                      <w:szCs w:val="21"/>
                      <w:u w:val="none"/>
                      <w:lang w:val="en-US" w:eastAsia="zh-CN"/>
                    </w:rPr>
                  </w:pPr>
                  <w:r>
                    <w:rPr>
                      <w:rFonts w:hint="eastAsia"/>
                      <w:b w:val="0"/>
                      <w:bCs/>
                      <w:sz w:val="21"/>
                      <w:szCs w:val="21"/>
                      <w:u w:val="none"/>
                    </w:rPr>
                    <w:t>DA00</w:t>
                  </w:r>
                  <w:r>
                    <w:rPr>
                      <w:rFonts w:hint="eastAsia"/>
                      <w:b w:val="0"/>
                      <w:bCs/>
                      <w:sz w:val="21"/>
                      <w:szCs w:val="21"/>
                      <w:u w:val="none"/>
                      <w:lang w:val="en-US" w:eastAsia="zh-CN"/>
                    </w:rPr>
                    <w:t>4</w:t>
                  </w:r>
                </w:p>
              </w:tc>
            </w:tr>
            <w:tr w14:paraId="210F0F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148" w:type="pct"/>
                  <w:vMerge w:val="continue"/>
                  <w:noWrap w:val="0"/>
                  <w:tcMar>
                    <w:top w:w="15" w:type="dxa"/>
                    <w:left w:w="15" w:type="dxa"/>
                    <w:right w:w="15" w:type="dxa"/>
                  </w:tcMar>
                  <w:vAlign w:val="center"/>
                </w:tcPr>
                <w:p w14:paraId="2B51150B">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bCs w:val="0"/>
                      <w:sz w:val="21"/>
                      <w:szCs w:val="21"/>
                      <w:u w:val="single"/>
                      <w:lang w:val="en-US" w:eastAsia="zh-CN"/>
                    </w:rPr>
                  </w:pPr>
                </w:p>
              </w:tc>
              <w:tc>
                <w:tcPr>
                  <w:tcW w:w="372" w:type="pct"/>
                  <w:vMerge w:val="restart"/>
                  <w:noWrap w:val="0"/>
                  <w:tcMar>
                    <w:top w:w="15" w:type="dxa"/>
                    <w:left w:w="15" w:type="dxa"/>
                    <w:right w:w="15" w:type="dxa"/>
                  </w:tcMar>
                  <w:vAlign w:val="center"/>
                </w:tcPr>
                <w:p w14:paraId="09C94EF9">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b/>
                      <w:bCs w:val="0"/>
                      <w:kern w:val="0"/>
                      <w:sz w:val="21"/>
                      <w:szCs w:val="21"/>
                      <w:u w:val="single"/>
                      <w:lang w:bidi="ar"/>
                    </w:rPr>
                  </w:pPr>
                  <w:r>
                    <w:rPr>
                      <w:rFonts w:hint="eastAsia"/>
                      <w:b/>
                      <w:bCs w:val="0"/>
                      <w:kern w:val="0"/>
                      <w:sz w:val="21"/>
                      <w:szCs w:val="21"/>
                      <w:u w:val="single"/>
                      <w:lang w:bidi="ar"/>
                    </w:rPr>
                    <w:t>污水处理站</w:t>
                  </w:r>
                </w:p>
              </w:tc>
              <w:tc>
                <w:tcPr>
                  <w:tcW w:w="172" w:type="pct"/>
                  <w:noWrap w:val="0"/>
                  <w:tcMar>
                    <w:top w:w="15" w:type="dxa"/>
                    <w:left w:w="15" w:type="dxa"/>
                    <w:right w:w="15" w:type="dxa"/>
                  </w:tcMar>
                  <w:vAlign w:val="center"/>
                </w:tcPr>
                <w:p w14:paraId="134A9022">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bCs w:val="0"/>
                      <w:sz w:val="21"/>
                      <w:szCs w:val="21"/>
                      <w:u w:val="single"/>
                    </w:rPr>
                  </w:pPr>
                  <w:r>
                    <w:rPr>
                      <w:b/>
                      <w:bCs w:val="0"/>
                      <w:color w:val="auto"/>
                      <w:sz w:val="21"/>
                      <w:szCs w:val="21"/>
                      <w:u w:val="single"/>
                    </w:rPr>
                    <w:t>NH</w:t>
                  </w:r>
                  <w:r>
                    <w:rPr>
                      <w:b/>
                      <w:bCs w:val="0"/>
                      <w:color w:val="auto"/>
                      <w:sz w:val="21"/>
                      <w:szCs w:val="21"/>
                      <w:u w:val="single"/>
                      <w:vertAlign w:val="subscript"/>
                    </w:rPr>
                    <w:t>3</w:t>
                  </w:r>
                </w:p>
              </w:tc>
              <w:tc>
                <w:tcPr>
                  <w:tcW w:w="239" w:type="pct"/>
                  <w:vMerge w:val="restart"/>
                  <w:noWrap w:val="0"/>
                  <w:tcMar>
                    <w:top w:w="15" w:type="dxa"/>
                    <w:left w:w="15" w:type="dxa"/>
                    <w:right w:w="15" w:type="dxa"/>
                  </w:tcMar>
                  <w:vAlign w:val="center"/>
                </w:tcPr>
                <w:p w14:paraId="260F2848">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bCs w:val="0"/>
                      <w:sz w:val="21"/>
                      <w:szCs w:val="21"/>
                      <w:u w:val="single"/>
                    </w:rPr>
                  </w:pPr>
                  <w:r>
                    <w:rPr>
                      <w:rFonts w:hint="eastAsia"/>
                      <w:b/>
                      <w:bCs w:val="0"/>
                      <w:sz w:val="21"/>
                      <w:szCs w:val="21"/>
                      <w:u w:val="single"/>
                      <w:lang w:val="en-US" w:eastAsia="zh-CN"/>
                    </w:rPr>
                    <w:t>7680</w:t>
                  </w:r>
                </w:p>
              </w:tc>
              <w:tc>
                <w:tcPr>
                  <w:tcW w:w="662" w:type="pct"/>
                  <w:vMerge w:val="restart"/>
                  <w:noWrap w:val="0"/>
                  <w:tcMar>
                    <w:top w:w="15" w:type="dxa"/>
                    <w:left w:w="15" w:type="dxa"/>
                    <w:right w:w="15" w:type="dxa"/>
                  </w:tcMar>
                  <w:vAlign w:val="center"/>
                </w:tcPr>
                <w:p w14:paraId="58D754C9">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eastAsia="宋体"/>
                      <w:b/>
                      <w:bCs w:val="0"/>
                      <w:kern w:val="0"/>
                      <w:sz w:val="21"/>
                      <w:szCs w:val="21"/>
                      <w:u w:val="single"/>
                      <w:lang w:val="en-US" w:eastAsia="zh-CN" w:bidi="ar"/>
                    </w:rPr>
                  </w:pPr>
                  <w:r>
                    <w:rPr>
                      <w:rFonts w:hint="eastAsia"/>
                      <w:b/>
                      <w:bCs w:val="0"/>
                      <w:kern w:val="0"/>
                      <w:sz w:val="21"/>
                      <w:szCs w:val="21"/>
                      <w:u w:val="single"/>
                      <w:lang w:bidi="ar"/>
                    </w:rPr>
                    <w:t>加盖密闭+</w:t>
                  </w:r>
                  <w:r>
                    <w:rPr>
                      <w:rFonts w:hint="eastAsia"/>
                      <w:b/>
                      <w:bCs w:val="0"/>
                      <w:kern w:val="0"/>
                      <w:sz w:val="21"/>
                      <w:szCs w:val="21"/>
                      <w:u w:val="single"/>
                      <w:lang w:val="en-US" w:eastAsia="zh-CN" w:bidi="ar"/>
                    </w:rPr>
                    <w:t>生物滤池</w:t>
                  </w:r>
                  <w:r>
                    <w:rPr>
                      <w:rFonts w:hint="eastAsia"/>
                      <w:b/>
                      <w:bCs w:val="0"/>
                      <w:kern w:val="0"/>
                      <w:sz w:val="21"/>
                      <w:szCs w:val="21"/>
                      <w:u w:val="single"/>
                      <w:lang w:bidi="ar"/>
                    </w:rPr>
                    <w:t>除臭措施</w:t>
                  </w:r>
                  <w:r>
                    <w:rPr>
                      <w:rFonts w:hint="eastAsia"/>
                      <w:b/>
                      <w:bCs w:val="0"/>
                      <w:kern w:val="0"/>
                      <w:sz w:val="21"/>
                      <w:szCs w:val="21"/>
                      <w:u w:val="single"/>
                      <w:lang w:val="en-US" w:eastAsia="zh-CN" w:bidi="ar"/>
                    </w:rPr>
                    <w:t>+绿化</w:t>
                  </w:r>
                </w:p>
              </w:tc>
              <w:tc>
                <w:tcPr>
                  <w:tcW w:w="245" w:type="pct"/>
                  <w:vMerge w:val="restart"/>
                  <w:noWrap w:val="0"/>
                  <w:tcMar>
                    <w:top w:w="15" w:type="dxa"/>
                    <w:left w:w="15" w:type="dxa"/>
                    <w:right w:w="15" w:type="dxa"/>
                  </w:tcMar>
                  <w:vAlign w:val="center"/>
                </w:tcPr>
                <w:p w14:paraId="1F74FB12">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val="0"/>
                      <w:sz w:val="21"/>
                      <w:szCs w:val="21"/>
                      <w:u w:val="single"/>
                      <w:lang w:val="en-US" w:eastAsia="zh-CN"/>
                    </w:rPr>
                  </w:pPr>
                  <w:r>
                    <w:rPr>
                      <w:rFonts w:hint="eastAsia" w:ascii="Times New Roman" w:hAnsi="Times New Roman" w:eastAsia="宋体" w:cs="Times New Roman"/>
                      <w:b/>
                      <w:bCs w:val="0"/>
                      <w:sz w:val="21"/>
                      <w:szCs w:val="21"/>
                      <w:u w:val="single"/>
                      <w:lang w:val="en-US" w:eastAsia="zh-CN"/>
                    </w:rPr>
                    <w:t>95</w:t>
                  </w:r>
                </w:p>
              </w:tc>
              <w:tc>
                <w:tcPr>
                  <w:tcW w:w="300" w:type="pct"/>
                  <w:noWrap w:val="0"/>
                  <w:tcMar>
                    <w:top w:w="15" w:type="dxa"/>
                    <w:left w:w="15" w:type="dxa"/>
                    <w:right w:w="15" w:type="dxa"/>
                  </w:tcMar>
                  <w:vAlign w:val="center"/>
                </w:tcPr>
                <w:p w14:paraId="713611FC">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val="0"/>
                      <w:sz w:val="21"/>
                      <w:szCs w:val="21"/>
                      <w:u w:val="single"/>
                      <w:lang w:val="en-US" w:eastAsia="zh-CN"/>
                    </w:rPr>
                  </w:pPr>
                  <w:r>
                    <w:rPr>
                      <w:rFonts w:hint="eastAsia" w:ascii="Times New Roman" w:hAnsi="Times New Roman" w:eastAsia="宋体" w:cs="Times New Roman"/>
                      <w:b/>
                      <w:bCs w:val="0"/>
                      <w:sz w:val="21"/>
                      <w:szCs w:val="21"/>
                      <w:u w:val="single"/>
                      <w:lang w:val="en-US" w:eastAsia="zh-CN"/>
                    </w:rPr>
                    <w:t>0.1265</w:t>
                  </w:r>
                </w:p>
              </w:tc>
              <w:tc>
                <w:tcPr>
                  <w:tcW w:w="285" w:type="pct"/>
                  <w:noWrap w:val="0"/>
                  <w:tcMar>
                    <w:top w:w="15" w:type="dxa"/>
                    <w:left w:w="15" w:type="dxa"/>
                    <w:right w:w="15" w:type="dxa"/>
                  </w:tcMar>
                  <w:vAlign w:val="center"/>
                </w:tcPr>
                <w:p w14:paraId="642D2B12">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val="0"/>
                      <w:sz w:val="21"/>
                      <w:szCs w:val="21"/>
                      <w:u w:val="single"/>
                      <w:lang w:val="en-US" w:eastAsia="zh-CN"/>
                    </w:rPr>
                  </w:pPr>
                  <w:r>
                    <w:rPr>
                      <w:rFonts w:hint="eastAsia" w:ascii="Times New Roman" w:hAnsi="Times New Roman" w:eastAsia="宋体" w:cs="Times New Roman"/>
                      <w:b/>
                      <w:bCs w:val="0"/>
                      <w:sz w:val="21"/>
                      <w:szCs w:val="21"/>
                      <w:u w:val="single"/>
                      <w:lang w:val="en-US" w:eastAsia="zh-CN"/>
                    </w:rPr>
                    <w:t>0.0165</w:t>
                  </w:r>
                </w:p>
              </w:tc>
              <w:tc>
                <w:tcPr>
                  <w:tcW w:w="287" w:type="pct"/>
                  <w:noWrap w:val="0"/>
                  <w:tcMar>
                    <w:top w:w="15" w:type="dxa"/>
                    <w:left w:w="15" w:type="dxa"/>
                    <w:right w:w="15" w:type="dxa"/>
                  </w:tcMar>
                  <w:vAlign w:val="center"/>
                </w:tcPr>
                <w:p w14:paraId="6880352E">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val="0"/>
                      <w:sz w:val="21"/>
                      <w:szCs w:val="21"/>
                      <w:u w:val="single"/>
                      <w:lang w:val="en-US" w:eastAsia="zh-CN"/>
                    </w:rPr>
                  </w:pPr>
                  <w:r>
                    <w:rPr>
                      <w:rFonts w:hint="eastAsia" w:ascii="Times New Roman" w:hAnsi="Times New Roman" w:eastAsia="宋体" w:cs="Times New Roman"/>
                      <w:b/>
                      <w:bCs w:val="0"/>
                      <w:sz w:val="21"/>
                      <w:szCs w:val="21"/>
                      <w:u w:val="single"/>
                      <w:lang w:val="en-US" w:eastAsia="zh-CN"/>
                    </w:rPr>
                    <w:t>0.825</w:t>
                  </w:r>
                </w:p>
              </w:tc>
              <w:tc>
                <w:tcPr>
                  <w:tcW w:w="321" w:type="pct"/>
                  <w:vMerge w:val="restart"/>
                  <w:noWrap w:val="0"/>
                  <w:tcMar>
                    <w:top w:w="15" w:type="dxa"/>
                    <w:left w:w="15" w:type="dxa"/>
                    <w:right w:w="15" w:type="dxa"/>
                  </w:tcMar>
                  <w:vAlign w:val="center"/>
                </w:tcPr>
                <w:p w14:paraId="70C7F059">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bCs w:val="0"/>
                      <w:color w:val="auto"/>
                      <w:sz w:val="21"/>
                      <w:szCs w:val="21"/>
                      <w:u w:val="single"/>
                      <w:lang w:val="en-US" w:eastAsia="zh-CN"/>
                    </w:rPr>
                  </w:pPr>
                  <w:r>
                    <w:rPr>
                      <w:rFonts w:hint="eastAsia"/>
                      <w:b/>
                      <w:bCs w:val="0"/>
                      <w:kern w:val="0"/>
                      <w:sz w:val="21"/>
                      <w:szCs w:val="21"/>
                      <w:u w:val="single"/>
                      <w:lang w:val="en-US" w:eastAsia="zh-CN" w:bidi="ar"/>
                    </w:rPr>
                    <w:t>生物滤池</w:t>
                  </w:r>
                  <w:r>
                    <w:rPr>
                      <w:rFonts w:hint="eastAsia"/>
                      <w:b/>
                      <w:bCs w:val="0"/>
                      <w:kern w:val="0"/>
                      <w:sz w:val="21"/>
                      <w:szCs w:val="21"/>
                      <w:u w:val="single"/>
                      <w:lang w:bidi="ar"/>
                    </w:rPr>
                    <w:t>除臭措施</w:t>
                  </w:r>
                </w:p>
              </w:tc>
              <w:tc>
                <w:tcPr>
                  <w:tcW w:w="237" w:type="pct"/>
                  <w:vMerge w:val="restart"/>
                  <w:noWrap w:val="0"/>
                  <w:tcMar>
                    <w:top w:w="15" w:type="dxa"/>
                    <w:left w:w="15" w:type="dxa"/>
                    <w:right w:w="15" w:type="dxa"/>
                  </w:tcMar>
                  <w:vAlign w:val="center"/>
                </w:tcPr>
                <w:p w14:paraId="575CB2BB">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val="0"/>
                      <w:sz w:val="21"/>
                      <w:szCs w:val="21"/>
                      <w:u w:val="single"/>
                      <w:lang w:val="en-US" w:eastAsia="zh-CN"/>
                    </w:rPr>
                  </w:pPr>
                  <w:r>
                    <w:rPr>
                      <w:rFonts w:hint="eastAsia" w:ascii="Times New Roman" w:hAnsi="Times New Roman" w:eastAsia="宋体" w:cs="Times New Roman"/>
                      <w:b/>
                      <w:bCs w:val="0"/>
                      <w:sz w:val="21"/>
                      <w:szCs w:val="21"/>
                      <w:u w:val="single"/>
                      <w:lang w:val="en-US" w:eastAsia="zh-CN"/>
                    </w:rPr>
                    <w:t>90</w:t>
                  </w:r>
                </w:p>
              </w:tc>
              <w:tc>
                <w:tcPr>
                  <w:tcW w:w="276" w:type="pct"/>
                  <w:vMerge w:val="restart"/>
                  <w:noWrap w:val="0"/>
                  <w:tcMar>
                    <w:top w:w="15" w:type="dxa"/>
                    <w:left w:w="15" w:type="dxa"/>
                    <w:right w:w="15" w:type="dxa"/>
                  </w:tcMar>
                  <w:vAlign w:val="center"/>
                </w:tcPr>
                <w:p w14:paraId="5C4D7712">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val="0"/>
                      <w:sz w:val="21"/>
                      <w:szCs w:val="21"/>
                      <w:u w:val="single"/>
                      <w:lang w:val="en-US" w:eastAsia="zh-CN"/>
                    </w:rPr>
                  </w:pPr>
                  <w:r>
                    <w:rPr>
                      <w:rFonts w:hint="eastAsia" w:ascii="Times New Roman" w:hAnsi="Times New Roman" w:eastAsia="宋体" w:cs="Times New Roman"/>
                      <w:b/>
                      <w:bCs w:val="0"/>
                      <w:sz w:val="21"/>
                      <w:szCs w:val="21"/>
                      <w:u w:val="single"/>
                      <w:lang w:val="en-US" w:eastAsia="zh-CN"/>
                    </w:rPr>
                    <w:t>是</w:t>
                  </w:r>
                </w:p>
              </w:tc>
              <w:tc>
                <w:tcPr>
                  <w:tcW w:w="360" w:type="pct"/>
                  <w:noWrap w:val="0"/>
                  <w:tcMar>
                    <w:top w:w="15" w:type="dxa"/>
                    <w:left w:w="15" w:type="dxa"/>
                    <w:right w:w="15" w:type="dxa"/>
                  </w:tcMar>
                  <w:vAlign w:val="center"/>
                </w:tcPr>
                <w:p w14:paraId="740CFDF9">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val="0"/>
                      <w:sz w:val="21"/>
                      <w:szCs w:val="21"/>
                      <w:u w:val="single"/>
                      <w:lang w:val="en-US" w:eastAsia="zh-CN"/>
                    </w:rPr>
                  </w:pPr>
                  <w:r>
                    <w:rPr>
                      <w:rFonts w:hint="eastAsia" w:ascii="Times New Roman" w:hAnsi="Times New Roman" w:eastAsia="宋体" w:cs="Times New Roman"/>
                      <w:b/>
                      <w:bCs w:val="0"/>
                      <w:sz w:val="21"/>
                      <w:szCs w:val="21"/>
                      <w:u w:val="single"/>
                      <w:lang w:val="en-US" w:eastAsia="zh-CN"/>
                    </w:rPr>
                    <w:t>0.0126</w:t>
                  </w:r>
                </w:p>
              </w:tc>
              <w:tc>
                <w:tcPr>
                  <w:tcW w:w="299" w:type="pct"/>
                  <w:noWrap w:val="0"/>
                  <w:tcMar>
                    <w:top w:w="15" w:type="dxa"/>
                    <w:left w:w="15" w:type="dxa"/>
                    <w:right w:w="15" w:type="dxa"/>
                  </w:tcMar>
                  <w:vAlign w:val="center"/>
                </w:tcPr>
                <w:p w14:paraId="54BE30FA">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val="0"/>
                      <w:sz w:val="21"/>
                      <w:szCs w:val="21"/>
                      <w:u w:val="single"/>
                      <w:lang w:val="en-US" w:eastAsia="zh-CN"/>
                    </w:rPr>
                  </w:pPr>
                  <w:r>
                    <w:rPr>
                      <w:rFonts w:hint="eastAsia" w:ascii="Times New Roman" w:hAnsi="Times New Roman" w:eastAsia="宋体" w:cs="Times New Roman"/>
                      <w:b/>
                      <w:bCs w:val="0"/>
                      <w:sz w:val="21"/>
                      <w:szCs w:val="21"/>
                      <w:u w:val="single"/>
                      <w:lang w:val="en-US" w:eastAsia="zh-CN"/>
                    </w:rPr>
                    <w:t>0.0017</w:t>
                  </w:r>
                </w:p>
              </w:tc>
              <w:tc>
                <w:tcPr>
                  <w:tcW w:w="274" w:type="pct"/>
                  <w:noWrap w:val="0"/>
                  <w:tcMar>
                    <w:top w:w="15" w:type="dxa"/>
                    <w:left w:w="15" w:type="dxa"/>
                    <w:right w:w="15" w:type="dxa"/>
                  </w:tcMar>
                  <w:vAlign w:val="center"/>
                </w:tcPr>
                <w:p w14:paraId="5BF0F698">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val="0"/>
                      <w:sz w:val="21"/>
                      <w:szCs w:val="21"/>
                      <w:u w:val="single"/>
                      <w:lang w:val="en-US" w:eastAsia="zh-CN"/>
                    </w:rPr>
                  </w:pPr>
                  <w:r>
                    <w:rPr>
                      <w:rFonts w:hint="eastAsia" w:ascii="Times New Roman" w:hAnsi="Times New Roman" w:eastAsia="宋体" w:cs="Times New Roman"/>
                      <w:b/>
                      <w:bCs w:val="0"/>
                      <w:sz w:val="21"/>
                      <w:szCs w:val="21"/>
                      <w:u w:val="single"/>
                      <w:lang w:val="en-US" w:eastAsia="zh-CN"/>
                    </w:rPr>
                    <w:t>0.0825</w:t>
                  </w:r>
                </w:p>
              </w:tc>
              <w:tc>
                <w:tcPr>
                  <w:tcW w:w="242" w:type="pct"/>
                  <w:vMerge w:val="restart"/>
                  <w:noWrap w:val="0"/>
                  <w:tcMar>
                    <w:top w:w="15" w:type="dxa"/>
                    <w:left w:w="15" w:type="dxa"/>
                    <w:right w:w="15" w:type="dxa"/>
                  </w:tcMar>
                  <w:vAlign w:val="center"/>
                </w:tcPr>
                <w:p w14:paraId="6DEE24AA">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eastAsia="宋体"/>
                      <w:b/>
                      <w:bCs w:val="0"/>
                      <w:sz w:val="21"/>
                      <w:szCs w:val="21"/>
                      <w:u w:val="single"/>
                      <w:lang w:val="en-US" w:eastAsia="zh-CN"/>
                    </w:rPr>
                  </w:pPr>
                  <w:r>
                    <w:rPr>
                      <w:rFonts w:hint="eastAsia"/>
                      <w:b/>
                      <w:bCs w:val="0"/>
                      <w:sz w:val="21"/>
                      <w:szCs w:val="21"/>
                      <w:u w:val="single"/>
                      <w:lang w:val="en-US" w:eastAsia="zh-CN"/>
                    </w:rPr>
                    <w:t>20000</w:t>
                  </w:r>
                </w:p>
              </w:tc>
              <w:tc>
                <w:tcPr>
                  <w:tcW w:w="272" w:type="pct"/>
                  <w:vMerge w:val="restart"/>
                  <w:noWrap w:val="0"/>
                  <w:tcMar>
                    <w:top w:w="15" w:type="dxa"/>
                    <w:left w:w="15" w:type="dxa"/>
                    <w:right w:w="15" w:type="dxa"/>
                  </w:tcMar>
                  <w:vAlign w:val="center"/>
                </w:tcPr>
                <w:p w14:paraId="39156270">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eastAsia="宋体"/>
                      <w:b/>
                      <w:bCs w:val="0"/>
                      <w:sz w:val="21"/>
                      <w:szCs w:val="21"/>
                      <w:u w:val="single"/>
                      <w:lang w:val="en-US" w:eastAsia="zh-CN"/>
                    </w:rPr>
                  </w:pPr>
                  <w:r>
                    <w:rPr>
                      <w:rFonts w:hint="eastAsia"/>
                      <w:b/>
                      <w:bCs w:val="0"/>
                      <w:sz w:val="21"/>
                      <w:szCs w:val="21"/>
                      <w:u w:val="single"/>
                    </w:rPr>
                    <w:t>DA00</w:t>
                  </w:r>
                  <w:r>
                    <w:rPr>
                      <w:rFonts w:hint="eastAsia"/>
                      <w:b/>
                      <w:bCs w:val="0"/>
                      <w:sz w:val="21"/>
                      <w:szCs w:val="21"/>
                      <w:u w:val="single"/>
                      <w:lang w:val="en-US" w:eastAsia="zh-CN"/>
                    </w:rPr>
                    <w:t>5</w:t>
                  </w:r>
                </w:p>
              </w:tc>
            </w:tr>
            <w:tr w14:paraId="0FDBED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8" w:type="pct"/>
                  <w:vMerge w:val="continue"/>
                  <w:noWrap w:val="0"/>
                  <w:tcMar>
                    <w:top w:w="15" w:type="dxa"/>
                    <w:left w:w="15" w:type="dxa"/>
                    <w:right w:w="15" w:type="dxa"/>
                  </w:tcMar>
                  <w:vAlign w:val="center"/>
                </w:tcPr>
                <w:p w14:paraId="047BF60D">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bCs w:val="0"/>
                      <w:sz w:val="21"/>
                      <w:szCs w:val="21"/>
                      <w:u w:val="single"/>
                      <w:lang w:val="en-US" w:eastAsia="zh-CN"/>
                    </w:rPr>
                  </w:pPr>
                </w:p>
              </w:tc>
              <w:tc>
                <w:tcPr>
                  <w:tcW w:w="372" w:type="pct"/>
                  <w:vMerge w:val="continue"/>
                  <w:noWrap w:val="0"/>
                  <w:tcMar>
                    <w:top w:w="15" w:type="dxa"/>
                    <w:left w:w="15" w:type="dxa"/>
                    <w:right w:w="15" w:type="dxa"/>
                  </w:tcMar>
                  <w:vAlign w:val="center"/>
                </w:tcPr>
                <w:p w14:paraId="5D2B904A">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b/>
                      <w:bCs w:val="0"/>
                      <w:kern w:val="0"/>
                      <w:sz w:val="21"/>
                      <w:szCs w:val="21"/>
                      <w:u w:val="single"/>
                      <w:lang w:bidi="ar"/>
                    </w:rPr>
                  </w:pPr>
                </w:p>
              </w:tc>
              <w:tc>
                <w:tcPr>
                  <w:tcW w:w="172" w:type="pct"/>
                  <w:noWrap w:val="0"/>
                  <w:tcMar>
                    <w:top w:w="15" w:type="dxa"/>
                    <w:left w:w="15" w:type="dxa"/>
                    <w:right w:w="15" w:type="dxa"/>
                  </w:tcMar>
                  <w:vAlign w:val="center"/>
                </w:tcPr>
                <w:p w14:paraId="32F25458">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bCs w:val="0"/>
                      <w:sz w:val="21"/>
                      <w:szCs w:val="21"/>
                      <w:u w:val="single"/>
                    </w:rPr>
                  </w:pPr>
                  <w:r>
                    <w:rPr>
                      <w:b/>
                      <w:bCs w:val="0"/>
                      <w:color w:val="auto"/>
                      <w:sz w:val="21"/>
                      <w:szCs w:val="21"/>
                      <w:u w:val="single"/>
                    </w:rPr>
                    <w:t>H</w:t>
                  </w:r>
                  <w:r>
                    <w:rPr>
                      <w:b/>
                      <w:bCs w:val="0"/>
                      <w:color w:val="auto"/>
                      <w:sz w:val="21"/>
                      <w:szCs w:val="21"/>
                      <w:u w:val="single"/>
                      <w:vertAlign w:val="subscript"/>
                    </w:rPr>
                    <w:t>2</w:t>
                  </w:r>
                  <w:r>
                    <w:rPr>
                      <w:b/>
                      <w:bCs w:val="0"/>
                      <w:color w:val="auto"/>
                      <w:sz w:val="21"/>
                      <w:szCs w:val="21"/>
                      <w:u w:val="single"/>
                    </w:rPr>
                    <w:t>S</w:t>
                  </w:r>
                </w:p>
              </w:tc>
              <w:tc>
                <w:tcPr>
                  <w:tcW w:w="239" w:type="pct"/>
                  <w:vMerge w:val="continue"/>
                  <w:noWrap w:val="0"/>
                  <w:tcMar>
                    <w:top w:w="15" w:type="dxa"/>
                    <w:left w:w="15" w:type="dxa"/>
                    <w:right w:w="15" w:type="dxa"/>
                  </w:tcMar>
                  <w:vAlign w:val="center"/>
                </w:tcPr>
                <w:p w14:paraId="3AA11BD7">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bCs w:val="0"/>
                      <w:sz w:val="21"/>
                      <w:szCs w:val="21"/>
                      <w:u w:val="single"/>
                    </w:rPr>
                  </w:pPr>
                </w:p>
              </w:tc>
              <w:tc>
                <w:tcPr>
                  <w:tcW w:w="662" w:type="pct"/>
                  <w:vMerge w:val="continue"/>
                  <w:noWrap w:val="0"/>
                  <w:tcMar>
                    <w:top w:w="15" w:type="dxa"/>
                    <w:left w:w="15" w:type="dxa"/>
                    <w:right w:w="15" w:type="dxa"/>
                  </w:tcMar>
                  <w:vAlign w:val="center"/>
                </w:tcPr>
                <w:p w14:paraId="079FE961">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bCs w:val="0"/>
                      <w:kern w:val="0"/>
                      <w:sz w:val="21"/>
                      <w:szCs w:val="21"/>
                      <w:u w:val="single"/>
                      <w:lang w:bidi="ar"/>
                    </w:rPr>
                  </w:pPr>
                </w:p>
              </w:tc>
              <w:tc>
                <w:tcPr>
                  <w:tcW w:w="245" w:type="pct"/>
                  <w:vMerge w:val="continue"/>
                  <w:noWrap w:val="0"/>
                  <w:tcMar>
                    <w:top w:w="15" w:type="dxa"/>
                    <w:left w:w="15" w:type="dxa"/>
                    <w:right w:w="15" w:type="dxa"/>
                  </w:tcMar>
                  <w:vAlign w:val="center"/>
                </w:tcPr>
                <w:p w14:paraId="7ABCF34A">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val="0"/>
                      <w:sz w:val="21"/>
                      <w:szCs w:val="21"/>
                      <w:u w:val="single"/>
                    </w:rPr>
                  </w:pPr>
                </w:p>
              </w:tc>
              <w:tc>
                <w:tcPr>
                  <w:tcW w:w="300" w:type="pct"/>
                  <w:noWrap w:val="0"/>
                  <w:tcMar>
                    <w:top w:w="15" w:type="dxa"/>
                    <w:left w:w="15" w:type="dxa"/>
                    <w:right w:w="15" w:type="dxa"/>
                  </w:tcMar>
                  <w:vAlign w:val="center"/>
                </w:tcPr>
                <w:p w14:paraId="742EC730">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val="0"/>
                      <w:sz w:val="21"/>
                      <w:szCs w:val="21"/>
                      <w:u w:val="single"/>
                      <w:lang w:val="en-US" w:eastAsia="zh-CN"/>
                    </w:rPr>
                  </w:pPr>
                  <w:r>
                    <w:rPr>
                      <w:rFonts w:hint="eastAsia" w:ascii="Times New Roman" w:hAnsi="Times New Roman" w:eastAsia="宋体" w:cs="Times New Roman"/>
                      <w:b/>
                      <w:bCs w:val="0"/>
                      <w:sz w:val="21"/>
                      <w:szCs w:val="21"/>
                      <w:u w:val="single"/>
                      <w:lang w:val="en-US" w:eastAsia="zh-CN"/>
                    </w:rPr>
                    <w:t>0.0049</w:t>
                  </w:r>
                </w:p>
              </w:tc>
              <w:tc>
                <w:tcPr>
                  <w:tcW w:w="285" w:type="pct"/>
                  <w:noWrap w:val="0"/>
                  <w:tcMar>
                    <w:top w:w="15" w:type="dxa"/>
                    <w:left w:w="15" w:type="dxa"/>
                    <w:right w:w="15" w:type="dxa"/>
                  </w:tcMar>
                  <w:vAlign w:val="center"/>
                </w:tcPr>
                <w:p w14:paraId="167EB075">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val="0"/>
                      <w:sz w:val="21"/>
                      <w:szCs w:val="21"/>
                      <w:u w:val="single"/>
                      <w:lang w:val="en-US" w:eastAsia="zh-CN"/>
                    </w:rPr>
                  </w:pPr>
                  <w:r>
                    <w:rPr>
                      <w:rFonts w:hint="eastAsia" w:ascii="Times New Roman" w:hAnsi="Times New Roman" w:eastAsia="宋体" w:cs="Times New Roman"/>
                      <w:b/>
                      <w:bCs w:val="0"/>
                      <w:sz w:val="21"/>
                      <w:szCs w:val="21"/>
                      <w:u w:val="single"/>
                      <w:lang w:val="en-US" w:eastAsia="zh-CN"/>
                    </w:rPr>
                    <w:t>0.0006</w:t>
                  </w:r>
                </w:p>
              </w:tc>
              <w:tc>
                <w:tcPr>
                  <w:tcW w:w="287" w:type="pct"/>
                  <w:noWrap w:val="0"/>
                  <w:tcMar>
                    <w:top w:w="15" w:type="dxa"/>
                    <w:left w:w="15" w:type="dxa"/>
                    <w:right w:w="15" w:type="dxa"/>
                  </w:tcMar>
                  <w:vAlign w:val="center"/>
                </w:tcPr>
                <w:p w14:paraId="75D26CFA">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val="0"/>
                      <w:sz w:val="21"/>
                      <w:szCs w:val="21"/>
                      <w:u w:val="single"/>
                      <w:lang w:val="en-US" w:eastAsia="zh-CN"/>
                    </w:rPr>
                  </w:pPr>
                  <w:r>
                    <w:rPr>
                      <w:rFonts w:hint="eastAsia" w:ascii="Times New Roman" w:hAnsi="Times New Roman" w:eastAsia="宋体" w:cs="Times New Roman"/>
                      <w:b/>
                      <w:bCs w:val="0"/>
                      <w:sz w:val="21"/>
                      <w:szCs w:val="21"/>
                      <w:u w:val="single"/>
                      <w:lang w:val="en-US" w:eastAsia="zh-CN"/>
                    </w:rPr>
                    <w:t>0.03</w:t>
                  </w:r>
                </w:p>
              </w:tc>
              <w:tc>
                <w:tcPr>
                  <w:tcW w:w="321" w:type="pct"/>
                  <w:vMerge w:val="continue"/>
                  <w:noWrap w:val="0"/>
                  <w:tcMar>
                    <w:top w:w="15" w:type="dxa"/>
                    <w:left w:w="15" w:type="dxa"/>
                    <w:right w:w="15" w:type="dxa"/>
                  </w:tcMar>
                  <w:vAlign w:val="center"/>
                </w:tcPr>
                <w:p w14:paraId="5B313F68">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bCs w:val="0"/>
                      <w:color w:val="auto"/>
                      <w:sz w:val="21"/>
                      <w:szCs w:val="21"/>
                      <w:u w:val="single"/>
                      <w:lang w:val="en-US" w:eastAsia="zh-CN"/>
                    </w:rPr>
                  </w:pPr>
                </w:p>
              </w:tc>
              <w:tc>
                <w:tcPr>
                  <w:tcW w:w="237" w:type="pct"/>
                  <w:vMerge w:val="continue"/>
                  <w:noWrap w:val="0"/>
                  <w:tcMar>
                    <w:top w:w="15" w:type="dxa"/>
                    <w:left w:w="15" w:type="dxa"/>
                    <w:right w:w="15" w:type="dxa"/>
                  </w:tcMar>
                  <w:vAlign w:val="center"/>
                </w:tcPr>
                <w:p w14:paraId="73898D75">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val="0"/>
                      <w:sz w:val="21"/>
                      <w:szCs w:val="21"/>
                      <w:u w:val="single"/>
                    </w:rPr>
                  </w:pPr>
                </w:p>
              </w:tc>
              <w:tc>
                <w:tcPr>
                  <w:tcW w:w="276" w:type="pct"/>
                  <w:vMerge w:val="continue"/>
                  <w:noWrap w:val="0"/>
                  <w:tcMar>
                    <w:top w:w="15" w:type="dxa"/>
                    <w:left w:w="15" w:type="dxa"/>
                    <w:right w:w="15" w:type="dxa"/>
                  </w:tcMar>
                  <w:vAlign w:val="center"/>
                </w:tcPr>
                <w:p w14:paraId="59DE6605">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val="0"/>
                      <w:sz w:val="21"/>
                      <w:szCs w:val="21"/>
                      <w:u w:val="single"/>
                    </w:rPr>
                  </w:pPr>
                </w:p>
              </w:tc>
              <w:tc>
                <w:tcPr>
                  <w:tcW w:w="360" w:type="pct"/>
                  <w:noWrap w:val="0"/>
                  <w:tcMar>
                    <w:top w:w="15" w:type="dxa"/>
                    <w:left w:w="15" w:type="dxa"/>
                    <w:right w:w="15" w:type="dxa"/>
                  </w:tcMar>
                  <w:vAlign w:val="center"/>
                </w:tcPr>
                <w:p w14:paraId="56778F4C">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val="0"/>
                      <w:sz w:val="21"/>
                      <w:szCs w:val="21"/>
                      <w:u w:val="single"/>
                      <w:lang w:val="en-US" w:eastAsia="zh-CN"/>
                    </w:rPr>
                  </w:pPr>
                  <w:r>
                    <w:rPr>
                      <w:rFonts w:hint="eastAsia" w:ascii="Times New Roman" w:hAnsi="Times New Roman" w:eastAsia="宋体" w:cs="Times New Roman"/>
                      <w:b/>
                      <w:bCs w:val="0"/>
                      <w:sz w:val="21"/>
                      <w:szCs w:val="21"/>
                      <w:u w:val="single"/>
                      <w:lang w:val="en-US" w:eastAsia="zh-CN"/>
                    </w:rPr>
                    <w:t>0.0005</w:t>
                  </w:r>
                </w:p>
              </w:tc>
              <w:tc>
                <w:tcPr>
                  <w:tcW w:w="299" w:type="pct"/>
                  <w:noWrap w:val="0"/>
                  <w:tcMar>
                    <w:top w:w="15" w:type="dxa"/>
                    <w:left w:w="15" w:type="dxa"/>
                    <w:right w:w="15" w:type="dxa"/>
                  </w:tcMar>
                  <w:vAlign w:val="center"/>
                </w:tcPr>
                <w:p w14:paraId="6D653CB1">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val="0"/>
                      <w:sz w:val="21"/>
                      <w:szCs w:val="21"/>
                      <w:u w:val="single"/>
                      <w:lang w:val="en-US" w:eastAsia="zh-CN"/>
                    </w:rPr>
                  </w:pPr>
                  <w:r>
                    <w:rPr>
                      <w:rFonts w:hint="eastAsia" w:ascii="Times New Roman" w:hAnsi="Times New Roman" w:eastAsia="宋体" w:cs="Times New Roman"/>
                      <w:b/>
                      <w:bCs w:val="0"/>
                      <w:sz w:val="21"/>
                      <w:szCs w:val="21"/>
                      <w:u w:val="single"/>
                      <w:lang w:val="en-US" w:eastAsia="zh-CN"/>
                    </w:rPr>
                    <w:t>0.00006</w:t>
                  </w:r>
                </w:p>
              </w:tc>
              <w:tc>
                <w:tcPr>
                  <w:tcW w:w="274" w:type="pct"/>
                  <w:noWrap w:val="0"/>
                  <w:tcMar>
                    <w:top w:w="15" w:type="dxa"/>
                    <w:left w:w="15" w:type="dxa"/>
                    <w:right w:w="15" w:type="dxa"/>
                  </w:tcMar>
                  <w:vAlign w:val="center"/>
                </w:tcPr>
                <w:p w14:paraId="6F79FCBD">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val="0"/>
                      <w:sz w:val="21"/>
                      <w:szCs w:val="21"/>
                      <w:u w:val="single"/>
                      <w:lang w:val="en-US" w:eastAsia="zh-CN"/>
                    </w:rPr>
                  </w:pPr>
                  <w:r>
                    <w:rPr>
                      <w:rFonts w:hint="eastAsia" w:ascii="Times New Roman" w:hAnsi="Times New Roman" w:eastAsia="宋体" w:cs="Times New Roman"/>
                      <w:b/>
                      <w:bCs w:val="0"/>
                      <w:sz w:val="21"/>
                      <w:szCs w:val="21"/>
                      <w:u w:val="single"/>
                      <w:lang w:val="en-US" w:eastAsia="zh-CN"/>
                    </w:rPr>
                    <w:t>0.003</w:t>
                  </w:r>
                </w:p>
              </w:tc>
              <w:tc>
                <w:tcPr>
                  <w:tcW w:w="242" w:type="pct"/>
                  <w:vMerge w:val="continue"/>
                  <w:noWrap w:val="0"/>
                  <w:tcMar>
                    <w:top w:w="15" w:type="dxa"/>
                    <w:left w:w="15" w:type="dxa"/>
                    <w:right w:w="15" w:type="dxa"/>
                  </w:tcMar>
                  <w:vAlign w:val="center"/>
                </w:tcPr>
                <w:p w14:paraId="563A80EA">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bCs w:val="0"/>
                      <w:sz w:val="21"/>
                      <w:szCs w:val="21"/>
                      <w:u w:val="single"/>
                    </w:rPr>
                  </w:pPr>
                </w:p>
              </w:tc>
              <w:tc>
                <w:tcPr>
                  <w:tcW w:w="272" w:type="pct"/>
                  <w:vMerge w:val="continue"/>
                  <w:noWrap w:val="0"/>
                  <w:tcMar>
                    <w:top w:w="15" w:type="dxa"/>
                    <w:left w:w="15" w:type="dxa"/>
                    <w:right w:w="15" w:type="dxa"/>
                  </w:tcMar>
                  <w:vAlign w:val="center"/>
                </w:tcPr>
                <w:p w14:paraId="04641EA8">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eastAsia="宋体"/>
                      <w:b/>
                      <w:bCs w:val="0"/>
                      <w:sz w:val="21"/>
                      <w:szCs w:val="21"/>
                      <w:u w:val="single"/>
                      <w:lang w:val="en-US" w:eastAsia="zh-CN"/>
                    </w:rPr>
                  </w:pPr>
                </w:p>
              </w:tc>
            </w:tr>
            <w:tr w14:paraId="18A09F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8" w:type="pct"/>
                  <w:vMerge w:val="continue"/>
                  <w:noWrap w:val="0"/>
                  <w:tcMar>
                    <w:top w:w="15" w:type="dxa"/>
                    <w:left w:w="15" w:type="dxa"/>
                    <w:right w:w="15" w:type="dxa"/>
                  </w:tcMar>
                  <w:vAlign w:val="center"/>
                </w:tcPr>
                <w:p w14:paraId="096015AC">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bCs w:val="0"/>
                      <w:sz w:val="21"/>
                      <w:szCs w:val="21"/>
                      <w:u w:val="single"/>
                      <w:lang w:val="en-US" w:eastAsia="zh-CN"/>
                    </w:rPr>
                  </w:pPr>
                </w:p>
              </w:tc>
              <w:tc>
                <w:tcPr>
                  <w:tcW w:w="372" w:type="pct"/>
                  <w:noWrap w:val="0"/>
                  <w:tcMar>
                    <w:top w:w="15" w:type="dxa"/>
                    <w:left w:w="15" w:type="dxa"/>
                    <w:right w:w="15" w:type="dxa"/>
                  </w:tcMar>
                  <w:vAlign w:val="center"/>
                </w:tcPr>
                <w:p w14:paraId="46CAE784">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eastAsia="宋体"/>
                      <w:b/>
                      <w:bCs w:val="0"/>
                      <w:kern w:val="0"/>
                      <w:sz w:val="21"/>
                      <w:szCs w:val="21"/>
                      <w:u w:val="single"/>
                      <w:lang w:val="en-US" w:eastAsia="zh-CN" w:bidi="ar"/>
                    </w:rPr>
                  </w:pPr>
                  <w:r>
                    <w:rPr>
                      <w:rFonts w:hint="eastAsia"/>
                      <w:b/>
                      <w:bCs w:val="0"/>
                      <w:kern w:val="0"/>
                      <w:sz w:val="21"/>
                      <w:szCs w:val="21"/>
                      <w:u w:val="single"/>
                      <w:lang w:val="en-US" w:eastAsia="zh-CN" w:bidi="ar"/>
                    </w:rPr>
                    <w:t>质检工序</w:t>
                  </w:r>
                </w:p>
              </w:tc>
              <w:tc>
                <w:tcPr>
                  <w:tcW w:w="172" w:type="pct"/>
                  <w:noWrap w:val="0"/>
                  <w:tcMar>
                    <w:top w:w="15" w:type="dxa"/>
                    <w:left w:w="15" w:type="dxa"/>
                    <w:right w:w="15" w:type="dxa"/>
                  </w:tcMar>
                  <w:vAlign w:val="center"/>
                </w:tcPr>
                <w:p w14:paraId="66D3B842">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eastAsia="宋体"/>
                      <w:b/>
                      <w:bCs w:val="0"/>
                      <w:sz w:val="21"/>
                      <w:szCs w:val="21"/>
                      <w:u w:val="single"/>
                      <w:lang w:val="en-US" w:eastAsia="zh-CN"/>
                    </w:rPr>
                  </w:pPr>
                  <w:r>
                    <w:rPr>
                      <w:rFonts w:hint="eastAsia"/>
                      <w:b/>
                      <w:bCs w:val="0"/>
                      <w:sz w:val="21"/>
                      <w:szCs w:val="21"/>
                      <w:u w:val="single"/>
                      <w:lang w:val="en-US" w:eastAsia="zh-CN"/>
                    </w:rPr>
                    <w:t>VOCs</w:t>
                  </w:r>
                </w:p>
              </w:tc>
              <w:tc>
                <w:tcPr>
                  <w:tcW w:w="239" w:type="pct"/>
                  <w:noWrap w:val="0"/>
                  <w:tcMar>
                    <w:top w:w="15" w:type="dxa"/>
                    <w:left w:w="15" w:type="dxa"/>
                    <w:right w:w="15" w:type="dxa"/>
                  </w:tcMar>
                  <w:vAlign w:val="center"/>
                </w:tcPr>
                <w:p w14:paraId="3E876999">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eastAsia="宋体"/>
                      <w:b/>
                      <w:bCs w:val="0"/>
                      <w:sz w:val="21"/>
                      <w:szCs w:val="21"/>
                      <w:u w:val="single"/>
                      <w:lang w:val="en-US" w:eastAsia="zh-CN"/>
                    </w:rPr>
                  </w:pPr>
                  <w:r>
                    <w:rPr>
                      <w:rFonts w:hint="eastAsia"/>
                      <w:b/>
                      <w:bCs w:val="0"/>
                      <w:sz w:val="21"/>
                      <w:szCs w:val="21"/>
                      <w:u w:val="single"/>
                      <w:lang w:val="en-US" w:eastAsia="zh-CN"/>
                    </w:rPr>
                    <w:t>900</w:t>
                  </w:r>
                </w:p>
              </w:tc>
              <w:tc>
                <w:tcPr>
                  <w:tcW w:w="662" w:type="pct"/>
                  <w:noWrap w:val="0"/>
                  <w:tcMar>
                    <w:top w:w="15" w:type="dxa"/>
                    <w:left w:w="15" w:type="dxa"/>
                    <w:right w:w="15" w:type="dxa"/>
                  </w:tcMar>
                  <w:vAlign w:val="center"/>
                </w:tcPr>
                <w:p w14:paraId="3E228E6B">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eastAsia="宋体"/>
                      <w:b/>
                      <w:bCs w:val="0"/>
                      <w:kern w:val="0"/>
                      <w:sz w:val="21"/>
                      <w:szCs w:val="21"/>
                      <w:u w:val="single"/>
                      <w:lang w:val="en-US" w:eastAsia="zh-CN" w:bidi="ar"/>
                    </w:rPr>
                  </w:pPr>
                  <w:r>
                    <w:rPr>
                      <w:rFonts w:hint="eastAsia"/>
                      <w:b/>
                      <w:bCs w:val="0"/>
                      <w:kern w:val="0"/>
                      <w:sz w:val="21"/>
                      <w:szCs w:val="21"/>
                      <w:u w:val="single"/>
                      <w:lang w:val="en-US" w:eastAsia="zh-CN" w:bidi="ar"/>
                    </w:rPr>
                    <w:t>通风橱内进行</w:t>
                  </w:r>
                </w:p>
              </w:tc>
              <w:tc>
                <w:tcPr>
                  <w:tcW w:w="245" w:type="pct"/>
                  <w:noWrap w:val="0"/>
                  <w:tcMar>
                    <w:top w:w="15" w:type="dxa"/>
                    <w:left w:w="15" w:type="dxa"/>
                    <w:right w:w="15" w:type="dxa"/>
                  </w:tcMar>
                  <w:vAlign w:val="center"/>
                </w:tcPr>
                <w:p w14:paraId="035B9241">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val="0"/>
                      <w:sz w:val="21"/>
                      <w:szCs w:val="21"/>
                      <w:u w:val="single"/>
                      <w:lang w:val="en-US" w:eastAsia="zh-CN"/>
                    </w:rPr>
                  </w:pPr>
                  <w:r>
                    <w:rPr>
                      <w:rFonts w:hint="eastAsia" w:ascii="Times New Roman" w:hAnsi="Times New Roman" w:eastAsia="宋体" w:cs="Times New Roman"/>
                      <w:b/>
                      <w:bCs w:val="0"/>
                      <w:sz w:val="21"/>
                      <w:szCs w:val="21"/>
                      <w:u w:val="single"/>
                      <w:lang w:val="en-US" w:eastAsia="zh-CN"/>
                    </w:rPr>
                    <w:t>90</w:t>
                  </w:r>
                </w:p>
              </w:tc>
              <w:tc>
                <w:tcPr>
                  <w:tcW w:w="300" w:type="pct"/>
                  <w:noWrap w:val="0"/>
                  <w:tcMar>
                    <w:top w:w="15" w:type="dxa"/>
                    <w:left w:w="15" w:type="dxa"/>
                    <w:right w:w="15" w:type="dxa"/>
                  </w:tcMar>
                  <w:vAlign w:val="center"/>
                </w:tcPr>
                <w:p w14:paraId="27720D2B">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val="0"/>
                      <w:sz w:val="21"/>
                      <w:szCs w:val="21"/>
                      <w:u w:val="single"/>
                      <w:lang w:val="en-US" w:eastAsia="zh-CN"/>
                    </w:rPr>
                  </w:pPr>
                  <w:r>
                    <w:rPr>
                      <w:rFonts w:hint="eastAsia" w:ascii="Times New Roman" w:hAnsi="Times New Roman" w:eastAsia="宋体" w:cs="Times New Roman"/>
                      <w:b/>
                      <w:bCs w:val="0"/>
                      <w:sz w:val="21"/>
                      <w:szCs w:val="21"/>
                      <w:u w:val="single"/>
                      <w:lang w:val="en-US" w:eastAsia="zh-CN"/>
                    </w:rPr>
                    <w:t>0.0180</w:t>
                  </w:r>
                </w:p>
              </w:tc>
              <w:tc>
                <w:tcPr>
                  <w:tcW w:w="285" w:type="pct"/>
                  <w:noWrap w:val="0"/>
                  <w:tcMar>
                    <w:top w:w="15" w:type="dxa"/>
                    <w:left w:w="15" w:type="dxa"/>
                    <w:right w:w="15" w:type="dxa"/>
                  </w:tcMar>
                  <w:vAlign w:val="center"/>
                </w:tcPr>
                <w:p w14:paraId="53955D3D">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val="0"/>
                      <w:sz w:val="21"/>
                      <w:szCs w:val="21"/>
                      <w:u w:val="single"/>
                      <w:lang w:val="en-US" w:eastAsia="zh-CN"/>
                    </w:rPr>
                  </w:pPr>
                  <w:r>
                    <w:rPr>
                      <w:rFonts w:hint="eastAsia" w:ascii="Times New Roman" w:hAnsi="Times New Roman" w:eastAsia="宋体" w:cs="Times New Roman"/>
                      <w:b/>
                      <w:bCs w:val="0"/>
                      <w:sz w:val="21"/>
                      <w:szCs w:val="21"/>
                      <w:u w:val="single"/>
                      <w:lang w:val="en-US" w:eastAsia="zh-CN"/>
                    </w:rPr>
                    <w:t>0.02</w:t>
                  </w:r>
                </w:p>
              </w:tc>
              <w:tc>
                <w:tcPr>
                  <w:tcW w:w="287" w:type="pct"/>
                  <w:noWrap w:val="0"/>
                  <w:tcMar>
                    <w:top w:w="15" w:type="dxa"/>
                    <w:left w:w="15" w:type="dxa"/>
                    <w:right w:w="15" w:type="dxa"/>
                  </w:tcMar>
                  <w:vAlign w:val="center"/>
                </w:tcPr>
                <w:p w14:paraId="5EF958D3">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val="0"/>
                      <w:sz w:val="21"/>
                      <w:szCs w:val="21"/>
                      <w:u w:val="single"/>
                      <w:lang w:val="en-US" w:eastAsia="zh-CN"/>
                    </w:rPr>
                  </w:pPr>
                  <w:r>
                    <w:rPr>
                      <w:rFonts w:hint="eastAsia" w:ascii="Times New Roman" w:hAnsi="Times New Roman" w:eastAsia="宋体" w:cs="Times New Roman"/>
                      <w:b/>
                      <w:bCs w:val="0"/>
                      <w:sz w:val="21"/>
                      <w:szCs w:val="21"/>
                      <w:u w:val="single"/>
                      <w:lang w:val="en-US" w:eastAsia="zh-CN"/>
                    </w:rPr>
                    <w:t>6.7</w:t>
                  </w:r>
                </w:p>
              </w:tc>
              <w:tc>
                <w:tcPr>
                  <w:tcW w:w="321" w:type="pct"/>
                  <w:noWrap w:val="0"/>
                  <w:tcMar>
                    <w:top w:w="15" w:type="dxa"/>
                    <w:left w:w="15" w:type="dxa"/>
                    <w:right w:w="15" w:type="dxa"/>
                  </w:tcMar>
                  <w:vAlign w:val="center"/>
                </w:tcPr>
                <w:p w14:paraId="502B9469">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bCs w:val="0"/>
                      <w:color w:val="auto"/>
                      <w:sz w:val="21"/>
                      <w:szCs w:val="21"/>
                      <w:u w:val="single"/>
                      <w:lang w:val="en-US" w:eastAsia="zh-CN"/>
                    </w:rPr>
                  </w:pPr>
                  <w:r>
                    <w:rPr>
                      <w:rFonts w:hint="eastAsia"/>
                      <w:b/>
                      <w:bCs w:val="0"/>
                      <w:color w:val="auto"/>
                      <w:sz w:val="21"/>
                      <w:szCs w:val="21"/>
                      <w:u w:val="single"/>
                      <w:lang w:val="en-US" w:eastAsia="zh-CN"/>
                    </w:rPr>
                    <w:t>二级活性炭吸附装置</w:t>
                  </w:r>
                </w:p>
              </w:tc>
              <w:tc>
                <w:tcPr>
                  <w:tcW w:w="237" w:type="pct"/>
                  <w:noWrap w:val="0"/>
                  <w:tcMar>
                    <w:top w:w="15" w:type="dxa"/>
                    <w:left w:w="15" w:type="dxa"/>
                    <w:right w:w="15" w:type="dxa"/>
                  </w:tcMar>
                  <w:vAlign w:val="center"/>
                </w:tcPr>
                <w:p w14:paraId="35605CE1">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val="0"/>
                      <w:sz w:val="21"/>
                      <w:szCs w:val="21"/>
                      <w:u w:val="single"/>
                      <w:lang w:val="en-US" w:eastAsia="zh-CN"/>
                    </w:rPr>
                  </w:pPr>
                  <w:r>
                    <w:rPr>
                      <w:rFonts w:hint="eastAsia" w:ascii="Times New Roman" w:hAnsi="Times New Roman" w:eastAsia="宋体" w:cs="Times New Roman"/>
                      <w:b/>
                      <w:bCs w:val="0"/>
                      <w:sz w:val="21"/>
                      <w:szCs w:val="21"/>
                      <w:u w:val="single"/>
                      <w:lang w:val="en-US" w:eastAsia="zh-CN"/>
                    </w:rPr>
                    <w:t>90</w:t>
                  </w:r>
                </w:p>
              </w:tc>
              <w:tc>
                <w:tcPr>
                  <w:tcW w:w="276" w:type="pct"/>
                  <w:noWrap w:val="0"/>
                  <w:tcMar>
                    <w:top w:w="15" w:type="dxa"/>
                    <w:left w:w="15" w:type="dxa"/>
                    <w:right w:w="15" w:type="dxa"/>
                  </w:tcMar>
                  <w:vAlign w:val="center"/>
                </w:tcPr>
                <w:p w14:paraId="5907862B">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val="0"/>
                      <w:sz w:val="21"/>
                      <w:szCs w:val="21"/>
                      <w:u w:val="single"/>
                    </w:rPr>
                  </w:pPr>
                  <w:r>
                    <w:rPr>
                      <w:rFonts w:hint="eastAsia" w:ascii="Times New Roman" w:hAnsi="Times New Roman" w:eastAsia="宋体" w:cs="Times New Roman"/>
                      <w:b/>
                      <w:bCs w:val="0"/>
                      <w:sz w:val="21"/>
                      <w:szCs w:val="21"/>
                      <w:u w:val="single"/>
                      <w:lang w:val="en-US" w:eastAsia="zh-CN"/>
                    </w:rPr>
                    <w:t>是</w:t>
                  </w:r>
                </w:p>
              </w:tc>
              <w:tc>
                <w:tcPr>
                  <w:tcW w:w="360" w:type="pct"/>
                  <w:noWrap w:val="0"/>
                  <w:tcMar>
                    <w:top w:w="15" w:type="dxa"/>
                    <w:left w:w="15" w:type="dxa"/>
                    <w:right w:w="15" w:type="dxa"/>
                  </w:tcMar>
                  <w:vAlign w:val="center"/>
                </w:tcPr>
                <w:p w14:paraId="63DA309B">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val="0"/>
                      <w:sz w:val="21"/>
                      <w:szCs w:val="21"/>
                      <w:u w:val="single"/>
                      <w:lang w:val="en-US" w:eastAsia="zh-CN"/>
                    </w:rPr>
                  </w:pPr>
                  <w:r>
                    <w:rPr>
                      <w:rFonts w:hint="eastAsia" w:ascii="Times New Roman" w:hAnsi="Times New Roman" w:eastAsia="宋体" w:cs="Times New Roman"/>
                      <w:b/>
                      <w:bCs w:val="0"/>
                      <w:sz w:val="21"/>
                      <w:szCs w:val="21"/>
                      <w:u w:val="single"/>
                      <w:lang w:val="en-US" w:eastAsia="zh-CN"/>
                    </w:rPr>
                    <w:t>0.0018</w:t>
                  </w:r>
                </w:p>
              </w:tc>
              <w:tc>
                <w:tcPr>
                  <w:tcW w:w="299" w:type="pct"/>
                  <w:noWrap w:val="0"/>
                  <w:tcMar>
                    <w:top w:w="15" w:type="dxa"/>
                    <w:left w:w="15" w:type="dxa"/>
                    <w:right w:w="15" w:type="dxa"/>
                  </w:tcMar>
                  <w:vAlign w:val="center"/>
                </w:tcPr>
                <w:p w14:paraId="0FA4D9FB">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val="0"/>
                      <w:sz w:val="21"/>
                      <w:szCs w:val="21"/>
                      <w:u w:val="single"/>
                      <w:lang w:val="en-US" w:eastAsia="zh-CN"/>
                    </w:rPr>
                  </w:pPr>
                  <w:r>
                    <w:rPr>
                      <w:rFonts w:hint="eastAsia" w:ascii="Times New Roman" w:hAnsi="Times New Roman" w:eastAsia="宋体" w:cs="Times New Roman"/>
                      <w:b/>
                      <w:bCs w:val="0"/>
                      <w:sz w:val="21"/>
                      <w:szCs w:val="21"/>
                      <w:u w:val="single"/>
                      <w:lang w:val="en-US" w:eastAsia="zh-CN"/>
                    </w:rPr>
                    <w:t>0.002</w:t>
                  </w:r>
                </w:p>
              </w:tc>
              <w:tc>
                <w:tcPr>
                  <w:tcW w:w="274" w:type="pct"/>
                  <w:noWrap w:val="0"/>
                  <w:tcMar>
                    <w:top w:w="15" w:type="dxa"/>
                    <w:left w:w="15" w:type="dxa"/>
                    <w:right w:w="15" w:type="dxa"/>
                  </w:tcMar>
                  <w:vAlign w:val="center"/>
                </w:tcPr>
                <w:p w14:paraId="7E300F2C">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val="0"/>
                      <w:sz w:val="21"/>
                      <w:szCs w:val="21"/>
                      <w:u w:val="single"/>
                      <w:lang w:val="en-US" w:eastAsia="zh-CN"/>
                    </w:rPr>
                  </w:pPr>
                  <w:r>
                    <w:rPr>
                      <w:rFonts w:hint="eastAsia" w:ascii="Times New Roman" w:hAnsi="Times New Roman" w:eastAsia="宋体" w:cs="Times New Roman"/>
                      <w:b/>
                      <w:bCs w:val="0"/>
                      <w:sz w:val="21"/>
                      <w:szCs w:val="21"/>
                      <w:u w:val="single"/>
                      <w:lang w:val="en-US" w:eastAsia="zh-CN"/>
                    </w:rPr>
                    <w:t>0.67</w:t>
                  </w:r>
                </w:p>
              </w:tc>
              <w:tc>
                <w:tcPr>
                  <w:tcW w:w="242" w:type="pct"/>
                  <w:noWrap w:val="0"/>
                  <w:tcMar>
                    <w:top w:w="15" w:type="dxa"/>
                    <w:left w:w="15" w:type="dxa"/>
                    <w:right w:w="15" w:type="dxa"/>
                  </w:tcMar>
                  <w:vAlign w:val="center"/>
                </w:tcPr>
                <w:p w14:paraId="008E7CB1">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eastAsia="宋体"/>
                      <w:b/>
                      <w:bCs w:val="0"/>
                      <w:sz w:val="21"/>
                      <w:szCs w:val="21"/>
                      <w:u w:val="single"/>
                      <w:lang w:val="en-US" w:eastAsia="zh-CN"/>
                    </w:rPr>
                  </w:pPr>
                  <w:r>
                    <w:rPr>
                      <w:rFonts w:hint="eastAsia"/>
                      <w:b/>
                      <w:bCs w:val="0"/>
                      <w:sz w:val="21"/>
                      <w:szCs w:val="21"/>
                      <w:u w:val="single"/>
                      <w:lang w:val="en-US" w:eastAsia="zh-CN"/>
                    </w:rPr>
                    <w:t>3000</w:t>
                  </w:r>
                </w:p>
              </w:tc>
              <w:tc>
                <w:tcPr>
                  <w:tcW w:w="272" w:type="pct"/>
                  <w:noWrap w:val="0"/>
                  <w:tcMar>
                    <w:top w:w="15" w:type="dxa"/>
                    <w:left w:w="15" w:type="dxa"/>
                    <w:right w:w="15" w:type="dxa"/>
                  </w:tcMar>
                  <w:vAlign w:val="center"/>
                </w:tcPr>
                <w:p w14:paraId="17CDF003">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eastAsia="宋体"/>
                      <w:b/>
                      <w:bCs w:val="0"/>
                      <w:sz w:val="21"/>
                      <w:szCs w:val="21"/>
                      <w:u w:val="single"/>
                      <w:lang w:val="en-US" w:eastAsia="zh-CN"/>
                    </w:rPr>
                  </w:pPr>
                  <w:r>
                    <w:rPr>
                      <w:rFonts w:hint="eastAsia"/>
                      <w:b/>
                      <w:bCs w:val="0"/>
                      <w:sz w:val="21"/>
                      <w:szCs w:val="21"/>
                      <w:u w:val="single"/>
                    </w:rPr>
                    <w:t>DA00</w:t>
                  </w:r>
                  <w:r>
                    <w:rPr>
                      <w:rFonts w:hint="eastAsia"/>
                      <w:b/>
                      <w:bCs w:val="0"/>
                      <w:sz w:val="21"/>
                      <w:szCs w:val="21"/>
                      <w:u w:val="single"/>
                      <w:lang w:val="en-US" w:eastAsia="zh-CN"/>
                    </w:rPr>
                    <w:t>6</w:t>
                  </w:r>
                </w:p>
              </w:tc>
            </w:tr>
            <w:tr w14:paraId="2E4C22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8" w:type="pct"/>
                  <w:vMerge w:val="continue"/>
                  <w:noWrap w:val="0"/>
                  <w:tcMar>
                    <w:top w:w="15" w:type="dxa"/>
                    <w:left w:w="15" w:type="dxa"/>
                    <w:right w:w="15" w:type="dxa"/>
                  </w:tcMar>
                  <w:vAlign w:val="center"/>
                </w:tcPr>
                <w:p w14:paraId="0AA2797C">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bCs w:val="0"/>
                      <w:sz w:val="21"/>
                      <w:szCs w:val="21"/>
                      <w:u w:val="single"/>
                      <w:lang w:val="en-US" w:eastAsia="zh-CN"/>
                    </w:rPr>
                  </w:pPr>
                </w:p>
              </w:tc>
              <w:tc>
                <w:tcPr>
                  <w:tcW w:w="372" w:type="pct"/>
                  <w:noWrap w:val="0"/>
                  <w:tcMar>
                    <w:top w:w="15" w:type="dxa"/>
                    <w:left w:w="15" w:type="dxa"/>
                    <w:right w:w="15" w:type="dxa"/>
                  </w:tcMar>
                  <w:vAlign w:val="center"/>
                </w:tcPr>
                <w:p w14:paraId="1E353885">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eastAsia="宋体"/>
                      <w:b/>
                      <w:bCs w:val="0"/>
                      <w:kern w:val="0"/>
                      <w:sz w:val="21"/>
                      <w:szCs w:val="21"/>
                      <w:u w:val="single"/>
                      <w:lang w:val="en-US" w:eastAsia="zh-CN" w:bidi="ar"/>
                    </w:rPr>
                  </w:pPr>
                  <w:r>
                    <w:rPr>
                      <w:rFonts w:hint="eastAsia"/>
                      <w:b/>
                      <w:bCs w:val="0"/>
                      <w:kern w:val="0"/>
                      <w:sz w:val="21"/>
                      <w:szCs w:val="21"/>
                      <w:u w:val="single"/>
                      <w:lang w:val="en-US" w:eastAsia="zh-CN" w:bidi="ar"/>
                    </w:rPr>
                    <w:t>食堂</w:t>
                  </w:r>
                </w:p>
              </w:tc>
              <w:tc>
                <w:tcPr>
                  <w:tcW w:w="172" w:type="pct"/>
                  <w:noWrap w:val="0"/>
                  <w:tcMar>
                    <w:top w:w="15" w:type="dxa"/>
                    <w:left w:w="15" w:type="dxa"/>
                    <w:right w:w="15" w:type="dxa"/>
                  </w:tcMar>
                  <w:vAlign w:val="center"/>
                </w:tcPr>
                <w:p w14:paraId="60B8393F">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eastAsia="宋体"/>
                      <w:b/>
                      <w:bCs w:val="0"/>
                      <w:sz w:val="21"/>
                      <w:szCs w:val="21"/>
                      <w:u w:val="single"/>
                      <w:lang w:val="en-US" w:eastAsia="zh-CN"/>
                    </w:rPr>
                  </w:pPr>
                  <w:r>
                    <w:rPr>
                      <w:rFonts w:hint="eastAsia"/>
                      <w:b/>
                      <w:bCs w:val="0"/>
                      <w:sz w:val="21"/>
                      <w:szCs w:val="21"/>
                      <w:u w:val="single"/>
                      <w:lang w:val="en-US" w:eastAsia="zh-CN"/>
                    </w:rPr>
                    <w:t>油烟</w:t>
                  </w:r>
                </w:p>
              </w:tc>
              <w:tc>
                <w:tcPr>
                  <w:tcW w:w="239" w:type="pct"/>
                  <w:noWrap w:val="0"/>
                  <w:tcMar>
                    <w:top w:w="15" w:type="dxa"/>
                    <w:left w:w="15" w:type="dxa"/>
                    <w:right w:w="15" w:type="dxa"/>
                  </w:tcMar>
                  <w:vAlign w:val="center"/>
                </w:tcPr>
                <w:p w14:paraId="6219D537">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eastAsia="宋体"/>
                      <w:b/>
                      <w:bCs w:val="0"/>
                      <w:sz w:val="21"/>
                      <w:szCs w:val="21"/>
                      <w:u w:val="single"/>
                      <w:lang w:val="en-US" w:eastAsia="zh-CN"/>
                    </w:rPr>
                  </w:pPr>
                  <w:r>
                    <w:rPr>
                      <w:rFonts w:hint="eastAsia"/>
                      <w:b/>
                      <w:bCs w:val="0"/>
                      <w:sz w:val="21"/>
                      <w:szCs w:val="21"/>
                      <w:u w:val="single"/>
                      <w:lang w:val="en-US" w:eastAsia="zh-CN"/>
                    </w:rPr>
                    <w:t>960</w:t>
                  </w:r>
                </w:p>
              </w:tc>
              <w:tc>
                <w:tcPr>
                  <w:tcW w:w="662" w:type="pct"/>
                  <w:noWrap w:val="0"/>
                  <w:tcMar>
                    <w:top w:w="15" w:type="dxa"/>
                    <w:left w:w="15" w:type="dxa"/>
                    <w:right w:w="15" w:type="dxa"/>
                  </w:tcMar>
                  <w:vAlign w:val="center"/>
                </w:tcPr>
                <w:p w14:paraId="3A015938">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eastAsia="宋体"/>
                      <w:b/>
                      <w:bCs w:val="0"/>
                      <w:kern w:val="0"/>
                      <w:sz w:val="21"/>
                      <w:szCs w:val="21"/>
                      <w:u w:val="single"/>
                      <w:lang w:val="en-US" w:eastAsia="zh-CN" w:bidi="ar"/>
                    </w:rPr>
                  </w:pPr>
                  <w:r>
                    <w:rPr>
                      <w:rFonts w:hint="eastAsia"/>
                      <w:b/>
                      <w:bCs w:val="0"/>
                      <w:kern w:val="0"/>
                      <w:sz w:val="21"/>
                      <w:szCs w:val="21"/>
                      <w:u w:val="single"/>
                      <w:lang w:val="en-US" w:eastAsia="zh-CN" w:bidi="ar"/>
                    </w:rPr>
                    <w:t>/</w:t>
                  </w:r>
                </w:p>
              </w:tc>
              <w:tc>
                <w:tcPr>
                  <w:tcW w:w="245" w:type="pct"/>
                  <w:noWrap w:val="0"/>
                  <w:tcMar>
                    <w:top w:w="15" w:type="dxa"/>
                    <w:left w:w="15" w:type="dxa"/>
                    <w:right w:w="15" w:type="dxa"/>
                  </w:tcMar>
                  <w:vAlign w:val="center"/>
                </w:tcPr>
                <w:p w14:paraId="784EF8EC">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val="0"/>
                      <w:sz w:val="21"/>
                      <w:szCs w:val="21"/>
                      <w:u w:val="single"/>
                      <w:lang w:val="en-US" w:eastAsia="zh-CN"/>
                    </w:rPr>
                  </w:pPr>
                  <w:r>
                    <w:rPr>
                      <w:rFonts w:hint="eastAsia" w:ascii="Times New Roman" w:hAnsi="Times New Roman" w:eastAsia="宋体" w:cs="Times New Roman"/>
                      <w:b/>
                      <w:bCs w:val="0"/>
                      <w:sz w:val="21"/>
                      <w:szCs w:val="21"/>
                      <w:u w:val="single"/>
                      <w:lang w:val="en-US" w:eastAsia="zh-CN"/>
                    </w:rPr>
                    <w:t>/</w:t>
                  </w:r>
                </w:p>
              </w:tc>
              <w:tc>
                <w:tcPr>
                  <w:tcW w:w="300" w:type="pct"/>
                  <w:noWrap w:val="0"/>
                  <w:tcMar>
                    <w:top w:w="15" w:type="dxa"/>
                    <w:left w:w="15" w:type="dxa"/>
                    <w:right w:w="15" w:type="dxa"/>
                  </w:tcMar>
                  <w:vAlign w:val="center"/>
                </w:tcPr>
                <w:p w14:paraId="7D8718D4">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val="0"/>
                      <w:sz w:val="21"/>
                      <w:szCs w:val="21"/>
                      <w:u w:val="single"/>
                      <w:lang w:val="en-US" w:eastAsia="zh-CN"/>
                    </w:rPr>
                  </w:pPr>
                  <w:r>
                    <w:rPr>
                      <w:rFonts w:hint="eastAsia" w:ascii="Times New Roman" w:hAnsi="Times New Roman" w:eastAsia="宋体" w:cs="Times New Roman"/>
                      <w:b/>
                      <w:bCs w:val="0"/>
                      <w:sz w:val="21"/>
                      <w:szCs w:val="21"/>
                      <w:u w:val="single"/>
                      <w:lang w:val="en-US" w:eastAsia="zh-CN"/>
                    </w:rPr>
                    <w:t>0.0096</w:t>
                  </w:r>
                </w:p>
              </w:tc>
              <w:tc>
                <w:tcPr>
                  <w:tcW w:w="285" w:type="pct"/>
                  <w:noWrap w:val="0"/>
                  <w:tcMar>
                    <w:top w:w="15" w:type="dxa"/>
                    <w:left w:w="15" w:type="dxa"/>
                    <w:right w:w="15" w:type="dxa"/>
                  </w:tcMar>
                  <w:vAlign w:val="center"/>
                </w:tcPr>
                <w:p w14:paraId="1D8823DA">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val="0"/>
                      <w:sz w:val="21"/>
                      <w:szCs w:val="21"/>
                      <w:u w:val="single"/>
                      <w:lang w:val="en-US" w:eastAsia="zh-CN"/>
                    </w:rPr>
                  </w:pPr>
                  <w:r>
                    <w:rPr>
                      <w:rFonts w:hint="eastAsia" w:ascii="Times New Roman" w:hAnsi="Times New Roman" w:eastAsia="宋体" w:cs="Times New Roman"/>
                      <w:b/>
                      <w:bCs w:val="0"/>
                      <w:sz w:val="21"/>
                      <w:szCs w:val="21"/>
                      <w:u w:val="single"/>
                      <w:lang w:val="en-US" w:eastAsia="zh-CN"/>
                    </w:rPr>
                    <w:t>0.01</w:t>
                  </w:r>
                </w:p>
              </w:tc>
              <w:tc>
                <w:tcPr>
                  <w:tcW w:w="287" w:type="pct"/>
                  <w:noWrap w:val="0"/>
                  <w:tcMar>
                    <w:top w:w="15" w:type="dxa"/>
                    <w:left w:w="15" w:type="dxa"/>
                    <w:right w:w="15" w:type="dxa"/>
                  </w:tcMar>
                  <w:vAlign w:val="center"/>
                </w:tcPr>
                <w:p w14:paraId="5C7CD1AD">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val="0"/>
                      <w:sz w:val="21"/>
                      <w:szCs w:val="21"/>
                      <w:u w:val="single"/>
                      <w:lang w:val="en-US" w:eastAsia="zh-CN"/>
                    </w:rPr>
                  </w:pPr>
                  <w:r>
                    <w:rPr>
                      <w:rFonts w:hint="eastAsia" w:ascii="Times New Roman" w:hAnsi="Times New Roman" w:eastAsia="宋体" w:cs="Times New Roman"/>
                      <w:b/>
                      <w:bCs w:val="0"/>
                      <w:sz w:val="21"/>
                      <w:szCs w:val="21"/>
                      <w:u w:val="single"/>
                      <w:lang w:val="en-US" w:eastAsia="zh-CN"/>
                    </w:rPr>
                    <w:t>3.3</w:t>
                  </w:r>
                </w:p>
              </w:tc>
              <w:tc>
                <w:tcPr>
                  <w:tcW w:w="321" w:type="pct"/>
                  <w:noWrap w:val="0"/>
                  <w:tcMar>
                    <w:top w:w="15" w:type="dxa"/>
                    <w:left w:w="15" w:type="dxa"/>
                    <w:right w:w="15" w:type="dxa"/>
                  </w:tcMar>
                  <w:vAlign w:val="center"/>
                </w:tcPr>
                <w:p w14:paraId="1BC3D283">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b/>
                      <w:bCs w:val="0"/>
                      <w:color w:val="auto"/>
                      <w:sz w:val="21"/>
                      <w:szCs w:val="21"/>
                      <w:u w:val="single"/>
                      <w:lang w:val="en-US" w:eastAsia="zh-CN"/>
                    </w:rPr>
                  </w:pPr>
                  <w:r>
                    <w:rPr>
                      <w:rFonts w:hint="eastAsia"/>
                      <w:b/>
                      <w:bCs w:val="0"/>
                      <w:color w:val="auto"/>
                      <w:sz w:val="21"/>
                      <w:szCs w:val="21"/>
                      <w:u w:val="single"/>
                      <w:lang w:val="en-US" w:eastAsia="zh-CN"/>
                    </w:rPr>
                    <w:t>油烟净化装置</w:t>
                  </w:r>
                </w:p>
              </w:tc>
              <w:tc>
                <w:tcPr>
                  <w:tcW w:w="237" w:type="pct"/>
                  <w:noWrap w:val="0"/>
                  <w:tcMar>
                    <w:top w:w="15" w:type="dxa"/>
                    <w:left w:w="15" w:type="dxa"/>
                    <w:right w:w="15" w:type="dxa"/>
                  </w:tcMar>
                  <w:vAlign w:val="center"/>
                </w:tcPr>
                <w:p w14:paraId="1D13D2E6">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val="0"/>
                      <w:sz w:val="21"/>
                      <w:szCs w:val="21"/>
                      <w:u w:val="single"/>
                      <w:lang w:val="en-US" w:eastAsia="zh-CN"/>
                    </w:rPr>
                  </w:pPr>
                  <w:r>
                    <w:rPr>
                      <w:rFonts w:hint="eastAsia" w:ascii="Times New Roman" w:hAnsi="Times New Roman" w:eastAsia="宋体" w:cs="Times New Roman"/>
                      <w:b/>
                      <w:bCs w:val="0"/>
                      <w:sz w:val="21"/>
                      <w:szCs w:val="21"/>
                      <w:u w:val="single"/>
                      <w:lang w:val="en-US" w:eastAsia="zh-CN"/>
                    </w:rPr>
                    <w:t>75</w:t>
                  </w:r>
                </w:p>
              </w:tc>
              <w:tc>
                <w:tcPr>
                  <w:tcW w:w="276" w:type="pct"/>
                  <w:noWrap w:val="0"/>
                  <w:tcMar>
                    <w:top w:w="15" w:type="dxa"/>
                    <w:left w:w="15" w:type="dxa"/>
                    <w:right w:w="15" w:type="dxa"/>
                  </w:tcMar>
                  <w:vAlign w:val="center"/>
                </w:tcPr>
                <w:p w14:paraId="40C2B5EB">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val="0"/>
                      <w:sz w:val="21"/>
                      <w:szCs w:val="21"/>
                      <w:u w:val="single"/>
                    </w:rPr>
                  </w:pPr>
                  <w:r>
                    <w:rPr>
                      <w:rFonts w:hint="eastAsia" w:ascii="Times New Roman" w:hAnsi="Times New Roman" w:eastAsia="宋体" w:cs="Times New Roman"/>
                      <w:b/>
                      <w:bCs w:val="0"/>
                      <w:sz w:val="21"/>
                      <w:szCs w:val="21"/>
                      <w:u w:val="single"/>
                      <w:lang w:val="en-US" w:eastAsia="zh-CN"/>
                    </w:rPr>
                    <w:t>是</w:t>
                  </w:r>
                </w:p>
              </w:tc>
              <w:tc>
                <w:tcPr>
                  <w:tcW w:w="360" w:type="pct"/>
                  <w:noWrap w:val="0"/>
                  <w:tcMar>
                    <w:top w:w="15" w:type="dxa"/>
                    <w:left w:w="15" w:type="dxa"/>
                    <w:right w:w="15" w:type="dxa"/>
                  </w:tcMar>
                  <w:vAlign w:val="center"/>
                </w:tcPr>
                <w:p w14:paraId="447861C0">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val="0"/>
                      <w:sz w:val="21"/>
                      <w:szCs w:val="21"/>
                      <w:u w:val="single"/>
                      <w:lang w:val="en-US" w:eastAsia="zh-CN"/>
                    </w:rPr>
                  </w:pPr>
                  <w:r>
                    <w:rPr>
                      <w:rFonts w:hint="eastAsia" w:ascii="Times New Roman" w:hAnsi="Times New Roman" w:eastAsia="宋体" w:cs="Times New Roman"/>
                      <w:b/>
                      <w:bCs w:val="0"/>
                      <w:sz w:val="21"/>
                      <w:szCs w:val="21"/>
                      <w:u w:val="single"/>
                      <w:lang w:val="en-US" w:eastAsia="zh-CN"/>
                    </w:rPr>
                    <w:t>0.0024</w:t>
                  </w:r>
                </w:p>
              </w:tc>
              <w:tc>
                <w:tcPr>
                  <w:tcW w:w="299" w:type="pct"/>
                  <w:noWrap w:val="0"/>
                  <w:tcMar>
                    <w:top w:w="15" w:type="dxa"/>
                    <w:left w:w="15" w:type="dxa"/>
                    <w:right w:w="15" w:type="dxa"/>
                  </w:tcMar>
                  <w:vAlign w:val="center"/>
                </w:tcPr>
                <w:p w14:paraId="4D33C2CD">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val="0"/>
                      <w:sz w:val="21"/>
                      <w:szCs w:val="21"/>
                      <w:u w:val="single"/>
                      <w:lang w:val="en-US" w:eastAsia="zh-CN"/>
                    </w:rPr>
                  </w:pPr>
                  <w:r>
                    <w:rPr>
                      <w:rFonts w:hint="eastAsia" w:ascii="Times New Roman" w:hAnsi="Times New Roman" w:eastAsia="宋体" w:cs="Times New Roman"/>
                      <w:b/>
                      <w:bCs w:val="0"/>
                      <w:sz w:val="21"/>
                      <w:szCs w:val="21"/>
                      <w:u w:val="single"/>
                      <w:lang w:val="en-US" w:eastAsia="zh-CN"/>
                    </w:rPr>
                    <w:t>0.0025</w:t>
                  </w:r>
                </w:p>
              </w:tc>
              <w:tc>
                <w:tcPr>
                  <w:tcW w:w="274" w:type="pct"/>
                  <w:noWrap w:val="0"/>
                  <w:tcMar>
                    <w:top w:w="15" w:type="dxa"/>
                    <w:left w:w="15" w:type="dxa"/>
                    <w:right w:w="15" w:type="dxa"/>
                  </w:tcMar>
                  <w:vAlign w:val="center"/>
                </w:tcPr>
                <w:p w14:paraId="554C4A30">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val="0"/>
                      <w:sz w:val="21"/>
                      <w:szCs w:val="21"/>
                      <w:u w:val="single"/>
                      <w:lang w:val="en-US" w:eastAsia="zh-CN"/>
                    </w:rPr>
                  </w:pPr>
                  <w:r>
                    <w:rPr>
                      <w:rFonts w:hint="eastAsia" w:ascii="Times New Roman" w:hAnsi="Times New Roman" w:eastAsia="宋体" w:cs="Times New Roman"/>
                      <w:b/>
                      <w:bCs w:val="0"/>
                      <w:sz w:val="21"/>
                      <w:szCs w:val="21"/>
                      <w:u w:val="single"/>
                      <w:lang w:val="en-US" w:eastAsia="zh-CN"/>
                    </w:rPr>
                    <w:t>0.8</w:t>
                  </w:r>
                </w:p>
              </w:tc>
              <w:tc>
                <w:tcPr>
                  <w:tcW w:w="242" w:type="pct"/>
                  <w:noWrap w:val="0"/>
                  <w:tcMar>
                    <w:top w:w="15" w:type="dxa"/>
                    <w:left w:w="15" w:type="dxa"/>
                    <w:right w:w="15" w:type="dxa"/>
                  </w:tcMar>
                  <w:vAlign w:val="center"/>
                </w:tcPr>
                <w:p w14:paraId="5E4B1BBA">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eastAsia="宋体"/>
                      <w:b/>
                      <w:bCs w:val="0"/>
                      <w:sz w:val="21"/>
                      <w:szCs w:val="21"/>
                      <w:u w:val="single"/>
                      <w:lang w:val="en-US" w:eastAsia="zh-CN"/>
                    </w:rPr>
                  </w:pPr>
                  <w:r>
                    <w:rPr>
                      <w:rFonts w:hint="eastAsia"/>
                      <w:b/>
                      <w:bCs w:val="0"/>
                      <w:sz w:val="21"/>
                      <w:szCs w:val="21"/>
                      <w:u w:val="single"/>
                      <w:lang w:val="en-US" w:eastAsia="zh-CN"/>
                    </w:rPr>
                    <w:t>3000</w:t>
                  </w:r>
                </w:p>
              </w:tc>
              <w:tc>
                <w:tcPr>
                  <w:tcW w:w="272" w:type="pct"/>
                  <w:noWrap w:val="0"/>
                  <w:tcMar>
                    <w:top w:w="15" w:type="dxa"/>
                    <w:left w:w="15" w:type="dxa"/>
                    <w:right w:w="15" w:type="dxa"/>
                  </w:tcMar>
                  <w:vAlign w:val="center"/>
                </w:tcPr>
                <w:p w14:paraId="079BE105">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bCs w:val="0"/>
                      <w:sz w:val="21"/>
                      <w:szCs w:val="21"/>
                      <w:u w:val="single"/>
                    </w:rPr>
                  </w:pPr>
                  <w:r>
                    <w:rPr>
                      <w:rFonts w:hint="eastAsia"/>
                      <w:b/>
                      <w:bCs w:val="0"/>
                      <w:sz w:val="21"/>
                      <w:szCs w:val="21"/>
                      <w:u w:val="single"/>
                    </w:rPr>
                    <w:t>DA00</w:t>
                  </w:r>
                  <w:r>
                    <w:rPr>
                      <w:rFonts w:hint="eastAsia"/>
                      <w:b/>
                      <w:bCs w:val="0"/>
                      <w:sz w:val="21"/>
                      <w:szCs w:val="21"/>
                      <w:u w:val="single"/>
                      <w:lang w:val="en-US" w:eastAsia="zh-CN"/>
                    </w:rPr>
                    <w:t>7</w:t>
                  </w:r>
                </w:p>
              </w:tc>
            </w:tr>
            <w:tr w14:paraId="28E3C2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8" w:type="pct"/>
                  <w:vMerge w:val="restart"/>
                  <w:noWrap w:val="0"/>
                  <w:tcMar>
                    <w:top w:w="15" w:type="dxa"/>
                    <w:left w:w="15" w:type="dxa"/>
                    <w:right w:w="15" w:type="dxa"/>
                  </w:tcMar>
                  <w:vAlign w:val="center"/>
                </w:tcPr>
                <w:p w14:paraId="06565FCA">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b/>
                      <w:bCs w:val="0"/>
                      <w:kern w:val="0"/>
                      <w:sz w:val="21"/>
                      <w:szCs w:val="21"/>
                      <w:u w:val="single"/>
                      <w:lang w:bidi="ar"/>
                    </w:rPr>
                  </w:pPr>
                  <w:r>
                    <w:rPr>
                      <w:rFonts w:hint="eastAsia"/>
                      <w:b/>
                      <w:bCs w:val="0"/>
                      <w:kern w:val="0"/>
                      <w:sz w:val="21"/>
                      <w:szCs w:val="21"/>
                      <w:u w:val="single"/>
                      <w:lang w:bidi="ar"/>
                    </w:rPr>
                    <w:t>无组织</w:t>
                  </w:r>
                </w:p>
              </w:tc>
              <w:tc>
                <w:tcPr>
                  <w:tcW w:w="372" w:type="pct"/>
                  <w:noWrap w:val="0"/>
                  <w:tcMar>
                    <w:top w:w="15" w:type="dxa"/>
                    <w:left w:w="15" w:type="dxa"/>
                    <w:right w:w="15" w:type="dxa"/>
                  </w:tcMar>
                  <w:vAlign w:val="center"/>
                </w:tcPr>
                <w:p w14:paraId="1FE5961D">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b w:val="0"/>
                      <w:bCs/>
                      <w:sz w:val="21"/>
                      <w:szCs w:val="21"/>
                      <w:u w:val="none"/>
                    </w:rPr>
                  </w:pPr>
                  <w:r>
                    <w:rPr>
                      <w:rFonts w:hint="eastAsia"/>
                      <w:b w:val="0"/>
                      <w:bCs/>
                      <w:sz w:val="21"/>
                      <w:szCs w:val="21"/>
                      <w:u w:val="none"/>
                      <w:lang w:val="en-US" w:eastAsia="zh-CN"/>
                    </w:rPr>
                    <w:t>生产过程中药材异味</w:t>
                  </w:r>
                </w:p>
              </w:tc>
              <w:tc>
                <w:tcPr>
                  <w:tcW w:w="172" w:type="pct"/>
                  <w:noWrap w:val="0"/>
                  <w:tcMar>
                    <w:top w:w="15" w:type="dxa"/>
                    <w:left w:w="15" w:type="dxa"/>
                    <w:right w:w="15" w:type="dxa"/>
                  </w:tcMar>
                  <w:vAlign w:val="center"/>
                </w:tcPr>
                <w:p w14:paraId="557846F8">
                  <w:pPr>
                    <w:keepNext w:val="0"/>
                    <w:keepLines w:val="0"/>
                    <w:pageBreakBefore w:val="0"/>
                    <w:kinsoku/>
                    <w:wordWrap w:val="0"/>
                    <w:overflowPunct/>
                    <w:topLinePunct w:val="0"/>
                    <w:autoSpaceDE/>
                    <w:autoSpaceDN/>
                    <w:bidi w:val="0"/>
                    <w:adjustRightInd/>
                    <w:snapToGrid/>
                    <w:spacing w:line="240" w:lineRule="auto"/>
                    <w:ind w:firstLine="0" w:firstLineChars="0"/>
                    <w:jc w:val="center"/>
                    <w:rPr>
                      <w:rFonts w:hint="eastAsia" w:eastAsia="宋体"/>
                      <w:b w:val="0"/>
                      <w:bCs/>
                      <w:sz w:val="21"/>
                      <w:szCs w:val="21"/>
                      <w:u w:val="none"/>
                      <w:lang w:val="en-US" w:eastAsia="zh-CN"/>
                    </w:rPr>
                  </w:pPr>
                  <w:r>
                    <w:rPr>
                      <w:rFonts w:hint="eastAsia"/>
                      <w:b w:val="0"/>
                      <w:bCs/>
                      <w:sz w:val="21"/>
                      <w:szCs w:val="21"/>
                      <w:u w:val="none"/>
                      <w:lang w:val="en-US" w:eastAsia="zh-CN"/>
                    </w:rPr>
                    <w:t>臭气浓度</w:t>
                  </w:r>
                </w:p>
              </w:tc>
              <w:tc>
                <w:tcPr>
                  <w:tcW w:w="239" w:type="pct"/>
                  <w:noWrap w:val="0"/>
                  <w:tcMar>
                    <w:top w:w="15" w:type="dxa"/>
                    <w:left w:w="15" w:type="dxa"/>
                    <w:right w:w="15" w:type="dxa"/>
                  </w:tcMar>
                  <w:vAlign w:val="center"/>
                </w:tcPr>
                <w:p w14:paraId="129CFF83">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eastAsia="宋体"/>
                      <w:b w:val="0"/>
                      <w:bCs/>
                      <w:sz w:val="21"/>
                      <w:szCs w:val="21"/>
                      <w:u w:val="none"/>
                      <w:lang w:eastAsia="zh-CN"/>
                    </w:rPr>
                  </w:pPr>
                  <w:r>
                    <w:rPr>
                      <w:rFonts w:hint="eastAsia"/>
                      <w:b w:val="0"/>
                      <w:bCs/>
                      <w:sz w:val="21"/>
                      <w:szCs w:val="21"/>
                      <w:u w:val="none"/>
                      <w:lang w:val="en-US" w:eastAsia="zh-CN"/>
                    </w:rPr>
                    <w:t>/</w:t>
                  </w:r>
                </w:p>
              </w:tc>
              <w:tc>
                <w:tcPr>
                  <w:tcW w:w="662" w:type="pct"/>
                  <w:noWrap w:val="0"/>
                  <w:tcMar>
                    <w:top w:w="15" w:type="dxa"/>
                    <w:left w:w="15" w:type="dxa"/>
                    <w:right w:w="15" w:type="dxa"/>
                  </w:tcMar>
                  <w:vAlign w:val="center"/>
                </w:tcPr>
                <w:p w14:paraId="3086C0EF">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val="0"/>
                      <w:bCs/>
                      <w:kern w:val="0"/>
                      <w:sz w:val="21"/>
                      <w:szCs w:val="21"/>
                      <w:u w:val="none"/>
                      <w:lang w:bidi="ar"/>
                    </w:rPr>
                  </w:pPr>
                  <w:r>
                    <w:rPr>
                      <w:rFonts w:hint="eastAsia"/>
                      <w:b w:val="0"/>
                      <w:bCs/>
                      <w:kern w:val="0"/>
                      <w:sz w:val="21"/>
                      <w:szCs w:val="21"/>
                      <w:u w:val="none"/>
                      <w:lang w:bidi="ar"/>
                    </w:rPr>
                    <w:t>/</w:t>
                  </w:r>
                </w:p>
              </w:tc>
              <w:tc>
                <w:tcPr>
                  <w:tcW w:w="245" w:type="pct"/>
                  <w:noWrap w:val="0"/>
                  <w:tcMar>
                    <w:top w:w="15" w:type="dxa"/>
                    <w:left w:w="15" w:type="dxa"/>
                    <w:right w:w="15" w:type="dxa"/>
                  </w:tcMar>
                  <w:vAlign w:val="center"/>
                </w:tcPr>
                <w:p w14:paraId="16087F4A">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val="0"/>
                      <w:bCs/>
                      <w:kern w:val="0"/>
                      <w:sz w:val="21"/>
                      <w:szCs w:val="21"/>
                      <w:u w:val="none"/>
                      <w:lang w:bidi="ar"/>
                    </w:rPr>
                  </w:pPr>
                  <w:r>
                    <w:rPr>
                      <w:rFonts w:hint="eastAsia"/>
                      <w:b w:val="0"/>
                      <w:bCs/>
                      <w:kern w:val="0"/>
                      <w:sz w:val="21"/>
                      <w:szCs w:val="21"/>
                      <w:u w:val="none"/>
                      <w:lang w:bidi="ar"/>
                    </w:rPr>
                    <w:t>/</w:t>
                  </w:r>
                </w:p>
              </w:tc>
              <w:tc>
                <w:tcPr>
                  <w:tcW w:w="300" w:type="pct"/>
                  <w:shd w:val="clear" w:color="auto" w:fill="auto"/>
                  <w:noWrap w:val="0"/>
                  <w:tcMar>
                    <w:top w:w="15" w:type="dxa"/>
                    <w:left w:w="15" w:type="dxa"/>
                    <w:right w:w="15" w:type="dxa"/>
                  </w:tcMar>
                  <w:vAlign w:val="center"/>
                </w:tcPr>
                <w:p w14:paraId="159AF145">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kern w:val="0"/>
                      <w:sz w:val="21"/>
                      <w:szCs w:val="21"/>
                      <w:u w:val="none"/>
                      <w:lang w:val="en-US" w:eastAsia="zh-CN" w:bidi="ar"/>
                    </w:rPr>
                  </w:pPr>
                  <w:r>
                    <w:rPr>
                      <w:rFonts w:hint="eastAsia"/>
                      <w:b w:val="0"/>
                      <w:bCs/>
                      <w:kern w:val="0"/>
                      <w:sz w:val="21"/>
                      <w:szCs w:val="21"/>
                      <w:u w:val="none"/>
                      <w:lang w:bidi="ar"/>
                    </w:rPr>
                    <w:t>/</w:t>
                  </w:r>
                </w:p>
              </w:tc>
              <w:tc>
                <w:tcPr>
                  <w:tcW w:w="285" w:type="pct"/>
                  <w:shd w:val="clear" w:color="auto" w:fill="auto"/>
                  <w:noWrap w:val="0"/>
                  <w:tcMar>
                    <w:top w:w="15" w:type="dxa"/>
                    <w:left w:w="15" w:type="dxa"/>
                    <w:right w:w="15" w:type="dxa"/>
                  </w:tcMar>
                  <w:vAlign w:val="center"/>
                </w:tcPr>
                <w:p w14:paraId="7D186DFD">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kern w:val="0"/>
                      <w:sz w:val="21"/>
                      <w:szCs w:val="21"/>
                      <w:u w:val="none"/>
                      <w:lang w:val="en-US" w:eastAsia="zh-CN" w:bidi="ar"/>
                    </w:rPr>
                  </w:pPr>
                  <w:r>
                    <w:rPr>
                      <w:rFonts w:hint="eastAsia"/>
                      <w:b w:val="0"/>
                      <w:bCs/>
                      <w:kern w:val="0"/>
                      <w:sz w:val="21"/>
                      <w:szCs w:val="21"/>
                      <w:u w:val="none"/>
                      <w:lang w:bidi="ar"/>
                    </w:rPr>
                    <w:t>/</w:t>
                  </w:r>
                </w:p>
              </w:tc>
              <w:tc>
                <w:tcPr>
                  <w:tcW w:w="287" w:type="pct"/>
                  <w:noWrap w:val="0"/>
                  <w:tcMar>
                    <w:top w:w="15" w:type="dxa"/>
                    <w:left w:w="15" w:type="dxa"/>
                    <w:right w:w="15" w:type="dxa"/>
                  </w:tcMar>
                  <w:vAlign w:val="center"/>
                </w:tcPr>
                <w:p w14:paraId="0A049AF4">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val="0"/>
                      <w:bCs/>
                      <w:kern w:val="0"/>
                      <w:sz w:val="21"/>
                      <w:szCs w:val="21"/>
                      <w:u w:val="none"/>
                      <w:lang w:bidi="ar"/>
                    </w:rPr>
                  </w:pPr>
                  <w:r>
                    <w:rPr>
                      <w:rFonts w:hint="eastAsia"/>
                      <w:b w:val="0"/>
                      <w:bCs/>
                      <w:kern w:val="0"/>
                      <w:sz w:val="21"/>
                      <w:szCs w:val="21"/>
                      <w:u w:val="none"/>
                      <w:lang w:bidi="ar"/>
                    </w:rPr>
                    <w:t>/</w:t>
                  </w:r>
                </w:p>
              </w:tc>
              <w:tc>
                <w:tcPr>
                  <w:tcW w:w="321" w:type="pct"/>
                  <w:noWrap w:val="0"/>
                  <w:tcMar>
                    <w:top w:w="15" w:type="dxa"/>
                    <w:left w:w="15" w:type="dxa"/>
                    <w:right w:w="15" w:type="dxa"/>
                  </w:tcMar>
                  <w:vAlign w:val="center"/>
                </w:tcPr>
                <w:p w14:paraId="659D6A7D">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val="0"/>
                      <w:bCs/>
                      <w:kern w:val="0"/>
                      <w:sz w:val="21"/>
                      <w:szCs w:val="21"/>
                      <w:u w:val="none"/>
                      <w:lang w:bidi="ar"/>
                    </w:rPr>
                  </w:pPr>
                  <w:r>
                    <w:rPr>
                      <w:rFonts w:hint="eastAsia"/>
                      <w:b w:val="0"/>
                      <w:bCs/>
                      <w:kern w:val="0"/>
                      <w:sz w:val="21"/>
                      <w:szCs w:val="21"/>
                      <w:u w:val="none"/>
                      <w:lang w:bidi="ar"/>
                    </w:rPr>
                    <w:t>/</w:t>
                  </w:r>
                </w:p>
              </w:tc>
              <w:tc>
                <w:tcPr>
                  <w:tcW w:w="237" w:type="pct"/>
                  <w:noWrap w:val="0"/>
                  <w:tcMar>
                    <w:top w:w="15" w:type="dxa"/>
                    <w:left w:w="15" w:type="dxa"/>
                    <w:right w:w="15" w:type="dxa"/>
                  </w:tcMar>
                  <w:vAlign w:val="center"/>
                </w:tcPr>
                <w:p w14:paraId="599B6621">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val="0"/>
                      <w:bCs/>
                      <w:kern w:val="0"/>
                      <w:sz w:val="21"/>
                      <w:szCs w:val="21"/>
                      <w:u w:val="none"/>
                      <w:lang w:bidi="ar"/>
                    </w:rPr>
                  </w:pPr>
                  <w:r>
                    <w:rPr>
                      <w:rFonts w:hint="eastAsia"/>
                      <w:b w:val="0"/>
                      <w:bCs/>
                      <w:kern w:val="0"/>
                      <w:sz w:val="21"/>
                      <w:szCs w:val="21"/>
                      <w:u w:val="none"/>
                      <w:lang w:bidi="ar"/>
                    </w:rPr>
                    <w:t>/</w:t>
                  </w:r>
                </w:p>
              </w:tc>
              <w:tc>
                <w:tcPr>
                  <w:tcW w:w="276" w:type="pct"/>
                  <w:noWrap w:val="0"/>
                  <w:tcMar>
                    <w:top w:w="15" w:type="dxa"/>
                    <w:left w:w="15" w:type="dxa"/>
                    <w:right w:w="15" w:type="dxa"/>
                  </w:tcMar>
                  <w:vAlign w:val="center"/>
                </w:tcPr>
                <w:p w14:paraId="38078C0A">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val="0"/>
                      <w:bCs/>
                      <w:kern w:val="0"/>
                      <w:sz w:val="21"/>
                      <w:szCs w:val="21"/>
                      <w:u w:val="none"/>
                      <w:lang w:bidi="ar"/>
                    </w:rPr>
                  </w:pPr>
                  <w:r>
                    <w:rPr>
                      <w:rFonts w:hint="eastAsia"/>
                      <w:b w:val="0"/>
                      <w:bCs/>
                      <w:kern w:val="0"/>
                      <w:sz w:val="21"/>
                      <w:szCs w:val="21"/>
                      <w:u w:val="none"/>
                      <w:lang w:bidi="ar"/>
                    </w:rPr>
                    <w:t>/</w:t>
                  </w:r>
                </w:p>
              </w:tc>
              <w:tc>
                <w:tcPr>
                  <w:tcW w:w="360" w:type="pct"/>
                  <w:noWrap w:val="0"/>
                  <w:tcMar>
                    <w:top w:w="15" w:type="dxa"/>
                    <w:left w:w="15" w:type="dxa"/>
                    <w:right w:w="15" w:type="dxa"/>
                  </w:tcMar>
                  <w:vAlign w:val="center"/>
                </w:tcPr>
                <w:p w14:paraId="1C366D51">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eastAsia="宋体"/>
                      <w:b w:val="0"/>
                      <w:bCs/>
                      <w:kern w:val="0"/>
                      <w:sz w:val="21"/>
                      <w:szCs w:val="21"/>
                      <w:u w:val="none"/>
                      <w:lang w:val="en-US" w:eastAsia="zh-CN" w:bidi="ar"/>
                    </w:rPr>
                  </w:pPr>
                  <w:r>
                    <w:rPr>
                      <w:rFonts w:hint="eastAsia"/>
                      <w:b w:val="0"/>
                      <w:bCs/>
                      <w:kern w:val="0"/>
                      <w:sz w:val="21"/>
                      <w:szCs w:val="21"/>
                      <w:u w:val="none"/>
                      <w:lang w:val="en-US" w:eastAsia="zh-CN" w:bidi="ar"/>
                    </w:rPr>
                    <w:t>/</w:t>
                  </w:r>
                </w:p>
              </w:tc>
              <w:tc>
                <w:tcPr>
                  <w:tcW w:w="299" w:type="pct"/>
                  <w:noWrap w:val="0"/>
                  <w:tcMar>
                    <w:top w:w="15" w:type="dxa"/>
                    <w:left w:w="15" w:type="dxa"/>
                    <w:right w:w="15" w:type="dxa"/>
                  </w:tcMar>
                  <w:vAlign w:val="center"/>
                </w:tcPr>
                <w:p w14:paraId="3A644731">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val="0"/>
                      <w:bCs/>
                      <w:kern w:val="0"/>
                      <w:sz w:val="21"/>
                      <w:szCs w:val="21"/>
                      <w:u w:val="none"/>
                      <w:lang w:bidi="ar"/>
                    </w:rPr>
                  </w:pPr>
                  <w:r>
                    <w:rPr>
                      <w:rFonts w:hint="eastAsia"/>
                      <w:b w:val="0"/>
                      <w:bCs/>
                      <w:kern w:val="0"/>
                      <w:sz w:val="21"/>
                      <w:szCs w:val="21"/>
                      <w:u w:val="none"/>
                      <w:lang w:bidi="ar"/>
                    </w:rPr>
                    <w:t>/</w:t>
                  </w:r>
                </w:p>
              </w:tc>
              <w:tc>
                <w:tcPr>
                  <w:tcW w:w="274" w:type="pct"/>
                  <w:noWrap w:val="0"/>
                  <w:tcMar>
                    <w:top w:w="15" w:type="dxa"/>
                    <w:left w:w="15" w:type="dxa"/>
                    <w:right w:w="15" w:type="dxa"/>
                  </w:tcMar>
                  <w:vAlign w:val="center"/>
                </w:tcPr>
                <w:p w14:paraId="55F00E73">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val="0"/>
                      <w:bCs/>
                      <w:kern w:val="0"/>
                      <w:sz w:val="21"/>
                      <w:szCs w:val="21"/>
                      <w:u w:val="none"/>
                      <w:lang w:bidi="ar"/>
                    </w:rPr>
                  </w:pPr>
                  <w:r>
                    <w:rPr>
                      <w:rFonts w:hint="eastAsia"/>
                      <w:b w:val="0"/>
                      <w:bCs/>
                      <w:kern w:val="0"/>
                      <w:sz w:val="21"/>
                      <w:szCs w:val="21"/>
                      <w:u w:val="none"/>
                      <w:lang w:val="en-US" w:eastAsia="zh-CN" w:bidi="ar"/>
                    </w:rPr>
                    <w:t>&lt;20</w:t>
                  </w:r>
                  <w:r>
                    <w:rPr>
                      <w:rFonts w:hint="eastAsia" w:ascii="Times New Roman" w:hAnsi="Times New Roman" w:eastAsia="宋体" w:cs="Times New Roman"/>
                      <w:b w:val="0"/>
                      <w:bCs/>
                      <w:color w:val="auto"/>
                      <w:sz w:val="21"/>
                      <w:szCs w:val="21"/>
                      <w:u w:val="none"/>
                      <w:lang w:val="en-US" w:eastAsia="zh-CN"/>
                    </w:rPr>
                    <w:t>（无量纲）</w:t>
                  </w:r>
                </w:p>
              </w:tc>
              <w:tc>
                <w:tcPr>
                  <w:tcW w:w="242" w:type="pct"/>
                  <w:noWrap w:val="0"/>
                  <w:tcMar>
                    <w:top w:w="15" w:type="dxa"/>
                    <w:left w:w="15" w:type="dxa"/>
                    <w:right w:w="15" w:type="dxa"/>
                  </w:tcMar>
                  <w:vAlign w:val="center"/>
                </w:tcPr>
                <w:p w14:paraId="446BE24E">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val="0"/>
                      <w:bCs/>
                      <w:kern w:val="0"/>
                      <w:sz w:val="21"/>
                      <w:szCs w:val="21"/>
                      <w:u w:val="none"/>
                      <w:lang w:bidi="ar"/>
                    </w:rPr>
                  </w:pPr>
                  <w:r>
                    <w:rPr>
                      <w:rFonts w:hint="eastAsia"/>
                      <w:b w:val="0"/>
                      <w:bCs/>
                      <w:kern w:val="0"/>
                      <w:sz w:val="21"/>
                      <w:szCs w:val="21"/>
                      <w:u w:val="none"/>
                      <w:lang w:bidi="ar"/>
                    </w:rPr>
                    <w:t>/</w:t>
                  </w:r>
                </w:p>
              </w:tc>
              <w:tc>
                <w:tcPr>
                  <w:tcW w:w="272" w:type="pct"/>
                  <w:noWrap w:val="0"/>
                  <w:tcMar>
                    <w:top w:w="15" w:type="dxa"/>
                    <w:left w:w="15" w:type="dxa"/>
                    <w:right w:w="15" w:type="dxa"/>
                  </w:tcMar>
                  <w:vAlign w:val="center"/>
                </w:tcPr>
                <w:p w14:paraId="2CB47518">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val="0"/>
                      <w:bCs/>
                      <w:kern w:val="0"/>
                      <w:sz w:val="21"/>
                      <w:szCs w:val="21"/>
                      <w:u w:val="none"/>
                      <w:lang w:bidi="ar"/>
                    </w:rPr>
                  </w:pPr>
                  <w:r>
                    <w:rPr>
                      <w:rFonts w:hint="eastAsia"/>
                      <w:b w:val="0"/>
                      <w:bCs/>
                      <w:kern w:val="0"/>
                      <w:sz w:val="21"/>
                      <w:szCs w:val="21"/>
                      <w:u w:val="none"/>
                      <w:lang w:bidi="ar"/>
                    </w:rPr>
                    <w:t>/</w:t>
                  </w:r>
                </w:p>
              </w:tc>
            </w:tr>
            <w:tr w14:paraId="03DC4E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8" w:type="pct"/>
                  <w:vMerge w:val="continue"/>
                  <w:noWrap w:val="0"/>
                  <w:tcMar>
                    <w:top w:w="15" w:type="dxa"/>
                    <w:left w:w="15" w:type="dxa"/>
                    <w:right w:w="15" w:type="dxa"/>
                  </w:tcMar>
                  <w:vAlign w:val="center"/>
                </w:tcPr>
                <w:p w14:paraId="55FECEEB">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bCs w:val="0"/>
                      <w:kern w:val="0"/>
                      <w:sz w:val="21"/>
                      <w:szCs w:val="21"/>
                      <w:u w:val="single"/>
                      <w:lang w:bidi="ar"/>
                    </w:rPr>
                  </w:pPr>
                </w:p>
              </w:tc>
              <w:tc>
                <w:tcPr>
                  <w:tcW w:w="372" w:type="pct"/>
                  <w:noWrap w:val="0"/>
                  <w:tcMar>
                    <w:top w:w="15" w:type="dxa"/>
                    <w:left w:w="15" w:type="dxa"/>
                    <w:right w:w="15" w:type="dxa"/>
                  </w:tcMar>
                  <w:vAlign w:val="center"/>
                </w:tcPr>
                <w:p w14:paraId="215D3311">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b w:val="0"/>
                      <w:bCs/>
                      <w:sz w:val="21"/>
                      <w:szCs w:val="21"/>
                      <w:u w:val="none"/>
                    </w:rPr>
                  </w:pPr>
                  <w:r>
                    <w:rPr>
                      <w:rFonts w:hint="eastAsia" w:ascii="Times New Roman" w:hAnsi="Times New Roman" w:eastAsia="宋体" w:cs="Times New Roman"/>
                      <w:b w:val="0"/>
                      <w:bCs/>
                      <w:color w:val="auto"/>
                      <w:sz w:val="21"/>
                      <w:szCs w:val="21"/>
                      <w:u w:val="none"/>
                    </w:rPr>
                    <w:t>中药饮片车间干燥、炒制、粉碎、筛分</w:t>
                  </w:r>
                  <w:r>
                    <w:rPr>
                      <w:rFonts w:hint="eastAsia" w:ascii="Times New Roman" w:hAnsi="Times New Roman" w:eastAsia="宋体" w:cs="Times New Roman"/>
                      <w:b w:val="0"/>
                      <w:bCs/>
                      <w:color w:val="auto"/>
                      <w:sz w:val="21"/>
                      <w:szCs w:val="21"/>
                      <w:u w:val="none"/>
                      <w:lang w:val="en-US" w:eastAsia="zh-CN"/>
                    </w:rPr>
                    <w:t>工序</w:t>
                  </w:r>
                </w:p>
              </w:tc>
              <w:tc>
                <w:tcPr>
                  <w:tcW w:w="172" w:type="pct"/>
                  <w:noWrap w:val="0"/>
                  <w:tcMar>
                    <w:top w:w="15" w:type="dxa"/>
                    <w:left w:w="15" w:type="dxa"/>
                    <w:right w:w="15" w:type="dxa"/>
                  </w:tcMar>
                  <w:vAlign w:val="center"/>
                </w:tcPr>
                <w:p w14:paraId="5B48F9F1">
                  <w:pPr>
                    <w:keepNext w:val="0"/>
                    <w:keepLines w:val="0"/>
                    <w:pageBreakBefore w:val="0"/>
                    <w:kinsoku/>
                    <w:wordWrap w:val="0"/>
                    <w:overflowPunct/>
                    <w:topLinePunct w:val="0"/>
                    <w:autoSpaceDE/>
                    <w:autoSpaceDN/>
                    <w:bidi w:val="0"/>
                    <w:adjustRightInd/>
                    <w:snapToGrid/>
                    <w:spacing w:line="240" w:lineRule="auto"/>
                    <w:ind w:firstLine="0" w:firstLineChars="0"/>
                    <w:jc w:val="center"/>
                    <w:rPr>
                      <w:rFonts w:hint="eastAsia"/>
                      <w:b w:val="0"/>
                      <w:bCs/>
                      <w:sz w:val="21"/>
                      <w:szCs w:val="21"/>
                      <w:u w:val="none"/>
                    </w:rPr>
                  </w:pPr>
                  <w:r>
                    <w:rPr>
                      <w:rFonts w:hint="eastAsia"/>
                      <w:b w:val="0"/>
                      <w:bCs/>
                      <w:sz w:val="21"/>
                      <w:szCs w:val="21"/>
                      <w:u w:val="none"/>
                    </w:rPr>
                    <w:t>颗粒物</w:t>
                  </w:r>
                </w:p>
              </w:tc>
              <w:tc>
                <w:tcPr>
                  <w:tcW w:w="239" w:type="pct"/>
                  <w:noWrap w:val="0"/>
                  <w:tcMar>
                    <w:top w:w="15" w:type="dxa"/>
                    <w:left w:w="15" w:type="dxa"/>
                    <w:right w:w="15" w:type="dxa"/>
                  </w:tcMar>
                  <w:vAlign w:val="center"/>
                </w:tcPr>
                <w:p w14:paraId="1B1C8CFD">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val="0"/>
                      <w:bCs/>
                      <w:sz w:val="21"/>
                      <w:szCs w:val="21"/>
                      <w:u w:val="none"/>
                    </w:rPr>
                  </w:pPr>
                  <w:r>
                    <w:rPr>
                      <w:rFonts w:hint="eastAsia"/>
                      <w:b w:val="0"/>
                      <w:bCs/>
                      <w:sz w:val="21"/>
                      <w:szCs w:val="21"/>
                      <w:u w:val="none"/>
                      <w:lang w:val="en-US" w:eastAsia="zh-CN"/>
                    </w:rPr>
                    <w:t>2560</w:t>
                  </w:r>
                </w:p>
              </w:tc>
              <w:tc>
                <w:tcPr>
                  <w:tcW w:w="662" w:type="pct"/>
                  <w:noWrap w:val="0"/>
                  <w:tcMar>
                    <w:top w:w="15" w:type="dxa"/>
                    <w:left w:w="15" w:type="dxa"/>
                    <w:right w:w="15" w:type="dxa"/>
                  </w:tcMar>
                  <w:vAlign w:val="center"/>
                </w:tcPr>
                <w:p w14:paraId="6D1FA959">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val="0"/>
                      <w:bCs/>
                      <w:kern w:val="0"/>
                      <w:sz w:val="21"/>
                      <w:szCs w:val="21"/>
                      <w:u w:val="none"/>
                      <w:lang w:bidi="ar"/>
                    </w:rPr>
                  </w:pPr>
                  <w:r>
                    <w:rPr>
                      <w:rFonts w:hint="default"/>
                      <w:b w:val="0"/>
                      <w:bCs/>
                      <w:sz w:val="21"/>
                      <w:szCs w:val="21"/>
                      <w:u w:val="none"/>
                      <w:lang w:val="en-US" w:eastAsia="zh-CN" w:bidi="ar"/>
                    </w:rPr>
                    <w:t>设置集尘罩，集气罩为三面包围结构</w:t>
                  </w:r>
                  <w:r>
                    <w:rPr>
                      <w:rFonts w:hint="eastAsia"/>
                      <w:b w:val="0"/>
                      <w:bCs/>
                      <w:sz w:val="21"/>
                      <w:szCs w:val="21"/>
                      <w:u w:val="none"/>
                      <w:lang w:val="en-US" w:eastAsia="zh-CN" w:bidi="ar"/>
                    </w:rPr>
                    <w:t>，</w:t>
                  </w:r>
                  <w:r>
                    <w:rPr>
                      <w:rFonts w:hint="default"/>
                      <w:b w:val="0"/>
                      <w:bCs/>
                      <w:sz w:val="21"/>
                      <w:szCs w:val="21"/>
                      <w:u w:val="none"/>
                      <w:lang w:val="en-US" w:eastAsia="zh-CN" w:bidi="ar"/>
                    </w:rPr>
                    <w:t>负压抽风</w:t>
                  </w:r>
                </w:p>
              </w:tc>
              <w:tc>
                <w:tcPr>
                  <w:tcW w:w="245" w:type="pct"/>
                  <w:noWrap w:val="0"/>
                  <w:tcMar>
                    <w:top w:w="15" w:type="dxa"/>
                    <w:left w:w="15" w:type="dxa"/>
                    <w:right w:w="15" w:type="dxa"/>
                  </w:tcMar>
                  <w:vAlign w:val="center"/>
                </w:tcPr>
                <w:p w14:paraId="16412AFB">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eastAsia="宋体"/>
                      <w:b w:val="0"/>
                      <w:bCs/>
                      <w:kern w:val="0"/>
                      <w:sz w:val="21"/>
                      <w:szCs w:val="21"/>
                      <w:u w:val="none"/>
                      <w:lang w:eastAsia="zh-CN" w:bidi="ar"/>
                    </w:rPr>
                  </w:pPr>
                  <w:r>
                    <w:rPr>
                      <w:rFonts w:hint="eastAsia"/>
                      <w:b w:val="0"/>
                      <w:bCs/>
                      <w:kern w:val="0"/>
                      <w:sz w:val="21"/>
                      <w:szCs w:val="21"/>
                      <w:u w:val="none"/>
                      <w:lang w:val="en-US" w:eastAsia="zh-CN" w:bidi="ar"/>
                    </w:rPr>
                    <w:t>/</w:t>
                  </w:r>
                </w:p>
              </w:tc>
              <w:tc>
                <w:tcPr>
                  <w:tcW w:w="300" w:type="pct"/>
                  <w:noWrap w:val="0"/>
                  <w:tcMar>
                    <w:top w:w="15" w:type="dxa"/>
                    <w:left w:w="15" w:type="dxa"/>
                    <w:right w:w="15" w:type="dxa"/>
                  </w:tcMar>
                  <w:vAlign w:val="center"/>
                </w:tcPr>
                <w:p w14:paraId="0BDE0BF7">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b w:val="0"/>
                      <w:bCs/>
                      <w:kern w:val="0"/>
                      <w:sz w:val="21"/>
                      <w:szCs w:val="21"/>
                      <w:u w:val="none"/>
                      <w:lang w:val="en-US" w:eastAsia="zh-CN" w:bidi="ar"/>
                    </w:rPr>
                  </w:pPr>
                  <w:r>
                    <w:rPr>
                      <w:rFonts w:hint="eastAsia"/>
                      <w:b w:val="0"/>
                      <w:bCs/>
                      <w:kern w:val="0"/>
                      <w:sz w:val="21"/>
                      <w:szCs w:val="21"/>
                      <w:u w:val="none"/>
                      <w:lang w:val="en-US" w:eastAsia="zh-CN" w:bidi="ar"/>
                    </w:rPr>
                    <w:t>0.4400</w:t>
                  </w:r>
                </w:p>
              </w:tc>
              <w:tc>
                <w:tcPr>
                  <w:tcW w:w="285" w:type="pct"/>
                  <w:noWrap w:val="0"/>
                  <w:tcMar>
                    <w:top w:w="15" w:type="dxa"/>
                    <w:left w:w="15" w:type="dxa"/>
                    <w:right w:w="15" w:type="dxa"/>
                  </w:tcMar>
                  <w:vAlign w:val="center"/>
                </w:tcPr>
                <w:p w14:paraId="54A9C054">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b w:val="0"/>
                      <w:bCs/>
                      <w:kern w:val="0"/>
                      <w:sz w:val="21"/>
                      <w:szCs w:val="21"/>
                      <w:u w:val="none"/>
                      <w:lang w:val="en-US" w:eastAsia="zh-CN" w:bidi="ar"/>
                    </w:rPr>
                  </w:pPr>
                  <w:r>
                    <w:rPr>
                      <w:rFonts w:hint="eastAsia"/>
                      <w:b w:val="0"/>
                      <w:bCs/>
                      <w:kern w:val="0"/>
                      <w:sz w:val="21"/>
                      <w:szCs w:val="21"/>
                      <w:u w:val="none"/>
                      <w:lang w:val="en-US" w:eastAsia="zh-CN" w:bidi="ar"/>
                    </w:rPr>
                    <w:t>0.17</w:t>
                  </w:r>
                </w:p>
              </w:tc>
              <w:tc>
                <w:tcPr>
                  <w:tcW w:w="287" w:type="pct"/>
                  <w:noWrap w:val="0"/>
                  <w:tcMar>
                    <w:top w:w="15" w:type="dxa"/>
                    <w:left w:w="15" w:type="dxa"/>
                    <w:right w:w="15" w:type="dxa"/>
                  </w:tcMar>
                  <w:vAlign w:val="center"/>
                </w:tcPr>
                <w:p w14:paraId="4ADEFAA6">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val="0"/>
                      <w:bCs/>
                      <w:kern w:val="0"/>
                      <w:sz w:val="21"/>
                      <w:szCs w:val="21"/>
                      <w:u w:val="none"/>
                      <w:lang w:bidi="ar"/>
                    </w:rPr>
                  </w:pPr>
                  <w:r>
                    <w:rPr>
                      <w:rFonts w:hint="eastAsia"/>
                      <w:b w:val="0"/>
                      <w:bCs/>
                      <w:kern w:val="0"/>
                      <w:sz w:val="21"/>
                      <w:szCs w:val="21"/>
                      <w:u w:val="none"/>
                      <w:lang w:bidi="ar"/>
                    </w:rPr>
                    <w:t>/</w:t>
                  </w:r>
                </w:p>
              </w:tc>
              <w:tc>
                <w:tcPr>
                  <w:tcW w:w="321" w:type="pct"/>
                  <w:noWrap w:val="0"/>
                  <w:tcMar>
                    <w:top w:w="15" w:type="dxa"/>
                    <w:left w:w="15" w:type="dxa"/>
                    <w:right w:w="15" w:type="dxa"/>
                  </w:tcMar>
                  <w:vAlign w:val="center"/>
                </w:tcPr>
                <w:p w14:paraId="6D8D51C8">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val="0"/>
                      <w:bCs/>
                      <w:kern w:val="0"/>
                      <w:sz w:val="21"/>
                      <w:szCs w:val="21"/>
                      <w:u w:val="none"/>
                      <w:lang w:bidi="ar"/>
                    </w:rPr>
                  </w:pPr>
                  <w:r>
                    <w:rPr>
                      <w:rFonts w:hint="eastAsia"/>
                      <w:b w:val="0"/>
                      <w:bCs/>
                      <w:kern w:val="0"/>
                      <w:sz w:val="21"/>
                      <w:szCs w:val="21"/>
                      <w:u w:val="none"/>
                      <w:lang w:bidi="ar"/>
                    </w:rPr>
                    <w:t>/</w:t>
                  </w:r>
                </w:p>
              </w:tc>
              <w:tc>
                <w:tcPr>
                  <w:tcW w:w="237" w:type="pct"/>
                  <w:noWrap w:val="0"/>
                  <w:tcMar>
                    <w:top w:w="15" w:type="dxa"/>
                    <w:left w:w="15" w:type="dxa"/>
                    <w:right w:w="15" w:type="dxa"/>
                  </w:tcMar>
                  <w:vAlign w:val="center"/>
                </w:tcPr>
                <w:p w14:paraId="63CE3DAA">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val="0"/>
                      <w:bCs/>
                      <w:kern w:val="0"/>
                      <w:sz w:val="21"/>
                      <w:szCs w:val="21"/>
                      <w:u w:val="none"/>
                      <w:lang w:bidi="ar"/>
                    </w:rPr>
                  </w:pPr>
                  <w:r>
                    <w:rPr>
                      <w:rFonts w:hint="eastAsia"/>
                      <w:b w:val="0"/>
                      <w:bCs/>
                      <w:kern w:val="0"/>
                      <w:sz w:val="21"/>
                      <w:szCs w:val="21"/>
                      <w:u w:val="none"/>
                      <w:lang w:bidi="ar"/>
                    </w:rPr>
                    <w:t>/</w:t>
                  </w:r>
                </w:p>
              </w:tc>
              <w:tc>
                <w:tcPr>
                  <w:tcW w:w="276" w:type="pct"/>
                  <w:noWrap w:val="0"/>
                  <w:tcMar>
                    <w:top w:w="15" w:type="dxa"/>
                    <w:left w:w="15" w:type="dxa"/>
                    <w:right w:w="15" w:type="dxa"/>
                  </w:tcMar>
                  <w:vAlign w:val="center"/>
                </w:tcPr>
                <w:p w14:paraId="7506FA8F">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val="0"/>
                      <w:bCs/>
                      <w:kern w:val="0"/>
                      <w:sz w:val="21"/>
                      <w:szCs w:val="21"/>
                      <w:u w:val="none"/>
                      <w:lang w:bidi="ar"/>
                    </w:rPr>
                  </w:pPr>
                  <w:r>
                    <w:rPr>
                      <w:rFonts w:hint="eastAsia"/>
                      <w:b w:val="0"/>
                      <w:bCs/>
                      <w:kern w:val="0"/>
                      <w:sz w:val="21"/>
                      <w:szCs w:val="21"/>
                      <w:u w:val="none"/>
                      <w:lang w:bidi="ar"/>
                    </w:rPr>
                    <w:t>/</w:t>
                  </w:r>
                </w:p>
              </w:tc>
              <w:tc>
                <w:tcPr>
                  <w:tcW w:w="360" w:type="pct"/>
                  <w:shd w:val="clear" w:color="auto" w:fill="auto"/>
                  <w:noWrap w:val="0"/>
                  <w:tcMar>
                    <w:top w:w="15" w:type="dxa"/>
                    <w:left w:w="15" w:type="dxa"/>
                    <w:right w:w="15" w:type="dxa"/>
                  </w:tcMar>
                  <w:vAlign w:val="center"/>
                </w:tcPr>
                <w:p w14:paraId="6B1B2FF4">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kern w:val="0"/>
                      <w:sz w:val="21"/>
                      <w:szCs w:val="21"/>
                      <w:u w:val="none"/>
                      <w:lang w:val="en-US" w:eastAsia="zh-CN" w:bidi="ar"/>
                    </w:rPr>
                  </w:pPr>
                  <w:r>
                    <w:rPr>
                      <w:rFonts w:hint="eastAsia"/>
                      <w:b w:val="0"/>
                      <w:bCs/>
                      <w:kern w:val="0"/>
                      <w:sz w:val="21"/>
                      <w:szCs w:val="21"/>
                      <w:u w:val="none"/>
                      <w:lang w:val="en-US" w:eastAsia="zh-CN" w:bidi="ar"/>
                    </w:rPr>
                    <w:t>0.4400</w:t>
                  </w:r>
                </w:p>
              </w:tc>
              <w:tc>
                <w:tcPr>
                  <w:tcW w:w="299" w:type="pct"/>
                  <w:shd w:val="clear" w:color="auto" w:fill="auto"/>
                  <w:noWrap w:val="0"/>
                  <w:tcMar>
                    <w:top w:w="15" w:type="dxa"/>
                    <w:left w:w="15" w:type="dxa"/>
                    <w:right w:w="15" w:type="dxa"/>
                  </w:tcMar>
                  <w:vAlign w:val="center"/>
                </w:tcPr>
                <w:p w14:paraId="3A241E50">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kern w:val="0"/>
                      <w:sz w:val="21"/>
                      <w:szCs w:val="21"/>
                      <w:u w:val="none"/>
                      <w:lang w:val="en-US" w:eastAsia="zh-CN" w:bidi="ar"/>
                    </w:rPr>
                  </w:pPr>
                  <w:r>
                    <w:rPr>
                      <w:rFonts w:hint="eastAsia"/>
                      <w:b w:val="0"/>
                      <w:bCs/>
                      <w:kern w:val="0"/>
                      <w:sz w:val="21"/>
                      <w:szCs w:val="21"/>
                      <w:u w:val="none"/>
                      <w:lang w:val="en-US" w:eastAsia="zh-CN" w:bidi="ar"/>
                    </w:rPr>
                    <w:t>0.17</w:t>
                  </w:r>
                </w:p>
              </w:tc>
              <w:tc>
                <w:tcPr>
                  <w:tcW w:w="274" w:type="pct"/>
                  <w:shd w:val="clear" w:color="auto" w:fill="auto"/>
                  <w:noWrap w:val="0"/>
                  <w:tcMar>
                    <w:top w:w="15" w:type="dxa"/>
                    <w:left w:w="15" w:type="dxa"/>
                    <w:right w:w="15" w:type="dxa"/>
                  </w:tcMar>
                  <w:vAlign w:val="center"/>
                </w:tcPr>
                <w:p w14:paraId="2101D263">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kern w:val="0"/>
                      <w:sz w:val="21"/>
                      <w:szCs w:val="21"/>
                      <w:u w:val="none"/>
                      <w:lang w:val="en-US" w:eastAsia="zh-CN" w:bidi="ar"/>
                    </w:rPr>
                  </w:pPr>
                  <w:r>
                    <w:rPr>
                      <w:rFonts w:hint="eastAsia"/>
                      <w:b w:val="0"/>
                      <w:bCs/>
                      <w:kern w:val="0"/>
                      <w:sz w:val="21"/>
                      <w:szCs w:val="21"/>
                      <w:u w:val="none"/>
                      <w:lang w:bidi="ar"/>
                    </w:rPr>
                    <w:t>/</w:t>
                  </w:r>
                </w:p>
              </w:tc>
              <w:tc>
                <w:tcPr>
                  <w:tcW w:w="242" w:type="pct"/>
                  <w:noWrap w:val="0"/>
                  <w:tcMar>
                    <w:top w:w="15" w:type="dxa"/>
                    <w:left w:w="15" w:type="dxa"/>
                    <w:right w:w="15" w:type="dxa"/>
                  </w:tcMar>
                  <w:vAlign w:val="center"/>
                </w:tcPr>
                <w:p w14:paraId="45023939">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val="0"/>
                      <w:bCs/>
                      <w:kern w:val="0"/>
                      <w:sz w:val="21"/>
                      <w:szCs w:val="21"/>
                      <w:u w:val="none"/>
                      <w:lang w:bidi="ar"/>
                    </w:rPr>
                  </w:pPr>
                  <w:r>
                    <w:rPr>
                      <w:rFonts w:hint="eastAsia"/>
                      <w:b w:val="0"/>
                      <w:bCs/>
                      <w:kern w:val="0"/>
                      <w:sz w:val="21"/>
                      <w:szCs w:val="21"/>
                      <w:u w:val="none"/>
                      <w:lang w:bidi="ar"/>
                    </w:rPr>
                    <w:t>/</w:t>
                  </w:r>
                </w:p>
              </w:tc>
              <w:tc>
                <w:tcPr>
                  <w:tcW w:w="272" w:type="pct"/>
                  <w:noWrap w:val="0"/>
                  <w:tcMar>
                    <w:top w:w="15" w:type="dxa"/>
                    <w:left w:w="15" w:type="dxa"/>
                    <w:right w:w="15" w:type="dxa"/>
                  </w:tcMar>
                  <w:vAlign w:val="center"/>
                </w:tcPr>
                <w:p w14:paraId="62C67CA4">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val="0"/>
                      <w:bCs/>
                      <w:kern w:val="0"/>
                      <w:sz w:val="21"/>
                      <w:szCs w:val="21"/>
                      <w:u w:val="none"/>
                      <w:lang w:bidi="ar"/>
                    </w:rPr>
                  </w:pPr>
                  <w:r>
                    <w:rPr>
                      <w:rFonts w:hint="eastAsia"/>
                      <w:b w:val="0"/>
                      <w:bCs/>
                      <w:kern w:val="0"/>
                      <w:sz w:val="21"/>
                      <w:szCs w:val="21"/>
                      <w:u w:val="none"/>
                      <w:lang w:bidi="ar"/>
                    </w:rPr>
                    <w:t>/</w:t>
                  </w:r>
                </w:p>
              </w:tc>
            </w:tr>
            <w:tr w14:paraId="7723BE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8" w:type="pct"/>
                  <w:vMerge w:val="continue"/>
                  <w:noWrap w:val="0"/>
                  <w:tcMar>
                    <w:top w:w="15" w:type="dxa"/>
                    <w:left w:w="15" w:type="dxa"/>
                    <w:right w:w="15" w:type="dxa"/>
                  </w:tcMar>
                  <w:vAlign w:val="center"/>
                </w:tcPr>
                <w:p w14:paraId="5B52C4D9">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bCs w:val="0"/>
                      <w:kern w:val="0"/>
                      <w:sz w:val="21"/>
                      <w:szCs w:val="21"/>
                      <w:u w:val="single"/>
                      <w:lang w:bidi="ar"/>
                    </w:rPr>
                  </w:pPr>
                </w:p>
              </w:tc>
              <w:tc>
                <w:tcPr>
                  <w:tcW w:w="372" w:type="pct"/>
                  <w:vMerge w:val="restart"/>
                  <w:noWrap w:val="0"/>
                  <w:tcMar>
                    <w:top w:w="15" w:type="dxa"/>
                    <w:left w:w="15" w:type="dxa"/>
                    <w:right w:w="15" w:type="dxa"/>
                  </w:tcMar>
                  <w:vAlign w:val="center"/>
                </w:tcPr>
                <w:p w14:paraId="03518F92">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b/>
                      <w:bCs w:val="0"/>
                      <w:sz w:val="21"/>
                      <w:szCs w:val="21"/>
                      <w:u w:val="single"/>
                    </w:rPr>
                  </w:pPr>
                  <w:r>
                    <w:rPr>
                      <w:rFonts w:hint="eastAsia"/>
                      <w:b/>
                      <w:bCs w:val="0"/>
                      <w:sz w:val="21"/>
                      <w:szCs w:val="21"/>
                      <w:u w:val="single"/>
                    </w:rPr>
                    <w:t>污水处理站</w:t>
                  </w:r>
                </w:p>
              </w:tc>
              <w:tc>
                <w:tcPr>
                  <w:tcW w:w="172" w:type="pct"/>
                  <w:shd w:val="clear" w:color="auto" w:fill="auto"/>
                  <w:noWrap w:val="0"/>
                  <w:tcMar>
                    <w:top w:w="15" w:type="dxa"/>
                    <w:left w:w="15" w:type="dxa"/>
                    <w:right w:w="15" w:type="dxa"/>
                  </w:tcMar>
                  <w:vAlign w:val="center"/>
                </w:tcPr>
                <w:p w14:paraId="1E48020A">
                  <w:pPr>
                    <w:spacing w:line="240" w:lineRule="auto"/>
                    <w:ind w:firstLine="0" w:firstLineChars="0"/>
                    <w:jc w:val="center"/>
                    <w:rPr>
                      <w:rFonts w:hint="eastAsia" w:ascii="Times New Roman" w:hAnsi="Times New Roman" w:eastAsia="宋体" w:cs="Times New Roman"/>
                      <w:b/>
                      <w:bCs w:val="0"/>
                      <w:color w:val="auto"/>
                      <w:kern w:val="2"/>
                      <w:sz w:val="21"/>
                      <w:szCs w:val="21"/>
                      <w:u w:val="single"/>
                      <w:lang w:val="en-US" w:eastAsia="zh-CN" w:bidi="ar-SA"/>
                    </w:rPr>
                  </w:pPr>
                  <w:r>
                    <w:rPr>
                      <w:rFonts w:hint="eastAsia" w:ascii="Times New Roman" w:hAnsi="Times New Roman" w:eastAsia="宋体" w:cs="Times New Roman"/>
                      <w:b/>
                      <w:bCs w:val="0"/>
                      <w:color w:val="auto"/>
                      <w:sz w:val="21"/>
                      <w:szCs w:val="21"/>
                      <w:u w:val="single"/>
                      <w:lang w:val="en-US" w:eastAsia="zh-CN"/>
                    </w:rPr>
                    <w:t>NH</w:t>
                  </w:r>
                  <w:r>
                    <w:rPr>
                      <w:rFonts w:hint="eastAsia" w:ascii="Times New Roman" w:hAnsi="Times New Roman" w:eastAsia="宋体" w:cs="Times New Roman"/>
                      <w:b/>
                      <w:bCs w:val="0"/>
                      <w:color w:val="auto"/>
                      <w:sz w:val="21"/>
                      <w:szCs w:val="21"/>
                      <w:u w:val="single"/>
                      <w:vertAlign w:val="subscript"/>
                      <w:lang w:val="en-US" w:eastAsia="zh-CN"/>
                    </w:rPr>
                    <w:t>3</w:t>
                  </w:r>
                </w:p>
              </w:tc>
              <w:tc>
                <w:tcPr>
                  <w:tcW w:w="239" w:type="pct"/>
                  <w:vMerge w:val="restart"/>
                  <w:noWrap w:val="0"/>
                  <w:tcMar>
                    <w:top w:w="15" w:type="dxa"/>
                    <w:left w:w="15" w:type="dxa"/>
                    <w:right w:w="15" w:type="dxa"/>
                  </w:tcMar>
                  <w:vAlign w:val="center"/>
                </w:tcPr>
                <w:p w14:paraId="1B97735C">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bCs w:val="0"/>
                      <w:sz w:val="21"/>
                      <w:szCs w:val="21"/>
                      <w:u w:val="single"/>
                    </w:rPr>
                  </w:pPr>
                  <w:r>
                    <w:rPr>
                      <w:rFonts w:hint="eastAsia"/>
                      <w:b/>
                      <w:bCs w:val="0"/>
                      <w:sz w:val="21"/>
                      <w:szCs w:val="21"/>
                      <w:u w:val="single"/>
                      <w:lang w:val="en-US" w:eastAsia="zh-CN"/>
                    </w:rPr>
                    <w:t>7680</w:t>
                  </w:r>
                </w:p>
              </w:tc>
              <w:tc>
                <w:tcPr>
                  <w:tcW w:w="662" w:type="pct"/>
                  <w:vMerge w:val="restart"/>
                  <w:noWrap w:val="0"/>
                  <w:tcMar>
                    <w:top w:w="15" w:type="dxa"/>
                    <w:left w:w="15" w:type="dxa"/>
                    <w:right w:w="15" w:type="dxa"/>
                  </w:tcMar>
                  <w:vAlign w:val="center"/>
                </w:tcPr>
                <w:p w14:paraId="2109D9B9">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bCs w:val="0"/>
                      <w:kern w:val="0"/>
                      <w:sz w:val="21"/>
                      <w:szCs w:val="21"/>
                      <w:u w:val="single"/>
                      <w:lang w:bidi="ar"/>
                    </w:rPr>
                  </w:pPr>
                  <w:r>
                    <w:rPr>
                      <w:rFonts w:hint="eastAsia"/>
                      <w:b/>
                      <w:bCs w:val="0"/>
                      <w:kern w:val="0"/>
                      <w:sz w:val="21"/>
                      <w:szCs w:val="21"/>
                      <w:u w:val="single"/>
                      <w:lang w:bidi="ar"/>
                    </w:rPr>
                    <w:t>加盖密闭+活性炭吸附除臭措施</w:t>
                  </w:r>
                  <w:r>
                    <w:rPr>
                      <w:rFonts w:hint="eastAsia"/>
                      <w:b/>
                      <w:bCs w:val="0"/>
                      <w:kern w:val="0"/>
                      <w:sz w:val="21"/>
                      <w:szCs w:val="21"/>
                      <w:u w:val="single"/>
                      <w:lang w:val="en-US" w:eastAsia="zh-CN" w:bidi="ar"/>
                    </w:rPr>
                    <w:t>+绿化</w:t>
                  </w:r>
                </w:p>
              </w:tc>
              <w:tc>
                <w:tcPr>
                  <w:tcW w:w="245" w:type="pct"/>
                  <w:noWrap w:val="0"/>
                  <w:tcMar>
                    <w:top w:w="15" w:type="dxa"/>
                    <w:left w:w="15" w:type="dxa"/>
                    <w:right w:w="15" w:type="dxa"/>
                  </w:tcMar>
                  <w:vAlign w:val="center"/>
                </w:tcPr>
                <w:p w14:paraId="67761EE7">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eastAsia="宋体"/>
                      <w:b/>
                      <w:bCs w:val="0"/>
                      <w:kern w:val="0"/>
                      <w:sz w:val="21"/>
                      <w:szCs w:val="21"/>
                      <w:u w:val="single"/>
                      <w:lang w:val="en-US" w:eastAsia="zh-CN" w:bidi="ar"/>
                    </w:rPr>
                  </w:pPr>
                  <w:r>
                    <w:rPr>
                      <w:rFonts w:hint="eastAsia"/>
                      <w:b/>
                      <w:bCs w:val="0"/>
                      <w:kern w:val="0"/>
                      <w:sz w:val="21"/>
                      <w:szCs w:val="21"/>
                      <w:u w:val="single"/>
                      <w:lang w:val="en-US" w:eastAsia="zh-CN" w:bidi="ar"/>
                    </w:rPr>
                    <w:t>/</w:t>
                  </w:r>
                </w:p>
              </w:tc>
              <w:tc>
                <w:tcPr>
                  <w:tcW w:w="300" w:type="pct"/>
                  <w:noWrap w:val="0"/>
                  <w:tcMar>
                    <w:top w:w="15" w:type="dxa"/>
                    <w:left w:w="15" w:type="dxa"/>
                    <w:right w:w="15" w:type="dxa"/>
                  </w:tcMar>
                  <w:vAlign w:val="center"/>
                </w:tcPr>
                <w:p w14:paraId="4389080D">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b/>
                      <w:bCs w:val="0"/>
                      <w:kern w:val="0"/>
                      <w:sz w:val="21"/>
                      <w:szCs w:val="21"/>
                      <w:u w:val="single"/>
                      <w:lang w:val="en-US" w:eastAsia="zh-CN" w:bidi="ar"/>
                    </w:rPr>
                  </w:pPr>
                  <w:r>
                    <w:rPr>
                      <w:rFonts w:hint="eastAsia"/>
                      <w:b/>
                      <w:bCs w:val="0"/>
                      <w:kern w:val="0"/>
                      <w:sz w:val="21"/>
                      <w:szCs w:val="21"/>
                      <w:u w:val="single"/>
                      <w:lang w:val="en-US" w:eastAsia="zh-CN" w:bidi="ar"/>
                    </w:rPr>
                    <w:t>0.0067</w:t>
                  </w:r>
                </w:p>
              </w:tc>
              <w:tc>
                <w:tcPr>
                  <w:tcW w:w="285" w:type="pct"/>
                  <w:noWrap w:val="0"/>
                  <w:tcMar>
                    <w:top w:w="15" w:type="dxa"/>
                    <w:left w:w="15" w:type="dxa"/>
                    <w:right w:w="15" w:type="dxa"/>
                  </w:tcMar>
                  <w:vAlign w:val="center"/>
                </w:tcPr>
                <w:p w14:paraId="56FE558A">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b/>
                      <w:bCs w:val="0"/>
                      <w:kern w:val="0"/>
                      <w:sz w:val="21"/>
                      <w:szCs w:val="21"/>
                      <w:u w:val="single"/>
                      <w:lang w:val="en-US" w:eastAsia="zh-CN" w:bidi="ar"/>
                    </w:rPr>
                  </w:pPr>
                  <w:r>
                    <w:rPr>
                      <w:rFonts w:hint="eastAsia"/>
                      <w:b/>
                      <w:bCs w:val="0"/>
                      <w:kern w:val="0"/>
                      <w:sz w:val="21"/>
                      <w:szCs w:val="21"/>
                      <w:u w:val="single"/>
                      <w:lang w:val="en-US" w:eastAsia="zh-CN" w:bidi="ar"/>
                    </w:rPr>
                    <w:t>0.0009</w:t>
                  </w:r>
                </w:p>
              </w:tc>
              <w:tc>
                <w:tcPr>
                  <w:tcW w:w="287" w:type="pct"/>
                  <w:noWrap w:val="0"/>
                  <w:tcMar>
                    <w:top w:w="15" w:type="dxa"/>
                    <w:left w:w="15" w:type="dxa"/>
                    <w:right w:w="15" w:type="dxa"/>
                  </w:tcMar>
                  <w:vAlign w:val="center"/>
                </w:tcPr>
                <w:p w14:paraId="022B4F8A">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bCs w:val="0"/>
                      <w:kern w:val="0"/>
                      <w:sz w:val="21"/>
                      <w:szCs w:val="21"/>
                      <w:u w:val="single"/>
                      <w:lang w:bidi="ar"/>
                    </w:rPr>
                  </w:pPr>
                  <w:r>
                    <w:rPr>
                      <w:rFonts w:hint="eastAsia"/>
                      <w:b/>
                      <w:bCs w:val="0"/>
                      <w:kern w:val="0"/>
                      <w:sz w:val="21"/>
                      <w:szCs w:val="21"/>
                      <w:u w:val="single"/>
                      <w:lang w:bidi="ar"/>
                    </w:rPr>
                    <w:t>/</w:t>
                  </w:r>
                </w:p>
              </w:tc>
              <w:tc>
                <w:tcPr>
                  <w:tcW w:w="321" w:type="pct"/>
                  <w:noWrap w:val="0"/>
                  <w:tcMar>
                    <w:top w:w="15" w:type="dxa"/>
                    <w:left w:w="15" w:type="dxa"/>
                    <w:right w:w="15" w:type="dxa"/>
                  </w:tcMar>
                  <w:vAlign w:val="center"/>
                </w:tcPr>
                <w:p w14:paraId="6A7F9F6E">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bCs w:val="0"/>
                      <w:kern w:val="0"/>
                      <w:sz w:val="21"/>
                      <w:szCs w:val="21"/>
                      <w:u w:val="single"/>
                      <w:lang w:bidi="ar"/>
                    </w:rPr>
                  </w:pPr>
                  <w:r>
                    <w:rPr>
                      <w:rFonts w:hint="eastAsia"/>
                      <w:b/>
                      <w:bCs w:val="0"/>
                      <w:kern w:val="0"/>
                      <w:sz w:val="21"/>
                      <w:szCs w:val="21"/>
                      <w:u w:val="single"/>
                      <w:lang w:bidi="ar"/>
                    </w:rPr>
                    <w:t>/</w:t>
                  </w:r>
                </w:p>
              </w:tc>
              <w:tc>
                <w:tcPr>
                  <w:tcW w:w="237" w:type="pct"/>
                  <w:noWrap w:val="0"/>
                  <w:tcMar>
                    <w:top w:w="15" w:type="dxa"/>
                    <w:left w:w="15" w:type="dxa"/>
                    <w:right w:w="15" w:type="dxa"/>
                  </w:tcMar>
                  <w:vAlign w:val="center"/>
                </w:tcPr>
                <w:p w14:paraId="623272B0">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bCs w:val="0"/>
                      <w:kern w:val="0"/>
                      <w:sz w:val="21"/>
                      <w:szCs w:val="21"/>
                      <w:u w:val="single"/>
                      <w:lang w:bidi="ar"/>
                    </w:rPr>
                  </w:pPr>
                  <w:r>
                    <w:rPr>
                      <w:rFonts w:hint="eastAsia"/>
                      <w:b/>
                      <w:bCs w:val="0"/>
                      <w:kern w:val="0"/>
                      <w:sz w:val="21"/>
                      <w:szCs w:val="21"/>
                      <w:u w:val="single"/>
                      <w:lang w:bidi="ar"/>
                    </w:rPr>
                    <w:t>/</w:t>
                  </w:r>
                </w:p>
              </w:tc>
              <w:tc>
                <w:tcPr>
                  <w:tcW w:w="276" w:type="pct"/>
                  <w:noWrap w:val="0"/>
                  <w:tcMar>
                    <w:top w:w="15" w:type="dxa"/>
                    <w:left w:w="15" w:type="dxa"/>
                    <w:right w:w="15" w:type="dxa"/>
                  </w:tcMar>
                  <w:vAlign w:val="center"/>
                </w:tcPr>
                <w:p w14:paraId="39D38C7A">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bCs w:val="0"/>
                      <w:kern w:val="0"/>
                      <w:sz w:val="21"/>
                      <w:szCs w:val="21"/>
                      <w:u w:val="single"/>
                      <w:lang w:bidi="ar"/>
                    </w:rPr>
                  </w:pPr>
                  <w:r>
                    <w:rPr>
                      <w:rFonts w:hint="eastAsia"/>
                      <w:b/>
                      <w:bCs w:val="0"/>
                      <w:kern w:val="0"/>
                      <w:sz w:val="21"/>
                      <w:szCs w:val="21"/>
                      <w:u w:val="single"/>
                      <w:lang w:bidi="ar"/>
                    </w:rPr>
                    <w:t>/</w:t>
                  </w:r>
                </w:p>
              </w:tc>
              <w:tc>
                <w:tcPr>
                  <w:tcW w:w="360" w:type="pct"/>
                  <w:shd w:val="clear" w:color="auto" w:fill="auto"/>
                  <w:noWrap w:val="0"/>
                  <w:tcMar>
                    <w:top w:w="15" w:type="dxa"/>
                    <w:left w:w="15" w:type="dxa"/>
                    <w:right w:w="15" w:type="dxa"/>
                  </w:tcMar>
                  <w:vAlign w:val="center"/>
                </w:tcPr>
                <w:p w14:paraId="23C282A7">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val="0"/>
                      <w:kern w:val="0"/>
                      <w:sz w:val="21"/>
                      <w:szCs w:val="21"/>
                      <w:u w:val="single"/>
                      <w:lang w:val="en-US" w:eastAsia="zh-CN" w:bidi="ar"/>
                    </w:rPr>
                  </w:pPr>
                  <w:r>
                    <w:rPr>
                      <w:rFonts w:hint="eastAsia"/>
                      <w:b/>
                      <w:bCs w:val="0"/>
                      <w:kern w:val="0"/>
                      <w:sz w:val="21"/>
                      <w:szCs w:val="21"/>
                      <w:u w:val="single"/>
                      <w:lang w:val="en-US" w:eastAsia="zh-CN" w:bidi="ar"/>
                    </w:rPr>
                    <w:t>0.0067</w:t>
                  </w:r>
                </w:p>
              </w:tc>
              <w:tc>
                <w:tcPr>
                  <w:tcW w:w="299" w:type="pct"/>
                  <w:shd w:val="clear" w:color="auto" w:fill="auto"/>
                  <w:noWrap w:val="0"/>
                  <w:tcMar>
                    <w:top w:w="15" w:type="dxa"/>
                    <w:left w:w="15" w:type="dxa"/>
                    <w:right w:w="15" w:type="dxa"/>
                  </w:tcMar>
                  <w:vAlign w:val="center"/>
                </w:tcPr>
                <w:p w14:paraId="797B9BD6">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val="0"/>
                      <w:kern w:val="0"/>
                      <w:sz w:val="21"/>
                      <w:szCs w:val="21"/>
                      <w:u w:val="single"/>
                      <w:lang w:val="en-US" w:eastAsia="zh-CN" w:bidi="ar"/>
                    </w:rPr>
                  </w:pPr>
                  <w:r>
                    <w:rPr>
                      <w:rFonts w:hint="eastAsia"/>
                      <w:b/>
                      <w:bCs w:val="0"/>
                      <w:kern w:val="0"/>
                      <w:sz w:val="21"/>
                      <w:szCs w:val="21"/>
                      <w:u w:val="single"/>
                      <w:lang w:val="en-US" w:eastAsia="zh-CN" w:bidi="ar"/>
                    </w:rPr>
                    <w:t>0.0009</w:t>
                  </w:r>
                </w:p>
              </w:tc>
              <w:tc>
                <w:tcPr>
                  <w:tcW w:w="274" w:type="pct"/>
                  <w:shd w:val="clear" w:color="auto" w:fill="auto"/>
                  <w:noWrap w:val="0"/>
                  <w:tcMar>
                    <w:top w:w="15" w:type="dxa"/>
                    <w:left w:w="15" w:type="dxa"/>
                    <w:right w:w="15" w:type="dxa"/>
                  </w:tcMar>
                  <w:vAlign w:val="center"/>
                </w:tcPr>
                <w:p w14:paraId="62A13F2C">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val="0"/>
                      <w:kern w:val="0"/>
                      <w:sz w:val="21"/>
                      <w:szCs w:val="21"/>
                      <w:u w:val="single"/>
                      <w:lang w:val="en-US" w:eastAsia="zh-CN" w:bidi="ar"/>
                    </w:rPr>
                  </w:pPr>
                  <w:r>
                    <w:rPr>
                      <w:rFonts w:hint="eastAsia"/>
                      <w:b/>
                      <w:bCs w:val="0"/>
                      <w:kern w:val="0"/>
                      <w:sz w:val="21"/>
                      <w:szCs w:val="21"/>
                      <w:u w:val="single"/>
                      <w:lang w:bidi="ar"/>
                    </w:rPr>
                    <w:t>/</w:t>
                  </w:r>
                </w:p>
              </w:tc>
              <w:tc>
                <w:tcPr>
                  <w:tcW w:w="242" w:type="pct"/>
                  <w:noWrap w:val="0"/>
                  <w:tcMar>
                    <w:top w:w="15" w:type="dxa"/>
                    <w:left w:w="15" w:type="dxa"/>
                    <w:right w:w="15" w:type="dxa"/>
                  </w:tcMar>
                  <w:vAlign w:val="center"/>
                </w:tcPr>
                <w:p w14:paraId="18F85830">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val="0"/>
                      <w:kern w:val="0"/>
                      <w:sz w:val="21"/>
                      <w:szCs w:val="21"/>
                      <w:u w:val="single"/>
                      <w:lang w:bidi="ar"/>
                    </w:rPr>
                  </w:pPr>
                  <w:r>
                    <w:rPr>
                      <w:rFonts w:hint="eastAsia" w:ascii="Times New Roman" w:hAnsi="Times New Roman" w:eastAsia="宋体" w:cs="Times New Roman"/>
                      <w:b/>
                      <w:bCs w:val="0"/>
                      <w:kern w:val="0"/>
                      <w:sz w:val="21"/>
                      <w:szCs w:val="21"/>
                      <w:u w:val="single"/>
                      <w:lang w:val="en-US" w:eastAsia="zh-CN" w:bidi="ar"/>
                    </w:rPr>
                    <w:t>/</w:t>
                  </w:r>
                </w:p>
              </w:tc>
              <w:tc>
                <w:tcPr>
                  <w:tcW w:w="272" w:type="pct"/>
                  <w:noWrap w:val="0"/>
                  <w:tcMar>
                    <w:top w:w="15" w:type="dxa"/>
                    <w:left w:w="15" w:type="dxa"/>
                    <w:right w:w="15" w:type="dxa"/>
                  </w:tcMar>
                  <w:vAlign w:val="center"/>
                </w:tcPr>
                <w:p w14:paraId="2F62AE53">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val="0"/>
                      <w:kern w:val="0"/>
                      <w:sz w:val="21"/>
                      <w:szCs w:val="21"/>
                      <w:u w:val="single"/>
                      <w:lang w:bidi="ar"/>
                    </w:rPr>
                  </w:pPr>
                  <w:r>
                    <w:rPr>
                      <w:rFonts w:hint="eastAsia" w:ascii="Times New Roman" w:hAnsi="Times New Roman" w:eastAsia="宋体" w:cs="Times New Roman"/>
                      <w:b/>
                      <w:bCs w:val="0"/>
                      <w:kern w:val="0"/>
                      <w:sz w:val="21"/>
                      <w:szCs w:val="21"/>
                      <w:u w:val="single"/>
                      <w:lang w:val="en-US" w:eastAsia="zh-CN" w:bidi="ar"/>
                    </w:rPr>
                    <w:t>/</w:t>
                  </w:r>
                </w:p>
              </w:tc>
            </w:tr>
            <w:tr w14:paraId="11AFC0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8" w:type="pct"/>
                  <w:vMerge w:val="continue"/>
                  <w:noWrap w:val="0"/>
                  <w:tcMar>
                    <w:top w:w="15" w:type="dxa"/>
                    <w:left w:w="15" w:type="dxa"/>
                    <w:right w:w="15" w:type="dxa"/>
                  </w:tcMar>
                  <w:vAlign w:val="center"/>
                </w:tcPr>
                <w:p w14:paraId="2EC99760">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bCs w:val="0"/>
                      <w:kern w:val="0"/>
                      <w:sz w:val="21"/>
                      <w:szCs w:val="21"/>
                      <w:u w:val="single"/>
                      <w:lang w:bidi="ar"/>
                    </w:rPr>
                  </w:pPr>
                </w:p>
              </w:tc>
              <w:tc>
                <w:tcPr>
                  <w:tcW w:w="372" w:type="pct"/>
                  <w:vMerge w:val="continue"/>
                  <w:noWrap w:val="0"/>
                  <w:tcMar>
                    <w:top w:w="15" w:type="dxa"/>
                    <w:left w:w="15" w:type="dxa"/>
                    <w:right w:w="15" w:type="dxa"/>
                  </w:tcMar>
                  <w:vAlign w:val="center"/>
                </w:tcPr>
                <w:p w14:paraId="0DB6AFEF">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b/>
                      <w:bCs w:val="0"/>
                      <w:sz w:val="21"/>
                      <w:szCs w:val="21"/>
                      <w:u w:val="single"/>
                    </w:rPr>
                  </w:pPr>
                </w:p>
              </w:tc>
              <w:tc>
                <w:tcPr>
                  <w:tcW w:w="172" w:type="pct"/>
                  <w:shd w:val="clear" w:color="auto" w:fill="auto"/>
                  <w:noWrap w:val="0"/>
                  <w:tcMar>
                    <w:top w:w="15" w:type="dxa"/>
                    <w:left w:w="15" w:type="dxa"/>
                    <w:right w:w="15" w:type="dxa"/>
                  </w:tcMar>
                  <w:vAlign w:val="center"/>
                </w:tcPr>
                <w:p w14:paraId="7149507A">
                  <w:pPr>
                    <w:spacing w:line="240" w:lineRule="auto"/>
                    <w:ind w:firstLine="0" w:firstLineChars="0"/>
                    <w:jc w:val="center"/>
                    <w:rPr>
                      <w:rFonts w:hint="eastAsia" w:ascii="Times New Roman" w:hAnsi="Times New Roman" w:eastAsia="宋体" w:cs="Times New Roman"/>
                      <w:b/>
                      <w:bCs w:val="0"/>
                      <w:color w:val="auto"/>
                      <w:kern w:val="2"/>
                      <w:sz w:val="21"/>
                      <w:szCs w:val="21"/>
                      <w:u w:val="single"/>
                      <w:lang w:val="en-US" w:eastAsia="zh-CN" w:bidi="ar-SA"/>
                    </w:rPr>
                  </w:pPr>
                  <w:r>
                    <w:rPr>
                      <w:rFonts w:hint="eastAsia" w:ascii="Times New Roman" w:hAnsi="Times New Roman" w:eastAsia="宋体" w:cs="Times New Roman"/>
                      <w:b/>
                      <w:bCs w:val="0"/>
                      <w:color w:val="auto"/>
                      <w:sz w:val="21"/>
                      <w:szCs w:val="21"/>
                      <w:u w:val="single"/>
                      <w:lang w:val="en-US" w:eastAsia="zh-CN"/>
                    </w:rPr>
                    <w:t>H</w:t>
                  </w:r>
                  <w:r>
                    <w:rPr>
                      <w:rFonts w:hint="eastAsia" w:ascii="Times New Roman" w:hAnsi="Times New Roman" w:eastAsia="宋体" w:cs="Times New Roman"/>
                      <w:b/>
                      <w:bCs w:val="0"/>
                      <w:color w:val="auto"/>
                      <w:sz w:val="21"/>
                      <w:szCs w:val="21"/>
                      <w:u w:val="single"/>
                      <w:vertAlign w:val="subscript"/>
                      <w:lang w:val="en-US" w:eastAsia="zh-CN"/>
                    </w:rPr>
                    <w:t>2</w:t>
                  </w:r>
                  <w:r>
                    <w:rPr>
                      <w:rFonts w:hint="eastAsia" w:ascii="Times New Roman" w:hAnsi="Times New Roman" w:eastAsia="宋体" w:cs="Times New Roman"/>
                      <w:b/>
                      <w:bCs w:val="0"/>
                      <w:color w:val="auto"/>
                      <w:sz w:val="21"/>
                      <w:szCs w:val="21"/>
                      <w:u w:val="single"/>
                      <w:lang w:val="en-US" w:eastAsia="zh-CN"/>
                    </w:rPr>
                    <w:t>S</w:t>
                  </w:r>
                </w:p>
              </w:tc>
              <w:tc>
                <w:tcPr>
                  <w:tcW w:w="239" w:type="pct"/>
                  <w:vMerge w:val="continue"/>
                  <w:noWrap w:val="0"/>
                  <w:tcMar>
                    <w:top w:w="15" w:type="dxa"/>
                    <w:left w:w="15" w:type="dxa"/>
                    <w:right w:w="15" w:type="dxa"/>
                  </w:tcMar>
                  <w:vAlign w:val="center"/>
                </w:tcPr>
                <w:p w14:paraId="759999AA">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bCs w:val="0"/>
                      <w:sz w:val="21"/>
                      <w:szCs w:val="21"/>
                      <w:u w:val="single"/>
                    </w:rPr>
                  </w:pPr>
                </w:p>
              </w:tc>
              <w:tc>
                <w:tcPr>
                  <w:tcW w:w="662" w:type="pct"/>
                  <w:vMerge w:val="continue"/>
                  <w:noWrap w:val="0"/>
                  <w:tcMar>
                    <w:top w:w="15" w:type="dxa"/>
                    <w:left w:w="15" w:type="dxa"/>
                    <w:right w:w="15" w:type="dxa"/>
                  </w:tcMar>
                  <w:vAlign w:val="center"/>
                </w:tcPr>
                <w:p w14:paraId="14D51BF9">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bCs w:val="0"/>
                      <w:kern w:val="0"/>
                      <w:sz w:val="21"/>
                      <w:szCs w:val="21"/>
                      <w:u w:val="single"/>
                      <w:lang w:bidi="ar"/>
                    </w:rPr>
                  </w:pPr>
                </w:p>
              </w:tc>
              <w:tc>
                <w:tcPr>
                  <w:tcW w:w="245" w:type="pct"/>
                  <w:noWrap w:val="0"/>
                  <w:tcMar>
                    <w:top w:w="15" w:type="dxa"/>
                    <w:left w:w="15" w:type="dxa"/>
                    <w:right w:w="15" w:type="dxa"/>
                  </w:tcMar>
                  <w:vAlign w:val="center"/>
                </w:tcPr>
                <w:p w14:paraId="0D9B8109">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bCs w:val="0"/>
                      <w:kern w:val="0"/>
                      <w:sz w:val="21"/>
                      <w:szCs w:val="21"/>
                      <w:u w:val="single"/>
                      <w:lang w:bidi="ar"/>
                    </w:rPr>
                  </w:pPr>
                  <w:r>
                    <w:rPr>
                      <w:rFonts w:hint="eastAsia"/>
                      <w:b/>
                      <w:bCs w:val="0"/>
                      <w:kern w:val="0"/>
                      <w:sz w:val="21"/>
                      <w:szCs w:val="21"/>
                      <w:u w:val="single"/>
                      <w:lang w:val="en-US" w:eastAsia="zh-CN" w:bidi="ar"/>
                    </w:rPr>
                    <w:t>/</w:t>
                  </w:r>
                </w:p>
              </w:tc>
              <w:tc>
                <w:tcPr>
                  <w:tcW w:w="300" w:type="pct"/>
                  <w:noWrap w:val="0"/>
                  <w:tcMar>
                    <w:top w:w="15" w:type="dxa"/>
                    <w:left w:w="15" w:type="dxa"/>
                    <w:right w:w="15" w:type="dxa"/>
                  </w:tcMar>
                  <w:vAlign w:val="center"/>
                </w:tcPr>
                <w:p w14:paraId="4C304976">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b/>
                      <w:bCs w:val="0"/>
                      <w:kern w:val="0"/>
                      <w:sz w:val="21"/>
                      <w:szCs w:val="21"/>
                      <w:u w:val="single"/>
                      <w:lang w:val="en-US" w:eastAsia="zh-CN" w:bidi="ar"/>
                    </w:rPr>
                  </w:pPr>
                  <w:r>
                    <w:rPr>
                      <w:rFonts w:hint="eastAsia"/>
                      <w:b/>
                      <w:bCs w:val="0"/>
                      <w:kern w:val="0"/>
                      <w:sz w:val="21"/>
                      <w:szCs w:val="21"/>
                      <w:u w:val="single"/>
                      <w:lang w:val="en-US" w:eastAsia="zh-CN" w:bidi="ar"/>
                    </w:rPr>
                    <w:t>0.0003</w:t>
                  </w:r>
                </w:p>
              </w:tc>
              <w:tc>
                <w:tcPr>
                  <w:tcW w:w="285" w:type="pct"/>
                  <w:noWrap w:val="0"/>
                  <w:tcMar>
                    <w:top w:w="15" w:type="dxa"/>
                    <w:left w:w="15" w:type="dxa"/>
                    <w:right w:w="15" w:type="dxa"/>
                  </w:tcMar>
                  <w:vAlign w:val="center"/>
                </w:tcPr>
                <w:p w14:paraId="74F9C4C6">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b/>
                      <w:bCs w:val="0"/>
                      <w:kern w:val="0"/>
                      <w:sz w:val="21"/>
                      <w:szCs w:val="21"/>
                      <w:u w:val="single"/>
                      <w:lang w:val="en-US" w:eastAsia="zh-CN" w:bidi="ar"/>
                    </w:rPr>
                  </w:pPr>
                  <w:r>
                    <w:rPr>
                      <w:rFonts w:hint="eastAsia"/>
                      <w:b/>
                      <w:bCs w:val="0"/>
                      <w:kern w:val="0"/>
                      <w:sz w:val="21"/>
                      <w:szCs w:val="21"/>
                      <w:u w:val="single"/>
                      <w:lang w:val="en-US" w:eastAsia="zh-CN" w:bidi="ar"/>
                    </w:rPr>
                    <w:t>0.00004</w:t>
                  </w:r>
                </w:p>
              </w:tc>
              <w:tc>
                <w:tcPr>
                  <w:tcW w:w="287" w:type="pct"/>
                  <w:noWrap w:val="0"/>
                  <w:tcMar>
                    <w:top w:w="15" w:type="dxa"/>
                    <w:left w:w="15" w:type="dxa"/>
                    <w:right w:w="15" w:type="dxa"/>
                  </w:tcMar>
                  <w:vAlign w:val="center"/>
                </w:tcPr>
                <w:p w14:paraId="3441466C">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bCs w:val="0"/>
                      <w:kern w:val="0"/>
                      <w:sz w:val="21"/>
                      <w:szCs w:val="21"/>
                      <w:u w:val="single"/>
                      <w:lang w:bidi="ar"/>
                    </w:rPr>
                  </w:pPr>
                  <w:r>
                    <w:rPr>
                      <w:rFonts w:hint="eastAsia"/>
                      <w:b/>
                      <w:bCs w:val="0"/>
                      <w:kern w:val="0"/>
                      <w:sz w:val="21"/>
                      <w:szCs w:val="21"/>
                      <w:u w:val="single"/>
                      <w:lang w:bidi="ar"/>
                    </w:rPr>
                    <w:t>/</w:t>
                  </w:r>
                </w:p>
              </w:tc>
              <w:tc>
                <w:tcPr>
                  <w:tcW w:w="321" w:type="pct"/>
                  <w:noWrap w:val="0"/>
                  <w:tcMar>
                    <w:top w:w="15" w:type="dxa"/>
                    <w:left w:w="15" w:type="dxa"/>
                    <w:right w:w="15" w:type="dxa"/>
                  </w:tcMar>
                  <w:vAlign w:val="center"/>
                </w:tcPr>
                <w:p w14:paraId="42DC87C1">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bCs w:val="0"/>
                      <w:kern w:val="0"/>
                      <w:sz w:val="21"/>
                      <w:szCs w:val="21"/>
                      <w:u w:val="single"/>
                      <w:lang w:bidi="ar"/>
                    </w:rPr>
                  </w:pPr>
                  <w:r>
                    <w:rPr>
                      <w:rFonts w:hint="eastAsia"/>
                      <w:b/>
                      <w:bCs w:val="0"/>
                      <w:kern w:val="0"/>
                      <w:sz w:val="21"/>
                      <w:szCs w:val="21"/>
                      <w:u w:val="single"/>
                      <w:lang w:bidi="ar"/>
                    </w:rPr>
                    <w:t>/</w:t>
                  </w:r>
                </w:p>
              </w:tc>
              <w:tc>
                <w:tcPr>
                  <w:tcW w:w="237" w:type="pct"/>
                  <w:noWrap w:val="0"/>
                  <w:tcMar>
                    <w:top w:w="15" w:type="dxa"/>
                    <w:left w:w="15" w:type="dxa"/>
                    <w:right w:w="15" w:type="dxa"/>
                  </w:tcMar>
                  <w:vAlign w:val="center"/>
                </w:tcPr>
                <w:p w14:paraId="7B4C6A54">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bCs w:val="0"/>
                      <w:kern w:val="0"/>
                      <w:sz w:val="21"/>
                      <w:szCs w:val="21"/>
                      <w:u w:val="single"/>
                      <w:lang w:bidi="ar"/>
                    </w:rPr>
                  </w:pPr>
                  <w:r>
                    <w:rPr>
                      <w:rFonts w:hint="eastAsia"/>
                      <w:b/>
                      <w:bCs w:val="0"/>
                      <w:kern w:val="0"/>
                      <w:sz w:val="21"/>
                      <w:szCs w:val="21"/>
                      <w:u w:val="single"/>
                      <w:lang w:bidi="ar"/>
                    </w:rPr>
                    <w:t>/</w:t>
                  </w:r>
                </w:p>
              </w:tc>
              <w:tc>
                <w:tcPr>
                  <w:tcW w:w="276" w:type="pct"/>
                  <w:noWrap w:val="0"/>
                  <w:tcMar>
                    <w:top w:w="15" w:type="dxa"/>
                    <w:left w:w="15" w:type="dxa"/>
                    <w:right w:w="15" w:type="dxa"/>
                  </w:tcMar>
                  <w:vAlign w:val="center"/>
                </w:tcPr>
                <w:p w14:paraId="5095785A">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bCs w:val="0"/>
                      <w:kern w:val="0"/>
                      <w:sz w:val="21"/>
                      <w:szCs w:val="21"/>
                      <w:u w:val="single"/>
                      <w:lang w:bidi="ar"/>
                    </w:rPr>
                  </w:pPr>
                  <w:r>
                    <w:rPr>
                      <w:rFonts w:hint="eastAsia"/>
                      <w:b/>
                      <w:bCs w:val="0"/>
                      <w:kern w:val="0"/>
                      <w:sz w:val="21"/>
                      <w:szCs w:val="21"/>
                      <w:u w:val="single"/>
                      <w:lang w:bidi="ar"/>
                    </w:rPr>
                    <w:t>/</w:t>
                  </w:r>
                </w:p>
              </w:tc>
              <w:tc>
                <w:tcPr>
                  <w:tcW w:w="360" w:type="pct"/>
                  <w:shd w:val="clear" w:color="auto" w:fill="auto"/>
                  <w:noWrap w:val="0"/>
                  <w:tcMar>
                    <w:top w:w="15" w:type="dxa"/>
                    <w:left w:w="15" w:type="dxa"/>
                    <w:right w:w="15" w:type="dxa"/>
                  </w:tcMar>
                  <w:vAlign w:val="center"/>
                </w:tcPr>
                <w:p w14:paraId="5FF93B92">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val="0"/>
                      <w:kern w:val="0"/>
                      <w:sz w:val="21"/>
                      <w:szCs w:val="21"/>
                      <w:u w:val="single"/>
                      <w:lang w:val="en-US" w:eastAsia="zh-CN" w:bidi="ar"/>
                    </w:rPr>
                  </w:pPr>
                  <w:r>
                    <w:rPr>
                      <w:rFonts w:hint="eastAsia"/>
                      <w:b/>
                      <w:bCs w:val="0"/>
                      <w:kern w:val="0"/>
                      <w:sz w:val="21"/>
                      <w:szCs w:val="21"/>
                      <w:u w:val="single"/>
                      <w:lang w:val="en-US" w:eastAsia="zh-CN" w:bidi="ar"/>
                    </w:rPr>
                    <w:t>0.0003</w:t>
                  </w:r>
                </w:p>
              </w:tc>
              <w:tc>
                <w:tcPr>
                  <w:tcW w:w="299" w:type="pct"/>
                  <w:shd w:val="clear" w:color="auto" w:fill="auto"/>
                  <w:noWrap w:val="0"/>
                  <w:tcMar>
                    <w:top w:w="15" w:type="dxa"/>
                    <w:left w:w="15" w:type="dxa"/>
                    <w:right w:w="15" w:type="dxa"/>
                  </w:tcMar>
                  <w:vAlign w:val="center"/>
                </w:tcPr>
                <w:p w14:paraId="4724654C">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val="0"/>
                      <w:kern w:val="0"/>
                      <w:sz w:val="21"/>
                      <w:szCs w:val="21"/>
                      <w:u w:val="single"/>
                      <w:lang w:val="en-US" w:eastAsia="zh-CN" w:bidi="ar"/>
                    </w:rPr>
                  </w:pPr>
                  <w:r>
                    <w:rPr>
                      <w:rFonts w:hint="eastAsia"/>
                      <w:b/>
                      <w:bCs w:val="0"/>
                      <w:kern w:val="0"/>
                      <w:sz w:val="21"/>
                      <w:szCs w:val="21"/>
                      <w:u w:val="single"/>
                      <w:lang w:val="en-US" w:eastAsia="zh-CN" w:bidi="ar"/>
                    </w:rPr>
                    <w:t>0.00004</w:t>
                  </w:r>
                </w:p>
              </w:tc>
              <w:tc>
                <w:tcPr>
                  <w:tcW w:w="274" w:type="pct"/>
                  <w:shd w:val="clear" w:color="auto" w:fill="auto"/>
                  <w:noWrap w:val="0"/>
                  <w:tcMar>
                    <w:top w:w="15" w:type="dxa"/>
                    <w:left w:w="15" w:type="dxa"/>
                    <w:right w:w="15" w:type="dxa"/>
                  </w:tcMar>
                  <w:vAlign w:val="center"/>
                </w:tcPr>
                <w:p w14:paraId="234ACAE4">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val="0"/>
                      <w:kern w:val="0"/>
                      <w:sz w:val="21"/>
                      <w:szCs w:val="21"/>
                      <w:u w:val="single"/>
                      <w:lang w:val="en-US" w:eastAsia="zh-CN" w:bidi="ar"/>
                    </w:rPr>
                  </w:pPr>
                  <w:r>
                    <w:rPr>
                      <w:rFonts w:hint="eastAsia"/>
                      <w:b/>
                      <w:bCs w:val="0"/>
                      <w:kern w:val="0"/>
                      <w:sz w:val="21"/>
                      <w:szCs w:val="21"/>
                      <w:u w:val="single"/>
                      <w:lang w:bidi="ar"/>
                    </w:rPr>
                    <w:t>/</w:t>
                  </w:r>
                </w:p>
              </w:tc>
              <w:tc>
                <w:tcPr>
                  <w:tcW w:w="242" w:type="pct"/>
                  <w:noWrap w:val="0"/>
                  <w:tcMar>
                    <w:top w:w="15" w:type="dxa"/>
                    <w:left w:w="15" w:type="dxa"/>
                    <w:right w:w="15" w:type="dxa"/>
                  </w:tcMar>
                  <w:vAlign w:val="center"/>
                </w:tcPr>
                <w:p w14:paraId="26815CD4">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val="0"/>
                      <w:kern w:val="0"/>
                      <w:sz w:val="21"/>
                      <w:szCs w:val="21"/>
                      <w:u w:val="single"/>
                      <w:lang w:bidi="ar"/>
                    </w:rPr>
                  </w:pPr>
                  <w:r>
                    <w:rPr>
                      <w:rFonts w:hint="eastAsia" w:ascii="Times New Roman" w:hAnsi="Times New Roman" w:eastAsia="宋体" w:cs="Times New Roman"/>
                      <w:b/>
                      <w:bCs w:val="0"/>
                      <w:kern w:val="0"/>
                      <w:sz w:val="21"/>
                      <w:szCs w:val="21"/>
                      <w:u w:val="single"/>
                      <w:lang w:val="en-US" w:eastAsia="zh-CN" w:bidi="ar"/>
                    </w:rPr>
                    <w:t>/</w:t>
                  </w:r>
                </w:p>
              </w:tc>
              <w:tc>
                <w:tcPr>
                  <w:tcW w:w="272" w:type="pct"/>
                  <w:noWrap w:val="0"/>
                  <w:tcMar>
                    <w:top w:w="15" w:type="dxa"/>
                    <w:left w:w="15" w:type="dxa"/>
                    <w:right w:w="15" w:type="dxa"/>
                  </w:tcMar>
                  <w:vAlign w:val="center"/>
                </w:tcPr>
                <w:p w14:paraId="60B94829">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val="0"/>
                      <w:kern w:val="0"/>
                      <w:sz w:val="21"/>
                      <w:szCs w:val="21"/>
                      <w:u w:val="single"/>
                      <w:lang w:bidi="ar"/>
                    </w:rPr>
                  </w:pPr>
                  <w:r>
                    <w:rPr>
                      <w:rFonts w:hint="eastAsia" w:ascii="Times New Roman" w:hAnsi="Times New Roman" w:eastAsia="宋体" w:cs="Times New Roman"/>
                      <w:b/>
                      <w:bCs w:val="0"/>
                      <w:kern w:val="0"/>
                      <w:sz w:val="21"/>
                      <w:szCs w:val="21"/>
                      <w:u w:val="single"/>
                      <w:lang w:val="en-US" w:eastAsia="zh-CN" w:bidi="ar"/>
                    </w:rPr>
                    <w:t>/</w:t>
                  </w:r>
                </w:p>
              </w:tc>
            </w:tr>
            <w:tr w14:paraId="786FD0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8" w:type="pct"/>
                  <w:vMerge w:val="continue"/>
                  <w:noWrap w:val="0"/>
                  <w:tcMar>
                    <w:top w:w="15" w:type="dxa"/>
                    <w:left w:w="15" w:type="dxa"/>
                    <w:right w:w="15" w:type="dxa"/>
                  </w:tcMar>
                  <w:vAlign w:val="center"/>
                </w:tcPr>
                <w:p w14:paraId="340FED0F">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bCs w:val="0"/>
                      <w:kern w:val="0"/>
                      <w:sz w:val="21"/>
                      <w:szCs w:val="21"/>
                      <w:u w:val="single"/>
                      <w:lang w:bidi="ar"/>
                    </w:rPr>
                  </w:pPr>
                </w:p>
              </w:tc>
              <w:tc>
                <w:tcPr>
                  <w:tcW w:w="372" w:type="pct"/>
                  <w:noWrap w:val="0"/>
                  <w:tcMar>
                    <w:top w:w="15" w:type="dxa"/>
                    <w:left w:w="15" w:type="dxa"/>
                    <w:right w:w="15" w:type="dxa"/>
                  </w:tcMar>
                  <w:vAlign w:val="center"/>
                </w:tcPr>
                <w:p w14:paraId="38A722C1">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eastAsia="宋体"/>
                      <w:b w:val="0"/>
                      <w:bCs/>
                      <w:sz w:val="21"/>
                      <w:szCs w:val="21"/>
                      <w:u w:val="none"/>
                      <w:lang w:val="en-US" w:eastAsia="zh-CN"/>
                    </w:rPr>
                  </w:pPr>
                  <w:r>
                    <w:rPr>
                      <w:rFonts w:hint="eastAsia"/>
                      <w:b w:val="0"/>
                      <w:bCs/>
                      <w:sz w:val="21"/>
                      <w:szCs w:val="21"/>
                      <w:u w:val="none"/>
                      <w:lang w:val="en-US" w:eastAsia="zh-CN"/>
                    </w:rPr>
                    <w:t>质检工序</w:t>
                  </w:r>
                </w:p>
              </w:tc>
              <w:tc>
                <w:tcPr>
                  <w:tcW w:w="172" w:type="pct"/>
                  <w:shd w:val="clear" w:color="auto" w:fill="auto"/>
                  <w:noWrap w:val="0"/>
                  <w:tcMar>
                    <w:top w:w="15" w:type="dxa"/>
                    <w:left w:w="15" w:type="dxa"/>
                    <w:right w:w="15" w:type="dxa"/>
                  </w:tcMar>
                  <w:vAlign w:val="center"/>
                </w:tcPr>
                <w:p w14:paraId="2FFB7363">
                  <w:pPr>
                    <w:spacing w:line="240" w:lineRule="auto"/>
                    <w:ind w:firstLine="0" w:firstLineChars="0"/>
                    <w:jc w:val="center"/>
                    <w:rPr>
                      <w:rFonts w:hint="eastAsia" w:ascii="Times New Roman" w:hAnsi="Times New Roman" w:eastAsia="宋体" w:cs="Times New Roman"/>
                      <w:b w:val="0"/>
                      <w:bCs/>
                      <w:color w:val="auto"/>
                      <w:sz w:val="21"/>
                      <w:szCs w:val="21"/>
                      <w:u w:val="none"/>
                      <w:lang w:val="en-US" w:eastAsia="zh-CN"/>
                    </w:rPr>
                  </w:pPr>
                  <w:r>
                    <w:rPr>
                      <w:rFonts w:hint="eastAsia"/>
                      <w:b w:val="0"/>
                      <w:bCs/>
                      <w:sz w:val="21"/>
                      <w:szCs w:val="21"/>
                      <w:u w:val="none"/>
                      <w:lang w:val="en-US" w:eastAsia="zh-CN"/>
                    </w:rPr>
                    <w:t>VOCs</w:t>
                  </w:r>
                </w:p>
              </w:tc>
              <w:tc>
                <w:tcPr>
                  <w:tcW w:w="239" w:type="pct"/>
                  <w:noWrap w:val="0"/>
                  <w:tcMar>
                    <w:top w:w="15" w:type="dxa"/>
                    <w:left w:w="15" w:type="dxa"/>
                    <w:right w:w="15" w:type="dxa"/>
                  </w:tcMar>
                  <w:vAlign w:val="center"/>
                </w:tcPr>
                <w:p w14:paraId="54991E72">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eastAsia="宋体"/>
                      <w:b w:val="0"/>
                      <w:bCs/>
                      <w:sz w:val="21"/>
                      <w:szCs w:val="21"/>
                      <w:u w:val="none"/>
                      <w:lang w:val="en-US" w:eastAsia="zh-CN"/>
                    </w:rPr>
                  </w:pPr>
                  <w:r>
                    <w:rPr>
                      <w:rFonts w:hint="eastAsia"/>
                      <w:b w:val="0"/>
                      <w:bCs/>
                      <w:sz w:val="21"/>
                      <w:szCs w:val="21"/>
                      <w:u w:val="none"/>
                      <w:lang w:val="en-US" w:eastAsia="zh-CN"/>
                    </w:rPr>
                    <w:t>900</w:t>
                  </w:r>
                </w:p>
              </w:tc>
              <w:tc>
                <w:tcPr>
                  <w:tcW w:w="662" w:type="pct"/>
                  <w:noWrap w:val="0"/>
                  <w:tcMar>
                    <w:top w:w="15" w:type="dxa"/>
                    <w:left w:w="15" w:type="dxa"/>
                    <w:right w:w="15" w:type="dxa"/>
                  </w:tcMar>
                  <w:vAlign w:val="center"/>
                </w:tcPr>
                <w:p w14:paraId="5560FD70">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val="0"/>
                      <w:bCs/>
                      <w:kern w:val="0"/>
                      <w:sz w:val="21"/>
                      <w:szCs w:val="21"/>
                      <w:u w:val="none"/>
                      <w:lang w:bidi="ar"/>
                    </w:rPr>
                  </w:pPr>
                  <w:r>
                    <w:rPr>
                      <w:rFonts w:hint="eastAsia"/>
                      <w:b w:val="0"/>
                      <w:bCs/>
                      <w:kern w:val="0"/>
                      <w:sz w:val="21"/>
                      <w:szCs w:val="21"/>
                      <w:u w:val="none"/>
                      <w:lang w:val="en-US" w:eastAsia="zh-CN" w:bidi="ar"/>
                    </w:rPr>
                    <w:t>通风橱内进行</w:t>
                  </w:r>
                </w:p>
              </w:tc>
              <w:tc>
                <w:tcPr>
                  <w:tcW w:w="245" w:type="pct"/>
                  <w:noWrap w:val="0"/>
                  <w:tcMar>
                    <w:top w:w="15" w:type="dxa"/>
                    <w:left w:w="15" w:type="dxa"/>
                    <w:right w:w="15" w:type="dxa"/>
                  </w:tcMar>
                  <w:vAlign w:val="center"/>
                </w:tcPr>
                <w:p w14:paraId="1D4B4B3F">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val="0"/>
                      <w:bCs/>
                      <w:kern w:val="0"/>
                      <w:sz w:val="21"/>
                      <w:szCs w:val="21"/>
                      <w:u w:val="none"/>
                      <w:lang w:bidi="ar"/>
                    </w:rPr>
                  </w:pPr>
                  <w:r>
                    <w:rPr>
                      <w:rFonts w:hint="eastAsia"/>
                      <w:b w:val="0"/>
                      <w:bCs/>
                      <w:kern w:val="0"/>
                      <w:sz w:val="21"/>
                      <w:szCs w:val="21"/>
                      <w:u w:val="none"/>
                      <w:lang w:val="en-US" w:eastAsia="zh-CN" w:bidi="ar"/>
                    </w:rPr>
                    <w:t>/</w:t>
                  </w:r>
                </w:p>
              </w:tc>
              <w:tc>
                <w:tcPr>
                  <w:tcW w:w="300" w:type="pct"/>
                  <w:noWrap w:val="0"/>
                  <w:tcMar>
                    <w:top w:w="15" w:type="dxa"/>
                    <w:left w:w="15" w:type="dxa"/>
                    <w:right w:w="15" w:type="dxa"/>
                  </w:tcMar>
                  <w:vAlign w:val="center"/>
                </w:tcPr>
                <w:p w14:paraId="757CDA4C">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b w:val="0"/>
                      <w:bCs/>
                      <w:kern w:val="0"/>
                      <w:sz w:val="21"/>
                      <w:szCs w:val="21"/>
                      <w:u w:val="none"/>
                      <w:lang w:val="en-US" w:eastAsia="zh-CN" w:bidi="ar"/>
                    </w:rPr>
                  </w:pPr>
                  <w:r>
                    <w:rPr>
                      <w:rFonts w:hint="eastAsia"/>
                      <w:b w:val="0"/>
                      <w:bCs/>
                      <w:kern w:val="0"/>
                      <w:sz w:val="21"/>
                      <w:szCs w:val="21"/>
                      <w:u w:val="none"/>
                      <w:lang w:val="en-US" w:eastAsia="zh-CN" w:bidi="ar"/>
                    </w:rPr>
                    <w:t>0.0020</w:t>
                  </w:r>
                </w:p>
              </w:tc>
              <w:tc>
                <w:tcPr>
                  <w:tcW w:w="285" w:type="pct"/>
                  <w:noWrap w:val="0"/>
                  <w:tcMar>
                    <w:top w:w="15" w:type="dxa"/>
                    <w:left w:w="15" w:type="dxa"/>
                    <w:right w:w="15" w:type="dxa"/>
                  </w:tcMar>
                  <w:vAlign w:val="center"/>
                </w:tcPr>
                <w:p w14:paraId="3A169159">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b w:val="0"/>
                      <w:bCs/>
                      <w:kern w:val="0"/>
                      <w:sz w:val="21"/>
                      <w:szCs w:val="21"/>
                      <w:u w:val="none"/>
                      <w:lang w:val="en-US" w:eastAsia="zh-CN" w:bidi="ar"/>
                    </w:rPr>
                  </w:pPr>
                  <w:r>
                    <w:rPr>
                      <w:rFonts w:hint="eastAsia"/>
                      <w:b w:val="0"/>
                      <w:bCs/>
                      <w:kern w:val="0"/>
                      <w:sz w:val="21"/>
                      <w:szCs w:val="21"/>
                      <w:u w:val="none"/>
                      <w:lang w:val="en-US" w:eastAsia="zh-CN" w:bidi="ar"/>
                    </w:rPr>
                    <w:t>0.0022</w:t>
                  </w:r>
                </w:p>
              </w:tc>
              <w:tc>
                <w:tcPr>
                  <w:tcW w:w="287" w:type="pct"/>
                  <w:shd w:val="clear" w:color="auto" w:fill="auto"/>
                  <w:noWrap w:val="0"/>
                  <w:tcMar>
                    <w:top w:w="15" w:type="dxa"/>
                    <w:left w:w="15" w:type="dxa"/>
                    <w:right w:w="15" w:type="dxa"/>
                  </w:tcMar>
                  <w:vAlign w:val="center"/>
                </w:tcPr>
                <w:p w14:paraId="4FCC940B">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kern w:val="0"/>
                      <w:sz w:val="21"/>
                      <w:szCs w:val="21"/>
                      <w:u w:val="none"/>
                      <w:lang w:val="en-US" w:eastAsia="zh-CN" w:bidi="ar"/>
                    </w:rPr>
                  </w:pPr>
                  <w:r>
                    <w:rPr>
                      <w:rFonts w:hint="eastAsia"/>
                      <w:b w:val="0"/>
                      <w:bCs/>
                      <w:kern w:val="0"/>
                      <w:sz w:val="21"/>
                      <w:szCs w:val="21"/>
                      <w:u w:val="none"/>
                      <w:lang w:bidi="ar"/>
                    </w:rPr>
                    <w:t>/</w:t>
                  </w:r>
                </w:p>
              </w:tc>
              <w:tc>
                <w:tcPr>
                  <w:tcW w:w="321" w:type="pct"/>
                  <w:shd w:val="clear" w:color="auto" w:fill="auto"/>
                  <w:noWrap w:val="0"/>
                  <w:tcMar>
                    <w:top w:w="15" w:type="dxa"/>
                    <w:left w:w="15" w:type="dxa"/>
                    <w:right w:w="15" w:type="dxa"/>
                  </w:tcMar>
                  <w:vAlign w:val="center"/>
                </w:tcPr>
                <w:p w14:paraId="4690F755">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kern w:val="0"/>
                      <w:sz w:val="21"/>
                      <w:szCs w:val="21"/>
                      <w:u w:val="none"/>
                      <w:lang w:val="en-US" w:eastAsia="zh-CN" w:bidi="ar"/>
                    </w:rPr>
                  </w:pPr>
                  <w:r>
                    <w:rPr>
                      <w:rFonts w:hint="eastAsia"/>
                      <w:b w:val="0"/>
                      <w:bCs/>
                      <w:kern w:val="0"/>
                      <w:sz w:val="21"/>
                      <w:szCs w:val="21"/>
                      <w:u w:val="none"/>
                      <w:lang w:bidi="ar"/>
                    </w:rPr>
                    <w:t>/</w:t>
                  </w:r>
                </w:p>
              </w:tc>
              <w:tc>
                <w:tcPr>
                  <w:tcW w:w="237" w:type="pct"/>
                  <w:shd w:val="clear" w:color="auto" w:fill="auto"/>
                  <w:noWrap w:val="0"/>
                  <w:tcMar>
                    <w:top w:w="15" w:type="dxa"/>
                    <w:left w:w="15" w:type="dxa"/>
                    <w:right w:w="15" w:type="dxa"/>
                  </w:tcMar>
                  <w:vAlign w:val="center"/>
                </w:tcPr>
                <w:p w14:paraId="7A7748D1">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kern w:val="0"/>
                      <w:sz w:val="21"/>
                      <w:szCs w:val="21"/>
                      <w:u w:val="none"/>
                      <w:lang w:val="en-US" w:eastAsia="zh-CN" w:bidi="ar"/>
                    </w:rPr>
                  </w:pPr>
                  <w:r>
                    <w:rPr>
                      <w:rFonts w:hint="eastAsia"/>
                      <w:b w:val="0"/>
                      <w:bCs/>
                      <w:kern w:val="0"/>
                      <w:sz w:val="21"/>
                      <w:szCs w:val="21"/>
                      <w:u w:val="none"/>
                      <w:lang w:bidi="ar"/>
                    </w:rPr>
                    <w:t>/</w:t>
                  </w:r>
                </w:p>
              </w:tc>
              <w:tc>
                <w:tcPr>
                  <w:tcW w:w="276" w:type="pct"/>
                  <w:shd w:val="clear" w:color="auto" w:fill="auto"/>
                  <w:noWrap w:val="0"/>
                  <w:tcMar>
                    <w:top w:w="15" w:type="dxa"/>
                    <w:left w:w="15" w:type="dxa"/>
                    <w:right w:w="15" w:type="dxa"/>
                  </w:tcMar>
                  <w:vAlign w:val="center"/>
                </w:tcPr>
                <w:p w14:paraId="68FAE87A">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kern w:val="0"/>
                      <w:sz w:val="21"/>
                      <w:szCs w:val="21"/>
                      <w:u w:val="none"/>
                      <w:lang w:val="en-US" w:eastAsia="zh-CN" w:bidi="ar"/>
                    </w:rPr>
                  </w:pPr>
                  <w:r>
                    <w:rPr>
                      <w:rFonts w:hint="eastAsia"/>
                      <w:b w:val="0"/>
                      <w:bCs/>
                      <w:kern w:val="0"/>
                      <w:sz w:val="21"/>
                      <w:szCs w:val="21"/>
                      <w:u w:val="none"/>
                      <w:lang w:bidi="ar"/>
                    </w:rPr>
                    <w:t>/</w:t>
                  </w:r>
                </w:p>
              </w:tc>
              <w:tc>
                <w:tcPr>
                  <w:tcW w:w="360" w:type="pct"/>
                  <w:shd w:val="clear" w:color="auto" w:fill="auto"/>
                  <w:noWrap w:val="0"/>
                  <w:tcMar>
                    <w:top w:w="15" w:type="dxa"/>
                    <w:left w:w="15" w:type="dxa"/>
                    <w:right w:w="15" w:type="dxa"/>
                  </w:tcMar>
                  <w:vAlign w:val="center"/>
                </w:tcPr>
                <w:p w14:paraId="510008AF">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kern w:val="0"/>
                      <w:sz w:val="21"/>
                      <w:szCs w:val="21"/>
                      <w:u w:val="none"/>
                      <w:lang w:val="en-US" w:eastAsia="zh-CN" w:bidi="ar"/>
                    </w:rPr>
                  </w:pPr>
                  <w:r>
                    <w:rPr>
                      <w:rFonts w:hint="eastAsia"/>
                      <w:b w:val="0"/>
                      <w:bCs/>
                      <w:kern w:val="0"/>
                      <w:sz w:val="21"/>
                      <w:szCs w:val="21"/>
                      <w:u w:val="none"/>
                      <w:lang w:val="en-US" w:eastAsia="zh-CN" w:bidi="ar"/>
                    </w:rPr>
                    <w:t>0.0020</w:t>
                  </w:r>
                </w:p>
              </w:tc>
              <w:tc>
                <w:tcPr>
                  <w:tcW w:w="299" w:type="pct"/>
                  <w:shd w:val="clear" w:color="auto" w:fill="auto"/>
                  <w:noWrap w:val="0"/>
                  <w:tcMar>
                    <w:top w:w="15" w:type="dxa"/>
                    <w:left w:w="15" w:type="dxa"/>
                    <w:right w:w="15" w:type="dxa"/>
                  </w:tcMar>
                  <w:vAlign w:val="center"/>
                </w:tcPr>
                <w:p w14:paraId="1FB849DE">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kern w:val="0"/>
                      <w:sz w:val="21"/>
                      <w:szCs w:val="21"/>
                      <w:u w:val="none"/>
                      <w:lang w:val="en-US" w:eastAsia="zh-CN" w:bidi="ar"/>
                    </w:rPr>
                  </w:pPr>
                  <w:r>
                    <w:rPr>
                      <w:rFonts w:hint="eastAsia"/>
                      <w:b w:val="0"/>
                      <w:bCs/>
                      <w:kern w:val="0"/>
                      <w:sz w:val="21"/>
                      <w:szCs w:val="21"/>
                      <w:u w:val="none"/>
                      <w:lang w:val="en-US" w:eastAsia="zh-CN" w:bidi="ar"/>
                    </w:rPr>
                    <w:t>0.0022</w:t>
                  </w:r>
                </w:p>
              </w:tc>
              <w:tc>
                <w:tcPr>
                  <w:tcW w:w="274" w:type="pct"/>
                  <w:shd w:val="clear" w:color="auto" w:fill="auto"/>
                  <w:noWrap w:val="0"/>
                  <w:tcMar>
                    <w:top w:w="15" w:type="dxa"/>
                    <w:left w:w="15" w:type="dxa"/>
                    <w:right w:w="15" w:type="dxa"/>
                  </w:tcMar>
                  <w:vAlign w:val="center"/>
                </w:tcPr>
                <w:p w14:paraId="5878CD4A">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kern w:val="0"/>
                      <w:sz w:val="21"/>
                      <w:szCs w:val="21"/>
                      <w:u w:val="none"/>
                      <w:lang w:val="en-US" w:eastAsia="zh-CN" w:bidi="ar"/>
                    </w:rPr>
                  </w:pPr>
                  <w:r>
                    <w:rPr>
                      <w:rFonts w:hint="eastAsia"/>
                      <w:b w:val="0"/>
                      <w:bCs/>
                      <w:kern w:val="0"/>
                      <w:sz w:val="21"/>
                      <w:szCs w:val="21"/>
                      <w:u w:val="none"/>
                      <w:lang w:bidi="ar"/>
                    </w:rPr>
                    <w:t>/</w:t>
                  </w:r>
                </w:p>
              </w:tc>
              <w:tc>
                <w:tcPr>
                  <w:tcW w:w="242" w:type="pct"/>
                  <w:noWrap w:val="0"/>
                  <w:tcMar>
                    <w:top w:w="15" w:type="dxa"/>
                    <w:left w:w="15" w:type="dxa"/>
                    <w:right w:w="15" w:type="dxa"/>
                  </w:tcMar>
                  <w:vAlign w:val="center"/>
                </w:tcPr>
                <w:p w14:paraId="3DB436CF">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val="0"/>
                      <w:bCs/>
                      <w:kern w:val="0"/>
                      <w:sz w:val="21"/>
                      <w:szCs w:val="21"/>
                      <w:u w:val="none"/>
                      <w:lang w:bidi="ar"/>
                    </w:rPr>
                  </w:pPr>
                  <w:r>
                    <w:rPr>
                      <w:rFonts w:hint="eastAsia"/>
                      <w:b w:val="0"/>
                      <w:bCs/>
                      <w:kern w:val="0"/>
                      <w:sz w:val="21"/>
                      <w:szCs w:val="21"/>
                      <w:u w:val="none"/>
                      <w:lang w:val="en-US" w:eastAsia="zh-CN" w:bidi="ar"/>
                    </w:rPr>
                    <w:t>/</w:t>
                  </w:r>
                </w:p>
              </w:tc>
              <w:tc>
                <w:tcPr>
                  <w:tcW w:w="272" w:type="pct"/>
                  <w:noWrap w:val="0"/>
                  <w:tcMar>
                    <w:top w:w="15" w:type="dxa"/>
                    <w:left w:w="15" w:type="dxa"/>
                    <w:right w:w="15" w:type="dxa"/>
                  </w:tcMar>
                  <w:vAlign w:val="center"/>
                </w:tcPr>
                <w:p w14:paraId="7288A1FA">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b w:val="0"/>
                      <w:bCs/>
                      <w:kern w:val="0"/>
                      <w:sz w:val="21"/>
                      <w:szCs w:val="21"/>
                      <w:u w:val="none"/>
                      <w:lang w:bidi="ar"/>
                    </w:rPr>
                  </w:pPr>
                  <w:r>
                    <w:rPr>
                      <w:rFonts w:hint="eastAsia"/>
                      <w:b w:val="0"/>
                      <w:bCs/>
                      <w:kern w:val="0"/>
                      <w:sz w:val="21"/>
                      <w:szCs w:val="21"/>
                      <w:u w:val="none"/>
                      <w:lang w:val="en-US" w:eastAsia="zh-CN" w:bidi="ar"/>
                    </w:rPr>
                    <w:t>/</w:t>
                  </w:r>
                </w:p>
              </w:tc>
            </w:tr>
          </w:tbl>
          <w:p w14:paraId="603A7E55">
            <w:pPr>
              <w:ind w:firstLine="440"/>
              <w:rPr>
                <w:rFonts w:hint="eastAsia" w:ascii="宋体" w:hAnsi="宋体" w:cs="宋体"/>
                <w:bCs/>
                <w:color w:val="auto"/>
                <w:spacing w:val="-10"/>
              </w:rPr>
            </w:pPr>
          </w:p>
        </w:tc>
      </w:tr>
    </w:tbl>
    <w:p w14:paraId="061F9757">
      <w:pPr>
        <w:sectPr>
          <w:pgSz w:w="16838" w:h="11906" w:orient="landscape"/>
          <w:pgMar w:top="1587" w:right="1418" w:bottom="1417" w:left="1418" w:header="1134" w:footer="1134" w:gutter="0"/>
          <w:pgBorders>
            <w:top w:val="none" w:sz="0" w:space="0"/>
            <w:left w:val="none" w:sz="0" w:space="0"/>
            <w:bottom w:val="none" w:sz="0" w:space="0"/>
            <w:right w:val="none" w:sz="0" w:space="0"/>
          </w:pgBorders>
          <w:cols w:space="0" w:num="1"/>
          <w:rtlGutter w:val="0"/>
          <w:docGrid w:linePitch="326" w:charSpace="0"/>
        </w:sectPr>
      </w:pPr>
    </w:p>
    <w:p w14:paraId="6A5F7B0E">
      <w:pPr>
        <w:pStyle w:val="13"/>
      </w:pP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28" w:type="dxa"/>
          <w:bottom w:w="28" w:type="dxa"/>
          <w:right w:w="28" w:type="dxa"/>
        </w:tblCellMar>
      </w:tblPr>
      <w:tblGrid>
        <w:gridCol w:w="810"/>
        <w:gridCol w:w="8146"/>
      </w:tblGrid>
      <w:tr w14:paraId="71A7F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67" w:hRule="atLeast"/>
          <w:jc w:val="center"/>
        </w:trPr>
        <w:tc>
          <w:tcPr>
            <w:tcW w:w="461" w:type="pct"/>
            <w:tcMar>
              <w:left w:w="28" w:type="dxa"/>
              <w:right w:w="28" w:type="dxa"/>
            </w:tcMar>
            <w:vAlign w:val="center"/>
          </w:tcPr>
          <w:p w14:paraId="2B7A31B0">
            <w:pPr>
              <w:adjustRightInd w:val="0"/>
              <w:snapToGrid w:val="0"/>
              <w:spacing w:line="240" w:lineRule="auto"/>
              <w:ind w:firstLine="0" w:firstLineChars="0"/>
              <w:jc w:val="center"/>
              <w:rPr>
                <w:rFonts w:hint="eastAsia" w:ascii="宋体" w:hAnsi="宋体" w:cs="宋体"/>
                <w:bCs/>
                <w:color w:val="auto"/>
              </w:rPr>
            </w:pPr>
            <w:r>
              <w:rPr>
                <w:rFonts w:hint="eastAsia" w:ascii="宋体" w:hAnsi="宋体" w:cs="宋体"/>
                <w:bCs/>
                <w:color w:val="auto"/>
              </w:rPr>
              <w:t>运营期环境影响和保护措施</w:t>
            </w:r>
          </w:p>
        </w:tc>
        <w:tc>
          <w:tcPr>
            <w:tcW w:w="4538" w:type="pct"/>
            <w:vAlign w:val="center"/>
          </w:tcPr>
          <w:p w14:paraId="49F48630">
            <w:pPr>
              <w:ind w:firstLine="480"/>
              <w:rPr>
                <w:rFonts w:hint="default" w:eastAsia="宋体"/>
                <w:b/>
                <w:bCs/>
                <w:color w:val="auto"/>
                <w:lang w:val="en-US" w:eastAsia="zh-CN"/>
              </w:rPr>
            </w:pPr>
            <w:r>
              <w:rPr>
                <w:rFonts w:hint="eastAsia"/>
                <w:b/>
                <w:bCs/>
                <w:color w:val="auto"/>
              </w:rPr>
              <w:t>（1）</w:t>
            </w:r>
            <w:r>
              <w:rPr>
                <w:rFonts w:hint="eastAsia"/>
                <w:b/>
                <w:bCs/>
                <w:color w:val="auto"/>
                <w:lang w:val="en-US" w:eastAsia="zh-CN"/>
              </w:rPr>
              <w:t>中药材异味</w:t>
            </w:r>
          </w:p>
          <w:p w14:paraId="1CF5FCB1">
            <w:pPr>
              <w:ind w:firstLine="480"/>
              <w:rPr>
                <w:rFonts w:hint="eastAsia"/>
                <w:color w:val="auto"/>
              </w:rPr>
            </w:pPr>
            <w:r>
              <w:rPr>
                <w:rFonts w:hint="eastAsia"/>
                <w:color w:val="auto"/>
              </w:rPr>
              <w:t>中药材干燥、煅制、蒸煮</w:t>
            </w:r>
            <w:r>
              <w:rPr>
                <w:rFonts w:hint="eastAsia"/>
                <w:color w:val="auto"/>
                <w:lang w:eastAsia="zh-CN"/>
              </w:rPr>
              <w:t>、</w:t>
            </w:r>
            <w:r>
              <w:rPr>
                <w:rFonts w:hint="eastAsia"/>
                <w:color w:val="auto"/>
              </w:rPr>
              <w:t>燀等工序会产生少量的蒸汽，主要为水蒸气和中药异味。该类中药气味统称为异味气体。盐制、酒炙、醋制、姜汁炙、蜜炙等均使用炒药机炒制，中药材在炒制等过程中会产生的废气主要为水蒸气和中药异味</w:t>
            </w:r>
            <w:r>
              <w:rPr>
                <w:rFonts w:hint="eastAsia"/>
                <w:color w:val="auto"/>
                <w:lang w:eastAsia="zh-CN"/>
              </w:rPr>
              <w:t>；</w:t>
            </w:r>
            <w:r>
              <w:rPr>
                <w:rFonts w:hint="eastAsia"/>
                <w:color w:val="auto"/>
              </w:rPr>
              <w:t>发酵过程，细胞有氧和厌氧呼吸产生的异味；中药</w:t>
            </w:r>
            <w:r>
              <w:rPr>
                <w:rFonts w:hint="eastAsia"/>
                <w:color w:val="auto"/>
                <w:lang w:val="en-US" w:eastAsia="zh-CN"/>
              </w:rPr>
              <w:t>提取</w:t>
            </w:r>
            <w:r>
              <w:rPr>
                <w:rFonts w:hint="eastAsia"/>
                <w:color w:val="auto"/>
              </w:rPr>
              <w:t>浓缩产生的水蒸汽夹带有中药气味，是中药提取最主要的异味产生源；发酵渣与中药药渣</w:t>
            </w:r>
            <w:r>
              <w:rPr>
                <w:rFonts w:hint="eastAsia"/>
                <w:color w:val="auto"/>
                <w:lang w:val="en-US" w:eastAsia="zh-CN"/>
              </w:rPr>
              <w:t>暂存过程中产生的异味。</w:t>
            </w:r>
          </w:p>
          <w:p w14:paraId="3CC75395">
            <w:pPr>
              <w:ind w:firstLine="480"/>
              <w:rPr>
                <w:rFonts w:hint="eastAsia"/>
                <w:b/>
                <w:bCs/>
                <w:color w:val="auto"/>
                <w:u w:val="single"/>
              </w:rPr>
            </w:pPr>
            <w:r>
              <w:rPr>
                <w:rFonts w:hint="eastAsia"/>
                <w:b/>
                <w:bCs/>
                <w:color w:val="auto"/>
                <w:u w:val="single"/>
                <w:lang w:val="en-US" w:eastAsia="zh-CN"/>
              </w:rPr>
              <w:t>本项目</w:t>
            </w:r>
            <w:r>
              <w:rPr>
                <w:rFonts w:hint="eastAsia"/>
                <w:b/>
                <w:bCs/>
                <w:color w:val="auto"/>
                <w:u w:val="single"/>
              </w:rPr>
              <w:t>中药饮片生产车间、蒸煮酒炙间、炒炙间、煅炙间、干燥间</w:t>
            </w:r>
            <w:r>
              <w:rPr>
                <w:rFonts w:hint="eastAsia"/>
                <w:b/>
                <w:bCs/>
                <w:color w:val="auto"/>
                <w:u w:val="single"/>
                <w:lang w:eastAsia="zh-CN"/>
              </w:rPr>
              <w:t>、</w:t>
            </w:r>
            <w:r>
              <w:rPr>
                <w:rFonts w:hint="eastAsia"/>
                <w:b/>
                <w:bCs/>
                <w:color w:val="auto"/>
                <w:u w:val="single"/>
                <w:lang w:val="en-US" w:eastAsia="zh-CN"/>
              </w:rPr>
              <w:t>发酵间、提取浓缩</w:t>
            </w:r>
            <w:r>
              <w:rPr>
                <w:rFonts w:hint="eastAsia"/>
                <w:b/>
                <w:bCs/>
                <w:color w:val="auto"/>
                <w:u w:val="single"/>
              </w:rPr>
              <w:t>设置为密闭作业房</w:t>
            </w:r>
            <w:r>
              <w:rPr>
                <w:rFonts w:hint="eastAsia"/>
                <w:b/>
                <w:bCs/>
                <w:color w:val="auto"/>
                <w:u w:val="single"/>
                <w:lang w:eastAsia="zh-CN"/>
              </w:rPr>
              <w:t>，</w:t>
            </w:r>
            <w:r>
              <w:rPr>
                <w:rFonts w:hint="eastAsia"/>
                <w:b/>
                <w:bCs/>
                <w:color w:val="auto"/>
                <w:u w:val="single"/>
              </w:rPr>
              <w:t>拟在产异味装置上方分别设置集气罩，整体密闭房设置负压抽风，负压抽风收集的异味先经“喷淋塔+水雾分离器+活性炭”后</w:t>
            </w:r>
            <w:r>
              <w:rPr>
                <w:rFonts w:hint="eastAsia"/>
                <w:b/>
                <w:bCs/>
                <w:color w:val="auto"/>
                <w:u w:val="single"/>
                <w:lang w:val="en-US" w:eastAsia="zh-CN"/>
              </w:rPr>
              <w:t>通过15m高排气筒排放</w:t>
            </w:r>
            <w:r>
              <w:rPr>
                <w:rFonts w:hint="eastAsia"/>
                <w:b/>
                <w:bCs/>
                <w:color w:val="auto"/>
                <w:u w:val="single"/>
              </w:rPr>
              <w:t>。</w:t>
            </w:r>
          </w:p>
          <w:p w14:paraId="0E3EFED0">
            <w:pPr>
              <w:ind w:firstLine="480"/>
              <w:rPr>
                <w:rFonts w:hint="eastAsia"/>
                <w:b/>
                <w:bCs/>
                <w:color w:val="auto"/>
                <w:u w:val="single"/>
              </w:rPr>
            </w:pPr>
            <w:r>
              <w:rPr>
                <w:rFonts w:hint="eastAsia"/>
                <w:b/>
                <w:bCs/>
                <w:color w:val="auto"/>
                <w:u w:val="single"/>
                <w:lang w:val="en-US" w:eastAsia="zh-CN"/>
              </w:rPr>
              <w:t>药渣暂存间以及危废暂存间设置在1#建筑物与2#建筑物质检，</w:t>
            </w:r>
            <w:r>
              <w:rPr>
                <w:rFonts w:hint="eastAsia"/>
                <w:b/>
                <w:bCs/>
                <w:color w:val="auto"/>
                <w:u w:val="single"/>
              </w:rPr>
              <w:t>发酵渣与中药药渣</w:t>
            </w:r>
            <w:r>
              <w:rPr>
                <w:rFonts w:hint="eastAsia"/>
                <w:b/>
                <w:bCs/>
                <w:color w:val="auto"/>
                <w:u w:val="single"/>
                <w:lang w:val="en-US" w:eastAsia="zh-CN"/>
              </w:rPr>
              <w:t>暂存过程中产生的异味引至上述中药饮片生产车间的</w:t>
            </w:r>
            <w:r>
              <w:rPr>
                <w:rFonts w:hint="eastAsia"/>
                <w:b/>
                <w:bCs/>
                <w:color w:val="auto"/>
                <w:u w:val="single"/>
              </w:rPr>
              <w:t>“喷淋塔+水雾分离器+活性炭”</w:t>
            </w:r>
            <w:r>
              <w:rPr>
                <w:rFonts w:hint="eastAsia"/>
                <w:b/>
                <w:bCs/>
                <w:color w:val="auto"/>
                <w:u w:val="single"/>
                <w:lang w:val="en-US" w:eastAsia="zh-CN"/>
              </w:rPr>
              <w:t>装置，处理</w:t>
            </w:r>
            <w:r>
              <w:rPr>
                <w:rFonts w:hint="eastAsia"/>
                <w:b/>
                <w:bCs/>
                <w:color w:val="auto"/>
                <w:u w:val="single"/>
              </w:rPr>
              <w:t>后</w:t>
            </w:r>
            <w:r>
              <w:rPr>
                <w:rFonts w:hint="eastAsia"/>
                <w:b/>
                <w:bCs/>
                <w:color w:val="auto"/>
                <w:u w:val="single"/>
                <w:lang w:val="en-US" w:eastAsia="zh-CN"/>
              </w:rPr>
              <w:t>通过15m高排气筒排放</w:t>
            </w:r>
            <w:r>
              <w:rPr>
                <w:rFonts w:hint="eastAsia"/>
                <w:b/>
                <w:bCs/>
                <w:color w:val="auto"/>
                <w:u w:val="single"/>
              </w:rPr>
              <w:t>。</w:t>
            </w:r>
          </w:p>
          <w:p w14:paraId="3EB5A7B2">
            <w:pPr>
              <w:ind w:firstLine="480"/>
              <w:rPr>
                <w:rFonts w:hint="eastAsia"/>
                <w:color w:val="auto"/>
              </w:rPr>
            </w:pPr>
            <w:r>
              <w:rPr>
                <w:rFonts w:hint="eastAsia"/>
                <w:color w:val="auto"/>
              </w:rPr>
              <w:t>类比同类主要进行中药生产企业，在厂界外（下风向）臭气浓度&lt;20，能够满足《恶臭污染物排放标准》（GB14554-93）表1中标准（臭气浓度≤20）。</w:t>
            </w:r>
          </w:p>
          <w:p w14:paraId="46DBDFC3">
            <w:pPr>
              <w:ind w:firstLine="482"/>
              <w:rPr>
                <w:rFonts w:hint="eastAsia"/>
                <w:b/>
                <w:bCs/>
                <w:color w:val="auto"/>
              </w:rPr>
            </w:pPr>
            <w:r>
              <w:rPr>
                <w:rFonts w:hint="eastAsia"/>
                <w:b/>
                <w:bCs/>
                <w:color w:val="auto"/>
              </w:rPr>
              <w:t>（2）中药饮片车间干燥、粉碎、筛分粉尘</w:t>
            </w:r>
          </w:p>
          <w:p w14:paraId="2F074E22">
            <w:pPr>
              <w:ind w:firstLine="480"/>
              <w:rPr>
                <w:rFonts w:hint="eastAsia"/>
                <w:color w:val="auto"/>
              </w:rPr>
            </w:pPr>
            <w:r>
              <w:rPr>
                <w:rFonts w:hint="eastAsia"/>
                <w:color w:val="auto"/>
              </w:rPr>
              <w:t>中药饮片和提取前处理生产过程中对药材进行干燥、炒制、粉碎、筛分，这些生产过程均产生烟粉尘。由于设备量大面广，干燥、粉碎、筛分设备上方采用集气罩，炒制锅投料口设置集尘罩，集气罩为三面包围结构，收集效率95%。经集气抽风装置收集后</w:t>
            </w:r>
            <w:r>
              <w:rPr>
                <w:rFonts w:hint="eastAsia"/>
                <w:color w:val="auto"/>
                <w:lang w:val="en-US" w:eastAsia="zh-CN"/>
              </w:rPr>
              <w:t>进入</w:t>
            </w:r>
            <w:r>
              <w:rPr>
                <w:rFonts w:hint="eastAsia"/>
                <w:color w:val="auto"/>
              </w:rPr>
              <w:t>袋式除尘器处理，然后经15m高排气筒排放，袋式除尘器的除尘效率为99%。</w:t>
            </w:r>
          </w:p>
          <w:p w14:paraId="10CE64C9">
            <w:pPr>
              <w:keepNext w:val="0"/>
              <w:keepLines w:val="0"/>
              <w:pageBreakBefore w:val="0"/>
              <w:widowControl w:val="0"/>
              <w:kinsoku/>
              <w:wordWrap w:val="0"/>
              <w:overflowPunct/>
              <w:topLinePunct w:val="0"/>
              <w:bidi w:val="0"/>
              <w:snapToGrid/>
              <w:spacing w:line="360" w:lineRule="auto"/>
              <w:ind w:left="0" w:right="0" w:firstLine="480"/>
              <w:textAlignment w:val="auto"/>
              <w:rPr>
                <w:rFonts w:hint="eastAsia"/>
                <w:color w:val="auto"/>
                <w:sz w:val="24"/>
                <w:szCs w:val="24"/>
                <w:lang w:val="en-US" w:eastAsia="zh-CN"/>
              </w:rPr>
            </w:pPr>
            <w:r>
              <w:rPr>
                <w:rFonts w:hint="eastAsia"/>
                <w:color w:val="auto"/>
                <w:sz w:val="24"/>
                <w:szCs w:val="24"/>
              </w:rPr>
              <w:t>根据工程分析，项目在对中药材净选</w:t>
            </w:r>
            <w:r>
              <w:rPr>
                <w:rFonts w:hint="eastAsia"/>
                <w:color w:val="auto"/>
                <w:sz w:val="24"/>
                <w:szCs w:val="24"/>
                <w:lang w:eastAsia="zh-CN"/>
              </w:rPr>
              <w:t>、</w:t>
            </w:r>
            <w:r>
              <w:rPr>
                <w:rFonts w:hint="eastAsia"/>
                <w:color w:val="auto"/>
                <w:sz w:val="24"/>
                <w:szCs w:val="24"/>
                <w:lang w:val="en-US" w:eastAsia="zh-CN"/>
              </w:rPr>
              <w:t>切制、干燥、筛选等</w:t>
            </w:r>
            <w:r>
              <w:rPr>
                <w:rFonts w:hint="eastAsia"/>
                <w:color w:val="auto"/>
                <w:sz w:val="24"/>
                <w:szCs w:val="24"/>
              </w:rPr>
              <w:t>过程中会产生粉尘；部分中药饮片为粉剂，中药材粉碎、过筛等过程中会产生少量的粉尘。本项目属于中药饮片制造，</w:t>
            </w:r>
            <w:r>
              <w:rPr>
                <w:rFonts w:hint="eastAsia"/>
                <w:color w:val="auto"/>
              </w:rPr>
              <w:t>类比分析，该过程产尘率约占原料投入量的0.5%，</w:t>
            </w:r>
            <w:r>
              <w:rPr>
                <w:rFonts w:hint="eastAsia"/>
                <w:color w:val="auto"/>
                <w:sz w:val="24"/>
                <w:szCs w:val="24"/>
                <w:lang w:val="en-US" w:eastAsia="zh-CN"/>
              </w:rPr>
              <w:t>普通中药饮片共1600t/a、毒性饮片160t/a，产生的粉尘分别处理。其中：</w:t>
            </w:r>
          </w:p>
          <w:p w14:paraId="7BDC082A">
            <w:pPr>
              <w:keepNext w:val="0"/>
              <w:keepLines w:val="0"/>
              <w:pageBreakBefore w:val="0"/>
              <w:widowControl w:val="0"/>
              <w:kinsoku/>
              <w:wordWrap w:val="0"/>
              <w:overflowPunct/>
              <w:topLinePunct w:val="0"/>
              <w:bidi w:val="0"/>
              <w:snapToGrid/>
              <w:spacing w:line="360" w:lineRule="auto"/>
              <w:ind w:left="0" w:right="0" w:firstLine="480"/>
              <w:textAlignment w:val="auto"/>
              <w:rPr>
                <w:rFonts w:hint="eastAsia"/>
                <w:color w:val="auto"/>
                <w:sz w:val="24"/>
                <w:szCs w:val="24"/>
                <w:lang w:eastAsia="zh-CN"/>
              </w:rPr>
            </w:pPr>
            <w:r>
              <w:rPr>
                <w:rFonts w:hint="eastAsia"/>
                <w:color w:val="auto"/>
                <w:sz w:val="24"/>
                <w:szCs w:val="24"/>
                <w:lang w:val="en-US" w:eastAsia="zh-CN"/>
              </w:rPr>
              <w:t>普通中药饮片生产线：颗粒物</w:t>
            </w:r>
            <w:r>
              <w:rPr>
                <w:rFonts w:hint="eastAsia"/>
                <w:color w:val="auto"/>
                <w:sz w:val="24"/>
                <w:szCs w:val="24"/>
              </w:rPr>
              <w:t>产生量约</w:t>
            </w:r>
            <w:r>
              <w:rPr>
                <w:rFonts w:hint="eastAsia"/>
                <w:color w:val="auto"/>
                <w:sz w:val="24"/>
                <w:szCs w:val="24"/>
                <w:lang w:val="en-US" w:eastAsia="zh-CN"/>
              </w:rPr>
              <w:t>8</w:t>
            </w:r>
            <w:r>
              <w:rPr>
                <w:rFonts w:hint="eastAsia"/>
                <w:color w:val="auto"/>
                <w:sz w:val="24"/>
                <w:szCs w:val="24"/>
              </w:rPr>
              <w:t>t/a，产生速率约</w:t>
            </w:r>
            <w:r>
              <w:rPr>
                <w:rFonts w:hint="eastAsia"/>
                <w:color w:val="auto"/>
                <w:sz w:val="24"/>
                <w:szCs w:val="24"/>
                <w:lang w:val="en-US" w:eastAsia="zh-CN"/>
              </w:rPr>
              <w:t>3.12</w:t>
            </w:r>
            <w:r>
              <w:rPr>
                <w:rFonts w:hint="eastAsia"/>
                <w:color w:val="auto"/>
                <w:sz w:val="24"/>
                <w:szCs w:val="24"/>
              </w:rPr>
              <w:t>5kg/h，废气量为</w:t>
            </w:r>
            <w:r>
              <w:rPr>
                <w:rFonts w:hint="eastAsia"/>
                <w:color w:val="auto"/>
                <w:sz w:val="24"/>
                <w:szCs w:val="24"/>
                <w:lang w:val="en-US" w:eastAsia="zh-CN"/>
              </w:rPr>
              <w:t>15000</w:t>
            </w:r>
            <w:r>
              <w:rPr>
                <w:rFonts w:hint="eastAsia"/>
                <w:color w:val="auto"/>
                <w:sz w:val="24"/>
                <w:szCs w:val="24"/>
              </w:rPr>
              <w:t>m</w:t>
            </w:r>
            <w:r>
              <w:rPr>
                <w:rFonts w:hint="eastAsia"/>
                <w:color w:val="auto"/>
                <w:sz w:val="24"/>
                <w:szCs w:val="24"/>
                <w:vertAlign w:val="superscript"/>
              </w:rPr>
              <w:t>3</w:t>
            </w:r>
            <w:r>
              <w:rPr>
                <w:rFonts w:hint="eastAsia"/>
                <w:color w:val="auto"/>
                <w:sz w:val="24"/>
                <w:szCs w:val="24"/>
              </w:rPr>
              <w:t>/h</w:t>
            </w:r>
            <w:r>
              <w:rPr>
                <w:rFonts w:hint="eastAsia"/>
                <w:color w:val="auto"/>
                <w:sz w:val="24"/>
                <w:szCs w:val="24"/>
                <w:lang w:eastAsia="zh-CN"/>
              </w:rPr>
              <w:t>；</w:t>
            </w:r>
            <w:r>
              <w:rPr>
                <w:rFonts w:hint="eastAsia"/>
                <w:color w:val="auto"/>
                <w:sz w:val="24"/>
                <w:szCs w:val="24"/>
              </w:rPr>
              <w:t>经集气罩收集</w:t>
            </w:r>
            <w:r>
              <w:rPr>
                <w:rFonts w:hint="eastAsia"/>
                <w:color w:val="auto"/>
                <w:sz w:val="24"/>
                <w:szCs w:val="24"/>
                <w:lang w:val="en-US" w:eastAsia="zh-CN"/>
              </w:rPr>
              <w:t>的颗粒物</w:t>
            </w:r>
            <w:r>
              <w:rPr>
                <w:rFonts w:hint="eastAsia"/>
                <w:color w:val="auto"/>
                <w:sz w:val="24"/>
                <w:szCs w:val="24"/>
              </w:rPr>
              <w:t>量约</w:t>
            </w:r>
            <w:r>
              <w:rPr>
                <w:rFonts w:hint="eastAsia"/>
                <w:color w:val="auto"/>
                <w:sz w:val="24"/>
                <w:szCs w:val="24"/>
                <w:lang w:val="en-US" w:eastAsia="zh-CN"/>
              </w:rPr>
              <w:t>7.6</w:t>
            </w:r>
            <w:r>
              <w:rPr>
                <w:rFonts w:hint="eastAsia"/>
                <w:color w:val="auto"/>
                <w:sz w:val="24"/>
                <w:szCs w:val="24"/>
              </w:rPr>
              <w:t>t/a，产生速率约</w:t>
            </w:r>
            <w:r>
              <w:rPr>
                <w:rFonts w:hint="eastAsia"/>
                <w:color w:val="auto"/>
                <w:sz w:val="24"/>
                <w:szCs w:val="24"/>
                <w:lang w:val="en-US" w:eastAsia="zh-CN"/>
              </w:rPr>
              <w:t>2.97</w:t>
            </w:r>
            <w:r>
              <w:rPr>
                <w:rFonts w:hint="eastAsia"/>
                <w:color w:val="auto"/>
                <w:sz w:val="24"/>
                <w:szCs w:val="24"/>
              </w:rPr>
              <w:t>kg/h</w:t>
            </w:r>
            <w:r>
              <w:rPr>
                <w:rFonts w:hint="eastAsia"/>
                <w:color w:val="auto"/>
                <w:sz w:val="24"/>
                <w:szCs w:val="24"/>
                <w:lang w:eastAsia="zh-CN"/>
              </w:rPr>
              <w:t>，</w:t>
            </w:r>
            <w:r>
              <w:rPr>
                <w:rFonts w:hint="eastAsia"/>
                <w:color w:val="auto"/>
                <w:sz w:val="24"/>
                <w:szCs w:val="24"/>
              </w:rPr>
              <w:t>排放浓度约</w:t>
            </w:r>
            <w:r>
              <w:rPr>
                <w:rFonts w:hint="eastAsia"/>
                <w:color w:val="auto"/>
                <w:sz w:val="24"/>
                <w:szCs w:val="24"/>
                <w:lang w:val="en-US" w:eastAsia="zh-CN"/>
              </w:rPr>
              <w:t>198</w:t>
            </w:r>
            <w:r>
              <w:rPr>
                <w:rFonts w:hint="eastAsia"/>
                <w:color w:val="auto"/>
                <w:sz w:val="24"/>
                <w:szCs w:val="24"/>
              </w:rPr>
              <w:t>mg/m</w:t>
            </w:r>
            <w:r>
              <w:rPr>
                <w:rFonts w:hint="eastAsia"/>
                <w:color w:val="auto"/>
                <w:sz w:val="24"/>
                <w:szCs w:val="24"/>
                <w:vertAlign w:val="superscript"/>
              </w:rPr>
              <w:t>3</w:t>
            </w:r>
            <w:r>
              <w:rPr>
                <w:rFonts w:hint="eastAsia"/>
                <w:color w:val="auto"/>
                <w:sz w:val="24"/>
                <w:szCs w:val="24"/>
              </w:rPr>
              <w:t>，</w:t>
            </w:r>
            <w:r>
              <w:rPr>
                <w:rFonts w:hint="eastAsia"/>
                <w:color w:val="auto"/>
                <w:sz w:val="24"/>
                <w:szCs w:val="24"/>
                <w:lang w:val="en-US" w:eastAsia="zh-CN"/>
              </w:rPr>
              <w:t>收集后引至袋式除尘器处理，处理后颗粒物</w:t>
            </w:r>
            <w:r>
              <w:rPr>
                <w:rFonts w:hint="eastAsia"/>
                <w:color w:val="auto"/>
                <w:sz w:val="24"/>
                <w:szCs w:val="24"/>
              </w:rPr>
              <w:t>排放量约</w:t>
            </w:r>
            <w:r>
              <w:rPr>
                <w:rFonts w:hint="eastAsia"/>
                <w:color w:val="auto"/>
                <w:sz w:val="24"/>
                <w:szCs w:val="24"/>
                <w:lang w:val="en-US" w:eastAsia="zh-CN"/>
              </w:rPr>
              <w:t>0.0760</w:t>
            </w:r>
            <w:r>
              <w:rPr>
                <w:rFonts w:hint="eastAsia"/>
                <w:color w:val="auto"/>
                <w:sz w:val="24"/>
                <w:szCs w:val="24"/>
              </w:rPr>
              <w:t>t/a，排放速率约</w:t>
            </w:r>
            <w:r>
              <w:rPr>
                <w:rFonts w:hint="eastAsia"/>
                <w:color w:val="auto"/>
                <w:sz w:val="24"/>
                <w:szCs w:val="24"/>
                <w:lang w:val="en-US" w:eastAsia="zh-CN"/>
              </w:rPr>
              <w:t>0.0297</w:t>
            </w:r>
            <w:r>
              <w:rPr>
                <w:rFonts w:hint="eastAsia"/>
                <w:color w:val="auto"/>
                <w:sz w:val="24"/>
                <w:szCs w:val="24"/>
              </w:rPr>
              <w:t>kg/h，排放浓度约</w:t>
            </w:r>
            <w:r>
              <w:rPr>
                <w:rFonts w:hint="eastAsia"/>
                <w:color w:val="auto"/>
                <w:sz w:val="24"/>
                <w:szCs w:val="24"/>
                <w:lang w:val="en-US" w:eastAsia="zh-CN"/>
              </w:rPr>
              <w:t>2.0</w:t>
            </w:r>
            <w:r>
              <w:rPr>
                <w:rFonts w:hint="eastAsia"/>
                <w:color w:val="auto"/>
                <w:sz w:val="24"/>
                <w:szCs w:val="24"/>
              </w:rPr>
              <w:t>mg/m</w:t>
            </w:r>
            <w:r>
              <w:rPr>
                <w:rFonts w:hint="eastAsia"/>
                <w:color w:val="auto"/>
                <w:sz w:val="24"/>
                <w:szCs w:val="24"/>
                <w:vertAlign w:val="superscript"/>
              </w:rPr>
              <w:t>3</w:t>
            </w:r>
            <w:r>
              <w:rPr>
                <w:rFonts w:hint="eastAsia"/>
                <w:color w:val="auto"/>
                <w:sz w:val="24"/>
                <w:szCs w:val="24"/>
              </w:rPr>
              <w:t>，能够满足《制药工业大气污染物排放标准》（GB37823-2019）表2中</w:t>
            </w:r>
            <w:r>
              <w:rPr>
                <w:rFonts w:hint="eastAsia"/>
                <w:color w:val="auto"/>
                <w:sz w:val="24"/>
                <w:szCs w:val="24"/>
                <w:lang w:val="en-US" w:eastAsia="zh-CN"/>
              </w:rPr>
              <w:t>特别</w:t>
            </w:r>
            <w:r>
              <w:rPr>
                <w:rFonts w:hint="eastAsia"/>
                <w:color w:val="auto"/>
                <w:sz w:val="24"/>
                <w:szCs w:val="24"/>
              </w:rPr>
              <w:t>排放限值要求（20mg/m</w:t>
            </w:r>
            <w:r>
              <w:rPr>
                <w:rFonts w:hint="eastAsia"/>
                <w:color w:val="auto"/>
                <w:sz w:val="24"/>
                <w:szCs w:val="24"/>
                <w:vertAlign w:val="superscript"/>
              </w:rPr>
              <w:t>3</w:t>
            </w:r>
            <w:r>
              <w:rPr>
                <w:rFonts w:hint="eastAsia"/>
                <w:color w:val="auto"/>
                <w:sz w:val="24"/>
                <w:szCs w:val="24"/>
              </w:rPr>
              <w:t>）</w:t>
            </w:r>
            <w:r>
              <w:rPr>
                <w:rFonts w:hint="eastAsia"/>
                <w:bCs/>
                <w:sz w:val="24"/>
              </w:rPr>
              <w:t>及《</w:t>
            </w:r>
            <w:r>
              <w:rPr>
                <w:rFonts w:hint="eastAsia"/>
                <w:color w:val="auto"/>
                <w:sz w:val="24"/>
                <w:szCs w:val="24"/>
                <w:lang w:eastAsia="zh-CN"/>
              </w:rPr>
              <w:t>河南省重污染天气通用行业应急减排措施制定技术指南（2024年修订版）</w:t>
            </w:r>
            <w:r>
              <w:rPr>
                <w:rFonts w:hint="eastAsia"/>
                <w:bCs/>
                <w:sz w:val="24"/>
              </w:rPr>
              <w:t>》颗粒物有组织排放限值为10mg/m</w:t>
            </w:r>
            <w:r>
              <w:rPr>
                <w:rFonts w:hint="eastAsia"/>
                <w:bCs/>
                <w:sz w:val="24"/>
                <w:vertAlign w:val="superscript"/>
              </w:rPr>
              <w:t>3</w:t>
            </w:r>
            <w:r>
              <w:rPr>
                <w:rFonts w:hint="eastAsia"/>
                <w:bCs/>
                <w:sz w:val="24"/>
              </w:rPr>
              <w:t>），通过1根15m高排气筒排放。</w:t>
            </w:r>
          </w:p>
          <w:p w14:paraId="2B2CAEB6">
            <w:pPr>
              <w:keepNext w:val="0"/>
              <w:keepLines w:val="0"/>
              <w:pageBreakBefore w:val="0"/>
              <w:widowControl w:val="0"/>
              <w:kinsoku/>
              <w:wordWrap w:val="0"/>
              <w:overflowPunct/>
              <w:topLinePunct w:val="0"/>
              <w:bidi w:val="0"/>
              <w:snapToGrid/>
              <w:spacing w:line="360" w:lineRule="auto"/>
              <w:ind w:left="0" w:right="0" w:firstLine="480"/>
              <w:textAlignment w:val="auto"/>
              <w:rPr>
                <w:rFonts w:hint="eastAsia"/>
                <w:color w:val="auto"/>
                <w:sz w:val="24"/>
                <w:szCs w:val="24"/>
                <w:lang w:eastAsia="zh-CN"/>
              </w:rPr>
            </w:pPr>
            <w:r>
              <w:rPr>
                <w:rFonts w:hint="eastAsia"/>
                <w:color w:val="auto"/>
                <w:sz w:val="24"/>
                <w:szCs w:val="24"/>
                <w:lang w:val="en-US" w:eastAsia="zh-CN"/>
              </w:rPr>
              <w:t>毒性饮片生产线：颗粒物</w:t>
            </w:r>
            <w:r>
              <w:rPr>
                <w:rFonts w:hint="eastAsia"/>
                <w:color w:val="auto"/>
                <w:sz w:val="24"/>
                <w:szCs w:val="24"/>
              </w:rPr>
              <w:t>产生量约</w:t>
            </w:r>
            <w:r>
              <w:rPr>
                <w:rFonts w:hint="eastAsia"/>
                <w:color w:val="auto"/>
                <w:sz w:val="24"/>
                <w:szCs w:val="24"/>
                <w:lang w:val="en-US" w:eastAsia="zh-CN"/>
              </w:rPr>
              <w:t>0.8</w:t>
            </w:r>
            <w:r>
              <w:rPr>
                <w:rFonts w:hint="eastAsia"/>
                <w:color w:val="auto"/>
                <w:sz w:val="24"/>
                <w:szCs w:val="24"/>
              </w:rPr>
              <w:t>t/a，产生速率约</w:t>
            </w:r>
            <w:r>
              <w:rPr>
                <w:rFonts w:hint="eastAsia"/>
                <w:color w:val="auto"/>
                <w:sz w:val="24"/>
                <w:szCs w:val="24"/>
                <w:lang w:val="en-US" w:eastAsia="zh-CN"/>
              </w:rPr>
              <w:t>0.312</w:t>
            </w:r>
            <w:r>
              <w:rPr>
                <w:rFonts w:hint="eastAsia"/>
                <w:color w:val="auto"/>
                <w:sz w:val="24"/>
                <w:szCs w:val="24"/>
              </w:rPr>
              <w:t>5kg/h，废气量为</w:t>
            </w:r>
            <w:r>
              <w:rPr>
                <w:rFonts w:hint="eastAsia"/>
                <w:color w:val="auto"/>
                <w:sz w:val="24"/>
                <w:szCs w:val="24"/>
                <w:lang w:val="en-US" w:eastAsia="zh-CN"/>
              </w:rPr>
              <w:t>2000</w:t>
            </w:r>
            <w:r>
              <w:rPr>
                <w:rFonts w:hint="eastAsia"/>
                <w:color w:val="auto"/>
                <w:sz w:val="24"/>
                <w:szCs w:val="24"/>
              </w:rPr>
              <w:t>m</w:t>
            </w:r>
            <w:r>
              <w:rPr>
                <w:rFonts w:hint="eastAsia"/>
                <w:color w:val="auto"/>
                <w:sz w:val="24"/>
                <w:szCs w:val="24"/>
                <w:vertAlign w:val="superscript"/>
              </w:rPr>
              <w:t>3</w:t>
            </w:r>
            <w:r>
              <w:rPr>
                <w:rFonts w:hint="eastAsia"/>
                <w:color w:val="auto"/>
                <w:sz w:val="24"/>
                <w:szCs w:val="24"/>
              </w:rPr>
              <w:t>/h</w:t>
            </w:r>
            <w:r>
              <w:rPr>
                <w:rFonts w:hint="eastAsia"/>
                <w:color w:val="auto"/>
                <w:sz w:val="24"/>
                <w:szCs w:val="24"/>
                <w:lang w:eastAsia="zh-CN"/>
              </w:rPr>
              <w:t>。</w:t>
            </w:r>
            <w:r>
              <w:rPr>
                <w:rFonts w:hint="eastAsia"/>
                <w:color w:val="auto"/>
                <w:sz w:val="24"/>
                <w:szCs w:val="24"/>
              </w:rPr>
              <w:t>经集气罩收集</w:t>
            </w:r>
            <w:r>
              <w:rPr>
                <w:rFonts w:hint="eastAsia"/>
                <w:color w:val="auto"/>
                <w:sz w:val="24"/>
                <w:szCs w:val="24"/>
                <w:lang w:val="en-US" w:eastAsia="zh-CN"/>
              </w:rPr>
              <w:t>的颗粒物</w:t>
            </w:r>
            <w:r>
              <w:rPr>
                <w:rFonts w:hint="eastAsia"/>
                <w:color w:val="auto"/>
                <w:sz w:val="24"/>
                <w:szCs w:val="24"/>
              </w:rPr>
              <w:t>量约</w:t>
            </w:r>
            <w:r>
              <w:rPr>
                <w:rFonts w:hint="eastAsia"/>
                <w:color w:val="auto"/>
                <w:sz w:val="24"/>
                <w:szCs w:val="24"/>
                <w:lang w:val="en-US" w:eastAsia="zh-CN"/>
              </w:rPr>
              <w:t>0.76</w:t>
            </w:r>
            <w:r>
              <w:rPr>
                <w:rFonts w:hint="eastAsia"/>
                <w:color w:val="auto"/>
                <w:sz w:val="24"/>
                <w:szCs w:val="24"/>
              </w:rPr>
              <w:t>t/a，产生速率约</w:t>
            </w:r>
            <w:r>
              <w:rPr>
                <w:rFonts w:hint="eastAsia"/>
                <w:color w:val="auto"/>
                <w:sz w:val="24"/>
                <w:szCs w:val="24"/>
                <w:lang w:val="en-US" w:eastAsia="zh-CN"/>
              </w:rPr>
              <w:t>0.297</w:t>
            </w:r>
            <w:r>
              <w:rPr>
                <w:rFonts w:hint="eastAsia"/>
                <w:color w:val="auto"/>
                <w:sz w:val="24"/>
                <w:szCs w:val="24"/>
              </w:rPr>
              <w:t>kg/h</w:t>
            </w:r>
            <w:r>
              <w:rPr>
                <w:rFonts w:hint="eastAsia"/>
                <w:color w:val="auto"/>
                <w:sz w:val="24"/>
                <w:szCs w:val="24"/>
                <w:lang w:eastAsia="zh-CN"/>
              </w:rPr>
              <w:t>，</w:t>
            </w:r>
            <w:r>
              <w:rPr>
                <w:rFonts w:hint="eastAsia"/>
                <w:color w:val="auto"/>
                <w:sz w:val="24"/>
                <w:szCs w:val="24"/>
              </w:rPr>
              <w:t>排放浓度约</w:t>
            </w:r>
            <w:r>
              <w:rPr>
                <w:rFonts w:hint="eastAsia"/>
                <w:color w:val="auto"/>
                <w:sz w:val="24"/>
                <w:szCs w:val="24"/>
                <w:lang w:val="en-US" w:eastAsia="zh-CN"/>
              </w:rPr>
              <w:t>148.5</w:t>
            </w:r>
            <w:r>
              <w:rPr>
                <w:rFonts w:hint="eastAsia"/>
                <w:color w:val="auto"/>
                <w:sz w:val="24"/>
                <w:szCs w:val="24"/>
              </w:rPr>
              <w:t>mg/m</w:t>
            </w:r>
            <w:r>
              <w:rPr>
                <w:rFonts w:hint="eastAsia"/>
                <w:color w:val="auto"/>
                <w:sz w:val="24"/>
                <w:szCs w:val="24"/>
                <w:vertAlign w:val="superscript"/>
              </w:rPr>
              <w:t>3</w:t>
            </w:r>
            <w:r>
              <w:rPr>
                <w:rFonts w:hint="eastAsia"/>
                <w:color w:val="auto"/>
                <w:sz w:val="24"/>
                <w:szCs w:val="24"/>
              </w:rPr>
              <w:t>，</w:t>
            </w:r>
            <w:r>
              <w:rPr>
                <w:rFonts w:hint="eastAsia"/>
                <w:color w:val="auto"/>
                <w:sz w:val="24"/>
                <w:szCs w:val="24"/>
                <w:lang w:val="en-US" w:eastAsia="zh-CN"/>
              </w:rPr>
              <w:t>收集后引至袋式除尘器处理，处理后颗粒物</w:t>
            </w:r>
            <w:r>
              <w:rPr>
                <w:rFonts w:hint="eastAsia"/>
                <w:color w:val="auto"/>
                <w:sz w:val="24"/>
                <w:szCs w:val="24"/>
              </w:rPr>
              <w:t>排放量约</w:t>
            </w:r>
            <w:r>
              <w:rPr>
                <w:rFonts w:hint="eastAsia"/>
                <w:color w:val="auto"/>
                <w:sz w:val="24"/>
                <w:szCs w:val="24"/>
                <w:lang w:val="en-US" w:eastAsia="zh-CN"/>
              </w:rPr>
              <w:t>0.0076</w:t>
            </w:r>
            <w:r>
              <w:rPr>
                <w:rFonts w:hint="eastAsia"/>
                <w:color w:val="auto"/>
                <w:sz w:val="24"/>
                <w:szCs w:val="24"/>
              </w:rPr>
              <w:t>t/a，排放速率约</w:t>
            </w:r>
            <w:r>
              <w:rPr>
                <w:rFonts w:hint="eastAsia"/>
                <w:color w:val="auto"/>
                <w:sz w:val="24"/>
                <w:szCs w:val="24"/>
                <w:lang w:val="en-US" w:eastAsia="zh-CN"/>
              </w:rPr>
              <w:t>0.0030</w:t>
            </w:r>
            <w:r>
              <w:rPr>
                <w:rFonts w:hint="eastAsia"/>
                <w:color w:val="auto"/>
                <w:sz w:val="24"/>
                <w:szCs w:val="24"/>
              </w:rPr>
              <w:t>kg/h，排放浓度约</w:t>
            </w:r>
            <w:r>
              <w:rPr>
                <w:rFonts w:hint="eastAsia"/>
                <w:color w:val="auto"/>
                <w:sz w:val="24"/>
                <w:szCs w:val="24"/>
                <w:lang w:val="en-US" w:eastAsia="zh-CN"/>
              </w:rPr>
              <w:t>1.5</w:t>
            </w:r>
            <w:r>
              <w:rPr>
                <w:rFonts w:hint="eastAsia"/>
                <w:color w:val="auto"/>
                <w:sz w:val="24"/>
                <w:szCs w:val="24"/>
              </w:rPr>
              <w:t>mg/m</w:t>
            </w:r>
            <w:r>
              <w:rPr>
                <w:rFonts w:hint="eastAsia"/>
                <w:color w:val="auto"/>
                <w:sz w:val="24"/>
                <w:szCs w:val="24"/>
                <w:vertAlign w:val="superscript"/>
              </w:rPr>
              <w:t>3</w:t>
            </w:r>
            <w:r>
              <w:rPr>
                <w:rFonts w:hint="eastAsia"/>
                <w:color w:val="auto"/>
                <w:sz w:val="24"/>
                <w:szCs w:val="24"/>
              </w:rPr>
              <w:t>，能够满足《制药工业大气污染物排放标准》（GB37823-2019）表2中</w:t>
            </w:r>
            <w:r>
              <w:rPr>
                <w:rFonts w:hint="eastAsia"/>
                <w:color w:val="auto"/>
                <w:sz w:val="24"/>
                <w:szCs w:val="24"/>
                <w:lang w:val="en-US" w:eastAsia="zh-CN"/>
              </w:rPr>
              <w:t>特别</w:t>
            </w:r>
            <w:r>
              <w:rPr>
                <w:rFonts w:hint="eastAsia"/>
                <w:color w:val="auto"/>
                <w:sz w:val="24"/>
                <w:szCs w:val="24"/>
              </w:rPr>
              <w:t>排放限值要求（20mg/m</w:t>
            </w:r>
            <w:r>
              <w:rPr>
                <w:rFonts w:hint="eastAsia"/>
                <w:color w:val="auto"/>
                <w:sz w:val="24"/>
                <w:szCs w:val="24"/>
                <w:vertAlign w:val="superscript"/>
              </w:rPr>
              <w:t>3</w:t>
            </w:r>
            <w:r>
              <w:rPr>
                <w:rFonts w:hint="eastAsia"/>
                <w:color w:val="auto"/>
                <w:sz w:val="24"/>
                <w:szCs w:val="24"/>
              </w:rPr>
              <w:t>）</w:t>
            </w:r>
            <w:r>
              <w:rPr>
                <w:rFonts w:hint="eastAsia"/>
                <w:bCs/>
                <w:sz w:val="24"/>
              </w:rPr>
              <w:t>及《</w:t>
            </w:r>
            <w:r>
              <w:rPr>
                <w:rFonts w:hint="eastAsia"/>
                <w:color w:val="auto"/>
                <w:sz w:val="24"/>
                <w:szCs w:val="24"/>
                <w:lang w:eastAsia="zh-CN"/>
              </w:rPr>
              <w:t>河南省重污染天气通用行业应急减排措施制定技术指南（2024年修订版）</w:t>
            </w:r>
            <w:r>
              <w:rPr>
                <w:rFonts w:hint="eastAsia"/>
                <w:bCs/>
                <w:sz w:val="24"/>
              </w:rPr>
              <w:t>》颗粒物有组织排放限值为10mg/m</w:t>
            </w:r>
            <w:r>
              <w:rPr>
                <w:rFonts w:hint="eastAsia"/>
                <w:bCs/>
                <w:sz w:val="24"/>
                <w:vertAlign w:val="superscript"/>
              </w:rPr>
              <w:t>3</w:t>
            </w:r>
            <w:r>
              <w:rPr>
                <w:rFonts w:hint="eastAsia"/>
                <w:bCs/>
                <w:sz w:val="24"/>
              </w:rPr>
              <w:t>），通过1根15m高排气筒排放。</w:t>
            </w:r>
          </w:p>
          <w:p w14:paraId="04FA18BF">
            <w:pPr>
              <w:keepNext w:val="0"/>
              <w:keepLines w:val="0"/>
              <w:pageBreakBefore w:val="0"/>
              <w:widowControl w:val="0"/>
              <w:kinsoku/>
              <w:wordWrap w:val="0"/>
              <w:overflowPunct/>
              <w:topLinePunct w:val="0"/>
              <w:bidi w:val="0"/>
              <w:snapToGrid/>
              <w:spacing w:line="360" w:lineRule="auto"/>
              <w:ind w:left="0" w:right="0" w:firstLine="480"/>
              <w:textAlignment w:val="auto"/>
              <w:rPr>
                <w:rFonts w:hint="eastAsia"/>
                <w:color w:val="auto"/>
                <w:sz w:val="24"/>
                <w:szCs w:val="24"/>
              </w:rPr>
            </w:pPr>
            <w:r>
              <w:rPr>
                <w:rFonts w:hint="eastAsia"/>
                <w:color w:val="auto"/>
                <w:sz w:val="24"/>
                <w:szCs w:val="24"/>
              </w:rPr>
              <w:t>对于未收集的少量粉尘</w:t>
            </w:r>
            <w:r>
              <w:rPr>
                <w:rFonts w:hint="eastAsia"/>
                <w:color w:val="auto"/>
                <w:sz w:val="24"/>
                <w:szCs w:val="24"/>
                <w:lang w:val="en-US" w:eastAsia="zh-CN"/>
              </w:rPr>
              <w:t>总量为0.4400t/a、0.17</w:t>
            </w:r>
            <w:r>
              <w:rPr>
                <w:rFonts w:hint="eastAsia"/>
                <w:color w:val="auto"/>
                <w:sz w:val="24"/>
                <w:szCs w:val="24"/>
              </w:rPr>
              <w:t>kg/h，项目粉碎间、混合间等均设置为密闭操作间，少量未收集的粉尘自然沉降在车间内，通过车间清洁处理。</w:t>
            </w:r>
          </w:p>
          <w:p w14:paraId="482C92A9">
            <w:pPr>
              <w:keepNext w:val="0"/>
              <w:keepLines w:val="0"/>
              <w:pageBreakBefore w:val="0"/>
              <w:widowControl w:val="0"/>
              <w:kinsoku/>
              <w:wordWrap w:val="0"/>
              <w:overflowPunct/>
              <w:topLinePunct w:val="0"/>
              <w:bidi w:val="0"/>
              <w:snapToGrid/>
              <w:spacing w:line="360" w:lineRule="auto"/>
              <w:ind w:left="0" w:right="0" w:firstLine="482"/>
              <w:textAlignment w:val="auto"/>
              <w:rPr>
                <w:rFonts w:hint="eastAsia"/>
                <w:b/>
                <w:bCs/>
                <w:color w:val="auto"/>
                <w:sz w:val="24"/>
                <w:szCs w:val="24"/>
                <w:lang w:val="en-US" w:eastAsia="zh-CN"/>
              </w:rPr>
            </w:pPr>
            <w:r>
              <w:rPr>
                <w:rFonts w:hint="eastAsia"/>
                <w:b/>
                <w:bCs/>
                <w:color w:val="auto"/>
                <w:sz w:val="24"/>
                <w:szCs w:val="24"/>
              </w:rPr>
              <w:t>（</w:t>
            </w:r>
            <w:r>
              <w:rPr>
                <w:rFonts w:hint="eastAsia"/>
                <w:b/>
                <w:bCs/>
                <w:color w:val="auto"/>
                <w:sz w:val="24"/>
                <w:szCs w:val="24"/>
                <w:lang w:val="en-US" w:eastAsia="zh-CN"/>
              </w:rPr>
              <w:t>3</w:t>
            </w:r>
            <w:r>
              <w:rPr>
                <w:rFonts w:hint="eastAsia"/>
                <w:b/>
                <w:bCs/>
                <w:color w:val="auto"/>
                <w:sz w:val="24"/>
                <w:szCs w:val="24"/>
              </w:rPr>
              <w:t>）</w:t>
            </w:r>
            <w:r>
              <w:rPr>
                <w:rFonts w:hint="eastAsia"/>
                <w:b/>
                <w:bCs/>
                <w:color w:val="auto"/>
                <w:sz w:val="24"/>
                <w:szCs w:val="24"/>
                <w:lang w:val="en-US" w:eastAsia="zh-CN"/>
              </w:rPr>
              <w:t>口服饮片车间、颗粒剂车间及制丸车间粉尘</w:t>
            </w:r>
          </w:p>
          <w:p w14:paraId="6CBBD622">
            <w:pPr>
              <w:keepNext w:val="0"/>
              <w:keepLines w:val="0"/>
              <w:pageBreakBefore w:val="0"/>
              <w:widowControl w:val="0"/>
              <w:kinsoku/>
              <w:wordWrap w:val="0"/>
              <w:overflowPunct/>
              <w:topLinePunct w:val="0"/>
              <w:bidi w:val="0"/>
              <w:snapToGrid/>
              <w:spacing w:line="360" w:lineRule="auto"/>
              <w:ind w:left="0" w:right="0" w:firstLine="480"/>
              <w:textAlignment w:val="auto"/>
              <w:rPr>
                <w:rFonts w:hint="eastAsia"/>
                <w:bCs/>
                <w:sz w:val="24"/>
              </w:rPr>
            </w:pPr>
            <w:r>
              <w:rPr>
                <w:rFonts w:hint="eastAsia" w:ascii="Times New Roman" w:hAnsi="Times New Roman" w:eastAsia="宋体" w:cs="Times New Roman"/>
                <w:color w:val="auto"/>
                <w:kern w:val="2"/>
                <w:sz w:val="24"/>
                <w:szCs w:val="24"/>
                <w:lang w:val="en-US" w:eastAsia="zh-CN" w:bidi="ar-SA"/>
              </w:rPr>
              <w:t>项目</w:t>
            </w:r>
            <w:r>
              <w:rPr>
                <w:rFonts w:hint="eastAsia" w:cs="Times New Roman"/>
                <w:color w:val="auto"/>
                <w:kern w:val="2"/>
                <w:sz w:val="24"/>
                <w:szCs w:val="24"/>
                <w:lang w:val="en-US" w:eastAsia="zh-CN" w:bidi="ar-SA"/>
              </w:rPr>
              <w:t>口服饮片车间的前处理、粉碎、筛分，</w:t>
            </w:r>
            <w:r>
              <w:rPr>
                <w:rFonts w:hint="eastAsia" w:ascii="Times New Roman" w:hAnsi="Times New Roman" w:eastAsia="宋体" w:cs="Times New Roman"/>
                <w:color w:val="auto"/>
                <w:kern w:val="2"/>
                <w:sz w:val="24"/>
                <w:szCs w:val="24"/>
                <w:lang w:val="en-US" w:eastAsia="zh-CN" w:bidi="ar-SA"/>
              </w:rPr>
              <w:t>颗粒剂车间的干燥、制粒、破碎、筛分，制丸车间配料、和药、制丸等工序生产过程中产生粉尘，类比同类项目，工艺粉尘产生量约占原料投入量的0.</w:t>
            </w:r>
            <w:r>
              <w:rPr>
                <w:rFonts w:hint="eastAsia" w:cs="Times New Roman"/>
                <w:color w:val="auto"/>
                <w:kern w:val="2"/>
                <w:sz w:val="24"/>
                <w:szCs w:val="24"/>
                <w:lang w:val="en-US" w:eastAsia="zh-CN" w:bidi="ar-SA"/>
              </w:rPr>
              <w:t>05</w:t>
            </w: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总原料投入量为2100t/a，</w:t>
            </w:r>
            <w:r>
              <w:rPr>
                <w:rFonts w:hint="eastAsia" w:ascii="Times New Roman" w:hAnsi="Times New Roman" w:eastAsia="宋体" w:cs="Times New Roman"/>
                <w:color w:val="auto"/>
                <w:kern w:val="2"/>
                <w:sz w:val="24"/>
                <w:szCs w:val="24"/>
                <w:lang w:val="en-US" w:eastAsia="zh-CN" w:bidi="ar-SA"/>
              </w:rPr>
              <w:t>颗粒剂车间及制丸车间年生产1500h，则产生粉尘量约</w:t>
            </w:r>
            <w:r>
              <w:rPr>
                <w:rFonts w:hint="eastAsia" w:cs="Times New Roman"/>
                <w:color w:val="auto"/>
                <w:kern w:val="2"/>
                <w:sz w:val="24"/>
                <w:szCs w:val="24"/>
                <w:lang w:val="en-US" w:eastAsia="zh-CN" w:bidi="ar-SA"/>
              </w:rPr>
              <w:t>1.05</w:t>
            </w:r>
            <w:r>
              <w:rPr>
                <w:rFonts w:hint="eastAsia" w:ascii="Times New Roman" w:hAnsi="Times New Roman" w:eastAsia="宋体" w:cs="Times New Roman"/>
                <w:color w:val="auto"/>
                <w:kern w:val="2"/>
                <w:sz w:val="24"/>
                <w:szCs w:val="24"/>
                <w:lang w:val="en-US" w:eastAsia="zh-CN" w:bidi="ar-SA"/>
              </w:rPr>
              <w:t>t/a，颗粒剂车间及制丸车间均位于D级洁净区，通过中央空调共用一套送风排风系统，循环风最小排风量</w:t>
            </w:r>
            <w:r>
              <w:rPr>
                <w:rFonts w:hint="eastAsia" w:cs="Times New Roman"/>
                <w:color w:val="auto"/>
                <w:kern w:val="2"/>
                <w:sz w:val="24"/>
                <w:szCs w:val="24"/>
                <w:lang w:val="en-US" w:eastAsia="zh-CN" w:bidi="ar-SA"/>
              </w:rPr>
              <w:t>5</w:t>
            </w:r>
            <w:r>
              <w:rPr>
                <w:rFonts w:hint="eastAsia" w:ascii="Times New Roman" w:hAnsi="Times New Roman" w:eastAsia="宋体" w:cs="Times New Roman"/>
                <w:color w:val="auto"/>
                <w:kern w:val="2"/>
                <w:sz w:val="24"/>
                <w:szCs w:val="24"/>
                <w:lang w:val="en-US" w:eastAsia="zh-CN" w:bidi="ar-SA"/>
              </w:rPr>
              <w:t>000m</w:t>
            </w:r>
            <w:r>
              <w:rPr>
                <w:rFonts w:hint="eastAsia" w:ascii="Times New Roman" w:hAnsi="Times New Roman" w:eastAsia="宋体" w:cs="Times New Roman"/>
                <w:color w:val="auto"/>
                <w:kern w:val="2"/>
                <w:sz w:val="24"/>
                <w:szCs w:val="24"/>
                <w:vertAlign w:val="superscript"/>
                <w:lang w:val="en-US" w:eastAsia="zh-CN" w:bidi="ar-SA"/>
              </w:rPr>
              <w:t>3</w:t>
            </w:r>
            <w:r>
              <w:rPr>
                <w:rFonts w:hint="eastAsia" w:ascii="Times New Roman" w:hAnsi="Times New Roman" w:eastAsia="宋体" w:cs="Times New Roman"/>
                <w:color w:val="auto"/>
                <w:kern w:val="2"/>
                <w:sz w:val="24"/>
                <w:szCs w:val="24"/>
                <w:lang w:val="en-US" w:eastAsia="zh-CN" w:bidi="ar-SA"/>
              </w:rPr>
              <w:t>/h，车间出风口设置空气滤网，除尘效率9</w:t>
            </w:r>
            <w:r>
              <w:rPr>
                <w:rFonts w:hint="eastAsia" w:cs="Times New Roman"/>
                <w:color w:val="auto"/>
                <w:kern w:val="2"/>
                <w:sz w:val="24"/>
                <w:szCs w:val="24"/>
                <w:lang w:val="en-US" w:eastAsia="zh-CN" w:bidi="ar-SA"/>
              </w:rPr>
              <w:t>5</w:t>
            </w:r>
            <w:r>
              <w:rPr>
                <w:rFonts w:hint="eastAsia" w:ascii="Times New Roman" w:hAnsi="Times New Roman" w:eastAsia="宋体" w:cs="Times New Roman"/>
                <w:color w:val="auto"/>
                <w:kern w:val="2"/>
                <w:sz w:val="24"/>
                <w:szCs w:val="24"/>
                <w:lang w:val="en-US" w:eastAsia="zh-CN" w:bidi="ar-SA"/>
              </w:rPr>
              <w:t>%，则排放粉尘量约0.</w:t>
            </w:r>
            <w:r>
              <w:rPr>
                <w:rFonts w:hint="eastAsia" w:cs="Times New Roman"/>
                <w:color w:val="auto"/>
                <w:kern w:val="2"/>
                <w:sz w:val="24"/>
                <w:szCs w:val="24"/>
                <w:lang w:val="en-US" w:eastAsia="zh-CN" w:bidi="ar-SA"/>
              </w:rPr>
              <w:t>0525</w:t>
            </w:r>
            <w:r>
              <w:rPr>
                <w:rFonts w:hint="eastAsia" w:ascii="Times New Roman" w:hAnsi="Times New Roman" w:eastAsia="宋体" w:cs="Times New Roman"/>
                <w:color w:val="auto"/>
                <w:kern w:val="2"/>
                <w:sz w:val="24"/>
                <w:szCs w:val="24"/>
                <w:lang w:val="en-US" w:eastAsia="zh-CN" w:bidi="ar-SA"/>
              </w:rPr>
              <w:t>t/a，排放速率</w:t>
            </w:r>
            <w:r>
              <w:rPr>
                <w:rFonts w:hint="eastAsia" w:cs="Times New Roman"/>
                <w:color w:val="auto"/>
                <w:kern w:val="2"/>
                <w:sz w:val="24"/>
                <w:szCs w:val="24"/>
                <w:lang w:val="en-US" w:eastAsia="zh-CN" w:bidi="ar-SA"/>
              </w:rPr>
              <w:t>0.035</w:t>
            </w:r>
            <w:r>
              <w:rPr>
                <w:rFonts w:hint="eastAsia" w:ascii="Times New Roman" w:hAnsi="Times New Roman" w:eastAsia="宋体" w:cs="Times New Roman"/>
                <w:color w:val="auto"/>
                <w:kern w:val="2"/>
                <w:sz w:val="24"/>
                <w:szCs w:val="24"/>
                <w:lang w:val="en-US" w:eastAsia="zh-CN" w:bidi="ar-SA"/>
              </w:rPr>
              <w:t>kg/h，排放废气中粉尘浓度为</w:t>
            </w:r>
            <w:r>
              <w:rPr>
                <w:rFonts w:hint="eastAsia" w:cs="Times New Roman"/>
                <w:color w:val="auto"/>
                <w:kern w:val="2"/>
                <w:sz w:val="24"/>
                <w:szCs w:val="24"/>
                <w:lang w:val="en-US" w:eastAsia="zh-CN" w:bidi="ar-SA"/>
              </w:rPr>
              <w:t>7</w:t>
            </w:r>
            <w:r>
              <w:rPr>
                <w:rFonts w:hint="eastAsia" w:ascii="Times New Roman" w:hAnsi="Times New Roman" w:eastAsia="宋体" w:cs="Times New Roman"/>
                <w:color w:val="auto"/>
                <w:kern w:val="2"/>
                <w:sz w:val="24"/>
                <w:szCs w:val="24"/>
                <w:lang w:val="en-US" w:eastAsia="zh-CN" w:bidi="ar-SA"/>
              </w:rPr>
              <w:t>mg/m³</w:t>
            </w:r>
            <w:r>
              <w:rPr>
                <w:rFonts w:hint="eastAsia" w:cs="Times New Roman"/>
                <w:color w:val="auto"/>
                <w:kern w:val="2"/>
                <w:sz w:val="24"/>
                <w:szCs w:val="24"/>
                <w:lang w:val="en-US" w:eastAsia="zh-CN" w:bidi="ar-SA"/>
              </w:rPr>
              <w:t>，</w:t>
            </w:r>
            <w:r>
              <w:rPr>
                <w:rFonts w:hint="eastAsia"/>
                <w:color w:val="auto"/>
                <w:sz w:val="24"/>
                <w:szCs w:val="24"/>
              </w:rPr>
              <w:t>能够满足《制药工业大气污染物排放标准》（GB37823-2019）表2中</w:t>
            </w:r>
            <w:r>
              <w:rPr>
                <w:rFonts w:hint="eastAsia"/>
                <w:color w:val="auto"/>
                <w:sz w:val="24"/>
                <w:szCs w:val="24"/>
                <w:lang w:val="en-US" w:eastAsia="zh-CN"/>
              </w:rPr>
              <w:t>特别</w:t>
            </w:r>
            <w:r>
              <w:rPr>
                <w:rFonts w:hint="eastAsia"/>
                <w:color w:val="auto"/>
                <w:sz w:val="24"/>
                <w:szCs w:val="24"/>
              </w:rPr>
              <w:t>排放限值要求（20mg/m</w:t>
            </w:r>
            <w:r>
              <w:rPr>
                <w:rFonts w:hint="eastAsia"/>
                <w:color w:val="auto"/>
                <w:sz w:val="24"/>
                <w:szCs w:val="24"/>
                <w:vertAlign w:val="superscript"/>
              </w:rPr>
              <w:t>3</w:t>
            </w:r>
            <w:r>
              <w:rPr>
                <w:rFonts w:hint="eastAsia"/>
                <w:color w:val="auto"/>
                <w:sz w:val="24"/>
                <w:szCs w:val="24"/>
              </w:rPr>
              <w:t>）</w:t>
            </w:r>
            <w:r>
              <w:rPr>
                <w:rFonts w:hint="eastAsia"/>
                <w:bCs/>
                <w:sz w:val="24"/>
              </w:rPr>
              <w:t>及《</w:t>
            </w:r>
            <w:r>
              <w:rPr>
                <w:rFonts w:hint="eastAsia"/>
                <w:color w:val="auto"/>
                <w:sz w:val="24"/>
                <w:szCs w:val="24"/>
                <w:lang w:eastAsia="zh-CN"/>
              </w:rPr>
              <w:t>河南省重污染天气通用行业应急减排措施制定技术指南（2024年修订版）</w:t>
            </w:r>
            <w:r>
              <w:rPr>
                <w:rFonts w:hint="eastAsia"/>
                <w:bCs/>
                <w:sz w:val="24"/>
              </w:rPr>
              <w:t>》颗粒物有组织排放限值为10mg/m</w:t>
            </w:r>
            <w:r>
              <w:rPr>
                <w:rFonts w:hint="eastAsia"/>
                <w:bCs/>
                <w:sz w:val="24"/>
                <w:vertAlign w:val="superscript"/>
              </w:rPr>
              <w:t>3</w:t>
            </w:r>
            <w:r>
              <w:rPr>
                <w:rFonts w:hint="eastAsia"/>
                <w:bCs/>
                <w:sz w:val="24"/>
              </w:rPr>
              <w:t>），通过1根15m高排气筒排放。</w:t>
            </w:r>
          </w:p>
          <w:p w14:paraId="061972E6">
            <w:pPr>
              <w:ind w:firstLine="482"/>
              <w:rPr>
                <w:b/>
                <w:bCs/>
                <w:color w:val="auto"/>
              </w:rPr>
            </w:pPr>
            <w:r>
              <w:rPr>
                <w:rFonts w:hint="eastAsia"/>
                <w:b/>
                <w:bCs/>
                <w:color w:val="auto"/>
              </w:rPr>
              <w:t>（</w:t>
            </w:r>
            <w:r>
              <w:rPr>
                <w:rFonts w:hint="eastAsia"/>
                <w:b/>
                <w:bCs/>
                <w:color w:val="auto"/>
                <w:lang w:val="en-US" w:eastAsia="zh-CN"/>
              </w:rPr>
              <w:t>4</w:t>
            </w:r>
            <w:r>
              <w:rPr>
                <w:rFonts w:hint="eastAsia"/>
                <w:b/>
                <w:bCs/>
                <w:color w:val="auto"/>
              </w:rPr>
              <w:t>）污水处理站恶臭</w:t>
            </w:r>
          </w:p>
          <w:p w14:paraId="7F22618B">
            <w:pPr>
              <w:ind w:firstLine="480"/>
              <w:rPr>
                <w:rFonts w:hint="default"/>
                <w:color w:val="auto"/>
                <w:lang w:val="en-US" w:eastAsia="zh-CN"/>
              </w:rPr>
            </w:pPr>
            <w:r>
              <w:rPr>
                <w:color w:val="auto"/>
              </w:rPr>
              <w:t>污水处理站</w:t>
            </w:r>
            <w:r>
              <w:rPr>
                <w:rFonts w:hint="eastAsia"/>
                <w:color w:val="auto"/>
              </w:rPr>
              <w:t>在运行过程中有恶臭产生，</w:t>
            </w:r>
            <w:r>
              <w:rPr>
                <w:color w:val="auto"/>
              </w:rPr>
              <w:t>来源于污水、栅渣以及污泥中有机物的分解、发酵过程中散发的化学物质，污水的臭味容易散发到空气中，对周围环境造成影响。恶臭主要成份为H</w:t>
            </w:r>
            <w:r>
              <w:rPr>
                <w:color w:val="auto"/>
                <w:vertAlign w:val="subscript"/>
              </w:rPr>
              <w:t>2</w:t>
            </w:r>
            <w:r>
              <w:rPr>
                <w:color w:val="auto"/>
              </w:rPr>
              <w:t>S、NH</w:t>
            </w:r>
            <w:r>
              <w:rPr>
                <w:color w:val="auto"/>
                <w:vertAlign w:val="subscript"/>
              </w:rPr>
              <w:t>3</w:t>
            </w:r>
            <w:r>
              <w:rPr>
                <w:color w:val="auto"/>
              </w:rPr>
              <w:t>等。</w:t>
            </w:r>
            <w:r>
              <w:rPr>
                <w:rFonts w:hint="eastAsia"/>
                <w:color w:val="auto"/>
              </w:rPr>
              <w:t>根据美国EPA对城市污水处理厂恶臭污染物产生情况的研究，每处理1g的BOD</w:t>
            </w:r>
            <w:r>
              <w:rPr>
                <w:rFonts w:hint="eastAsia"/>
                <w:color w:val="auto"/>
                <w:vertAlign w:val="subscript"/>
              </w:rPr>
              <w:t>5</w:t>
            </w:r>
            <w:r>
              <w:rPr>
                <w:rFonts w:hint="eastAsia"/>
                <w:color w:val="auto"/>
              </w:rPr>
              <w:t>，可产生0.0031g的</w:t>
            </w:r>
            <w:r>
              <w:rPr>
                <w:color w:val="auto"/>
                <w:sz w:val="24"/>
                <w:szCs w:val="24"/>
                <w:u w:val="none"/>
              </w:rPr>
              <w:t>NH</w:t>
            </w:r>
            <w:r>
              <w:rPr>
                <w:color w:val="auto"/>
                <w:sz w:val="24"/>
                <w:szCs w:val="24"/>
                <w:u w:val="none"/>
                <w:vertAlign w:val="subscript"/>
              </w:rPr>
              <w:t>3</w:t>
            </w:r>
            <w:r>
              <w:rPr>
                <w:rFonts w:hint="eastAsia"/>
                <w:color w:val="auto"/>
              </w:rPr>
              <w:t>和0.00012g的H</w:t>
            </w:r>
            <w:r>
              <w:rPr>
                <w:rFonts w:hint="eastAsia"/>
                <w:color w:val="auto"/>
                <w:vertAlign w:val="subscript"/>
              </w:rPr>
              <w:t>2</w:t>
            </w:r>
            <w:r>
              <w:rPr>
                <w:rFonts w:hint="eastAsia"/>
                <w:color w:val="auto"/>
              </w:rPr>
              <w:t>S。本项目废水产生量为</w:t>
            </w:r>
            <w:r>
              <w:rPr>
                <w:rFonts w:hint="eastAsia"/>
                <w:color w:val="auto"/>
                <w:lang w:val="en-US" w:eastAsia="zh-CN"/>
              </w:rPr>
              <w:t>56108.12</w:t>
            </w:r>
            <w:r>
              <w:rPr>
                <w:rFonts w:hint="eastAsia"/>
                <w:color w:val="auto"/>
              </w:rPr>
              <w:t>t/a</w:t>
            </w:r>
            <w:r>
              <w:rPr>
                <w:rFonts w:hint="eastAsia"/>
                <w:color w:val="auto"/>
                <w:lang w:eastAsia="zh-CN"/>
              </w:rPr>
              <w:t>，</w:t>
            </w:r>
            <w:r>
              <w:rPr>
                <w:rFonts w:hint="eastAsia"/>
                <w:color w:val="auto"/>
              </w:rPr>
              <w:t>BOD</w:t>
            </w:r>
            <w:r>
              <w:rPr>
                <w:rFonts w:hint="eastAsia"/>
                <w:color w:val="auto"/>
                <w:vertAlign w:val="subscript"/>
                <w:lang w:val="en-US" w:eastAsia="zh-CN"/>
              </w:rPr>
              <w:t>5</w:t>
            </w:r>
            <w:r>
              <w:rPr>
                <w:rFonts w:hint="eastAsia"/>
                <w:color w:val="auto"/>
              </w:rPr>
              <w:t>除量为</w:t>
            </w:r>
            <w:r>
              <w:rPr>
                <w:rFonts w:hint="eastAsia"/>
                <w:color w:val="auto"/>
                <w:lang w:val="en-US" w:eastAsia="zh-CN"/>
              </w:rPr>
              <w:t>42.9784</w:t>
            </w:r>
            <w:r>
              <w:rPr>
                <w:rFonts w:hint="eastAsia"/>
                <w:color w:val="auto"/>
              </w:rPr>
              <w:t>t/a</w:t>
            </w:r>
            <w:r>
              <w:rPr>
                <w:rFonts w:hint="eastAsia"/>
                <w:color w:val="auto"/>
                <w:sz w:val="24"/>
                <w:szCs w:val="24"/>
              </w:rPr>
              <w:t>，</w:t>
            </w:r>
            <w:r>
              <w:rPr>
                <w:color w:val="auto"/>
                <w:sz w:val="24"/>
                <w:szCs w:val="24"/>
                <w:u w:val="none"/>
              </w:rPr>
              <w:t>NH</w:t>
            </w:r>
            <w:r>
              <w:rPr>
                <w:color w:val="auto"/>
                <w:sz w:val="24"/>
                <w:szCs w:val="24"/>
                <w:u w:val="none"/>
                <w:vertAlign w:val="subscript"/>
              </w:rPr>
              <w:t>3</w:t>
            </w:r>
            <w:r>
              <w:rPr>
                <w:rFonts w:hint="eastAsia"/>
                <w:color w:val="auto"/>
                <w:sz w:val="24"/>
                <w:szCs w:val="24"/>
                <w:u w:val="none"/>
                <w:vertAlign w:val="baseline"/>
                <w:lang w:val="en-US" w:eastAsia="zh-CN"/>
              </w:rPr>
              <w:t>产生量为</w:t>
            </w:r>
            <w:r>
              <w:rPr>
                <w:rFonts w:hint="eastAsia"/>
                <w:color w:val="auto"/>
                <w:sz w:val="24"/>
                <w:szCs w:val="24"/>
                <w:u w:val="none"/>
                <w:lang w:val="en-US" w:eastAsia="zh-CN"/>
              </w:rPr>
              <w:t>0.1332t/a</w:t>
            </w:r>
            <w:r>
              <w:rPr>
                <w:rFonts w:hint="eastAsia"/>
                <w:color w:val="auto"/>
                <w:sz w:val="24"/>
                <w:szCs w:val="24"/>
                <w:u w:val="none"/>
                <w:vertAlign w:val="baseline"/>
                <w:lang w:val="en-US" w:eastAsia="zh-CN"/>
              </w:rPr>
              <w:t>、H</w:t>
            </w:r>
            <w:r>
              <w:rPr>
                <w:rFonts w:hint="eastAsia"/>
                <w:color w:val="auto"/>
                <w:sz w:val="24"/>
                <w:szCs w:val="24"/>
                <w:u w:val="none"/>
                <w:vertAlign w:val="subscript"/>
                <w:lang w:val="en-US" w:eastAsia="zh-CN"/>
              </w:rPr>
              <w:t>2</w:t>
            </w:r>
            <w:r>
              <w:rPr>
                <w:rFonts w:hint="eastAsia"/>
                <w:color w:val="auto"/>
                <w:sz w:val="24"/>
                <w:szCs w:val="24"/>
                <w:u w:val="none"/>
                <w:vertAlign w:val="baseline"/>
                <w:lang w:val="en-US" w:eastAsia="zh-CN"/>
              </w:rPr>
              <w:t>S产生量为</w:t>
            </w:r>
            <w:r>
              <w:rPr>
                <w:rFonts w:hint="eastAsia"/>
                <w:color w:val="auto"/>
                <w:sz w:val="24"/>
                <w:szCs w:val="24"/>
                <w:u w:val="none"/>
                <w:lang w:val="en-US" w:eastAsia="zh-CN"/>
              </w:rPr>
              <w:t>0.0052t/a。</w:t>
            </w:r>
            <w:r>
              <w:rPr>
                <w:rFonts w:hint="eastAsia"/>
                <w:b/>
                <w:bCs/>
                <w:color w:val="auto"/>
                <w:sz w:val="24"/>
                <w:szCs w:val="24"/>
                <w:u w:val="single"/>
              </w:rPr>
              <w:t>进一步减小项目污水处理过程恶臭气体对周边环境的影响，污水处理站进行局部</w:t>
            </w:r>
            <w:r>
              <w:rPr>
                <w:rFonts w:hint="eastAsia"/>
                <w:b/>
                <w:bCs/>
                <w:color w:val="auto"/>
                <w:u w:val="single"/>
              </w:rPr>
              <w:t>密闭，项目建设脱臭处理，针对调节池、初沉池、接触氧化池、污泥浓缩池、污泥脱水间、污泥暂存间采取加盖密闭+</w:t>
            </w:r>
            <w:r>
              <w:rPr>
                <w:rFonts w:hint="eastAsia"/>
                <w:b/>
                <w:bCs/>
                <w:color w:val="auto"/>
                <w:u w:val="single"/>
                <w:lang w:val="en-US" w:eastAsia="zh-CN"/>
              </w:rPr>
              <w:t>生物滤池</w:t>
            </w:r>
            <w:r>
              <w:rPr>
                <w:rFonts w:hint="eastAsia"/>
                <w:b/>
                <w:bCs/>
                <w:color w:val="auto"/>
                <w:u w:val="single"/>
              </w:rPr>
              <w:t>除臭措施，加盖密闭废气收集效率可达95%，</w:t>
            </w:r>
            <w:r>
              <w:rPr>
                <w:rFonts w:hint="eastAsia"/>
                <w:b/>
                <w:bCs/>
                <w:color w:val="auto"/>
                <w:u w:val="single"/>
                <w:lang w:val="en-US" w:eastAsia="zh-CN"/>
              </w:rPr>
              <w:t>除臭</w:t>
            </w:r>
            <w:r>
              <w:rPr>
                <w:rFonts w:hint="eastAsia"/>
                <w:b/>
                <w:bCs/>
                <w:color w:val="auto"/>
                <w:u w:val="single"/>
              </w:rPr>
              <w:t>系统总排风量20000m</w:t>
            </w:r>
            <w:r>
              <w:rPr>
                <w:rFonts w:hint="eastAsia"/>
                <w:b/>
                <w:bCs/>
                <w:color w:val="auto"/>
                <w:u w:val="single"/>
                <w:vertAlign w:val="superscript"/>
              </w:rPr>
              <w:t>3</w:t>
            </w:r>
            <w:r>
              <w:rPr>
                <w:rFonts w:hint="eastAsia"/>
                <w:b/>
                <w:bCs/>
                <w:color w:val="auto"/>
                <w:u w:val="single"/>
              </w:rPr>
              <w:t>/h，</w:t>
            </w:r>
            <w:r>
              <w:rPr>
                <w:rFonts w:hint="eastAsia"/>
                <w:b/>
                <w:bCs/>
                <w:color w:val="auto"/>
                <w:u w:val="single"/>
                <w:lang w:val="en-US" w:eastAsia="zh-CN"/>
              </w:rPr>
              <w:t>则收集到的</w:t>
            </w:r>
            <w:r>
              <w:rPr>
                <w:rFonts w:hint="eastAsia"/>
                <w:b/>
                <w:bCs/>
                <w:color w:val="auto"/>
                <w:u w:val="single"/>
              </w:rPr>
              <w:t>有组织NH</w:t>
            </w:r>
            <w:r>
              <w:rPr>
                <w:rFonts w:hint="eastAsia"/>
                <w:b/>
                <w:bCs/>
                <w:color w:val="auto"/>
                <w:u w:val="single"/>
                <w:vertAlign w:val="subscript"/>
              </w:rPr>
              <w:t>3</w:t>
            </w:r>
            <w:r>
              <w:rPr>
                <w:rFonts w:hint="eastAsia"/>
                <w:b/>
                <w:bCs/>
                <w:color w:val="auto"/>
                <w:u w:val="single"/>
              </w:rPr>
              <w:t>排放量0</w:t>
            </w:r>
            <w:r>
              <w:rPr>
                <w:rFonts w:hint="eastAsia"/>
                <w:b/>
                <w:bCs/>
                <w:color w:val="auto"/>
                <w:u w:val="single"/>
                <w:lang w:val="en-US" w:eastAsia="zh-CN"/>
              </w:rPr>
              <w:t>.1265</w:t>
            </w:r>
            <w:r>
              <w:rPr>
                <w:rFonts w:hint="eastAsia"/>
                <w:b/>
                <w:bCs/>
                <w:color w:val="auto"/>
                <w:u w:val="single"/>
              </w:rPr>
              <w:t>t/a，排放速率</w:t>
            </w:r>
            <w:r>
              <w:rPr>
                <w:rFonts w:hint="eastAsia"/>
                <w:b/>
                <w:bCs/>
                <w:color w:val="auto"/>
                <w:u w:val="single"/>
                <w:lang w:val="en-US" w:eastAsia="zh-CN"/>
              </w:rPr>
              <w:t>0.0165</w:t>
            </w:r>
            <w:r>
              <w:rPr>
                <w:rFonts w:hint="eastAsia"/>
                <w:b/>
                <w:bCs/>
                <w:color w:val="auto"/>
                <w:u w:val="single"/>
              </w:rPr>
              <w:t>kg/h，</w:t>
            </w:r>
            <w:r>
              <w:rPr>
                <w:rFonts w:hint="eastAsia"/>
                <w:b/>
                <w:bCs/>
                <w:color w:val="auto"/>
                <w:u w:val="single"/>
                <w:lang w:val="en-US" w:eastAsia="zh-CN"/>
              </w:rPr>
              <w:t>排放浓度为0.825</w:t>
            </w:r>
            <w:r>
              <w:rPr>
                <w:rFonts w:hint="eastAsia"/>
                <w:b/>
                <w:bCs/>
                <w:color w:val="auto"/>
                <w:u w:val="single"/>
              </w:rPr>
              <w:t>mg/m³</w:t>
            </w:r>
            <w:r>
              <w:rPr>
                <w:rFonts w:hint="eastAsia"/>
                <w:b/>
                <w:bCs/>
                <w:color w:val="auto"/>
                <w:u w:val="single"/>
                <w:lang w:val="en-US" w:eastAsia="zh-CN"/>
              </w:rPr>
              <w:t>，</w:t>
            </w:r>
            <w:r>
              <w:rPr>
                <w:rFonts w:hint="eastAsia"/>
                <w:b/>
                <w:bCs/>
                <w:color w:val="auto"/>
                <w:u w:val="single"/>
              </w:rPr>
              <w:t>H</w:t>
            </w:r>
            <w:r>
              <w:rPr>
                <w:rFonts w:hint="eastAsia"/>
                <w:b/>
                <w:bCs/>
                <w:color w:val="auto"/>
                <w:u w:val="single"/>
                <w:vertAlign w:val="subscript"/>
              </w:rPr>
              <w:t>2</w:t>
            </w:r>
            <w:r>
              <w:rPr>
                <w:rFonts w:hint="eastAsia"/>
                <w:b/>
                <w:bCs/>
                <w:color w:val="auto"/>
                <w:u w:val="single"/>
              </w:rPr>
              <w:t>S排放量</w:t>
            </w:r>
            <w:r>
              <w:rPr>
                <w:rFonts w:hint="eastAsia"/>
                <w:b/>
                <w:bCs/>
                <w:color w:val="auto"/>
                <w:u w:val="single"/>
                <w:lang w:val="en-US" w:eastAsia="zh-CN"/>
              </w:rPr>
              <w:t>0.0049</w:t>
            </w:r>
            <w:r>
              <w:rPr>
                <w:rFonts w:hint="eastAsia"/>
                <w:b/>
                <w:bCs/>
                <w:color w:val="auto"/>
                <w:u w:val="single"/>
              </w:rPr>
              <w:t>t/a，排放速率</w:t>
            </w:r>
            <w:r>
              <w:rPr>
                <w:rFonts w:hint="eastAsia"/>
                <w:b/>
                <w:bCs/>
                <w:color w:val="auto"/>
                <w:u w:val="single"/>
                <w:lang w:val="en-US" w:eastAsia="zh-CN"/>
              </w:rPr>
              <w:t>0.0006</w:t>
            </w:r>
            <w:r>
              <w:rPr>
                <w:rFonts w:hint="eastAsia"/>
                <w:b/>
                <w:bCs/>
                <w:color w:val="auto"/>
                <w:u w:val="single"/>
              </w:rPr>
              <w:t>kg/h，</w:t>
            </w:r>
            <w:r>
              <w:rPr>
                <w:rFonts w:hint="eastAsia"/>
                <w:b/>
                <w:bCs/>
                <w:color w:val="auto"/>
                <w:u w:val="single"/>
                <w:lang w:val="en-US" w:eastAsia="zh-CN"/>
              </w:rPr>
              <w:t>排放浓度为0.03</w:t>
            </w:r>
            <w:r>
              <w:rPr>
                <w:rFonts w:hint="eastAsia"/>
                <w:b/>
                <w:bCs/>
                <w:color w:val="auto"/>
                <w:u w:val="single"/>
              </w:rPr>
              <w:t>mg/m³</w:t>
            </w:r>
            <w:r>
              <w:rPr>
                <w:rFonts w:hint="eastAsia"/>
                <w:b/>
                <w:bCs/>
                <w:color w:val="auto"/>
                <w:u w:val="single"/>
                <w:lang w:val="en-US" w:eastAsia="zh-CN"/>
              </w:rPr>
              <w:t>，</w:t>
            </w:r>
            <w:r>
              <w:rPr>
                <w:rFonts w:hint="eastAsia"/>
                <w:b/>
                <w:bCs/>
                <w:color w:val="auto"/>
                <w:u w:val="single"/>
              </w:rPr>
              <w:t>经</w:t>
            </w:r>
            <w:r>
              <w:rPr>
                <w:rFonts w:hint="eastAsia"/>
                <w:b/>
                <w:bCs/>
                <w:color w:val="auto"/>
                <w:u w:val="single"/>
                <w:lang w:val="en-US" w:eastAsia="zh-CN"/>
              </w:rPr>
              <w:t>生物</w:t>
            </w:r>
            <w:r>
              <w:rPr>
                <w:rFonts w:hint="eastAsia"/>
                <w:b/>
                <w:bCs/>
                <w:color w:val="auto"/>
                <w:u w:val="single"/>
              </w:rPr>
              <w:t>除臭</w:t>
            </w:r>
            <w:r>
              <w:rPr>
                <w:rFonts w:hint="eastAsia"/>
                <w:b/>
                <w:bCs/>
                <w:color w:val="auto"/>
                <w:u w:val="single"/>
                <w:lang w:val="en-US" w:eastAsia="zh-CN"/>
              </w:rPr>
              <w:t>措施，去除</w:t>
            </w:r>
            <w:r>
              <w:rPr>
                <w:rFonts w:hint="eastAsia"/>
                <w:b/>
                <w:bCs/>
                <w:color w:val="auto"/>
                <w:u w:val="single"/>
              </w:rPr>
              <w:t>效率可达90%，则处理后则排放废气中NH</w:t>
            </w:r>
            <w:r>
              <w:rPr>
                <w:rFonts w:hint="eastAsia"/>
                <w:b/>
                <w:bCs/>
                <w:color w:val="auto"/>
                <w:u w:val="single"/>
                <w:vertAlign w:val="subscript"/>
              </w:rPr>
              <w:t>3</w:t>
            </w:r>
            <w:r>
              <w:rPr>
                <w:rFonts w:hint="eastAsia"/>
                <w:b/>
                <w:bCs/>
                <w:color w:val="auto"/>
                <w:u w:val="single"/>
              </w:rPr>
              <w:t>排放量0</w:t>
            </w:r>
            <w:r>
              <w:rPr>
                <w:rFonts w:hint="eastAsia"/>
                <w:b/>
                <w:bCs/>
                <w:color w:val="auto"/>
                <w:u w:val="single"/>
                <w:lang w:val="en-US" w:eastAsia="zh-CN"/>
              </w:rPr>
              <w:t>.0126</w:t>
            </w:r>
            <w:r>
              <w:rPr>
                <w:rFonts w:hint="eastAsia"/>
                <w:b/>
                <w:bCs/>
                <w:color w:val="auto"/>
                <w:u w:val="single"/>
              </w:rPr>
              <w:t>t/a，排放速率</w:t>
            </w:r>
            <w:r>
              <w:rPr>
                <w:rFonts w:hint="eastAsia"/>
                <w:b/>
                <w:bCs/>
                <w:color w:val="auto"/>
                <w:u w:val="single"/>
                <w:lang w:val="en-US" w:eastAsia="zh-CN"/>
              </w:rPr>
              <w:t>0.0017</w:t>
            </w:r>
            <w:r>
              <w:rPr>
                <w:rFonts w:hint="eastAsia"/>
                <w:b/>
                <w:bCs/>
                <w:color w:val="auto"/>
                <w:u w:val="single"/>
              </w:rPr>
              <w:t>kg/h，排放浓度为0.0</w:t>
            </w:r>
            <w:r>
              <w:rPr>
                <w:rFonts w:hint="eastAsia"/>
                <w:b/>
                <w:bCs/>
                <w:color w:val="auto"/>
                <w:u w:val="single"/>
                <w:lang w:val="en-US" w:eastAsia="zh-CN"/>
              </w:rPr>
              <w:t>825</w:t>
            </w:r>
            <w:r>
              <w:rPr>
                <w:rFonts w:hint="eastAsia"/>
                <w:b/>
                <w:bCs/>
                <w:color w:val="auto"/>
                <w:u w:val="single"/>
              </w:rPr>
              <w:t>mg/m³，H</w:t>
            </w:r>
            <w:r>
              <w:rPr>
                <w:rFonts w:hint="eastAsia"/>
                <w:b/>
                <w:bCs/>
                <w:color w:val="auto"/>
                <w:u w:val="single"/>
                <w:vertAlign w:val="subscript"/>
              </w:rPr>
              <w:t>2</w:t>
            </w:r>
            <w:r>
              <w:rPr>
                <w:rFonts w:hint="eastAsia"/>
                <w:b/>
                <w:bCs/>
                <w:color w:val="auto"/>
                <w:u w:val="single"/>
              </w:rPr>
              <w:t>S排放量0</w:t>
            </w:r>
            <w:r>
              <w:rPr>
                <w:rFonts w:hint="eastAsia"/>
                <w:b/>
                <w:bCs/>
                <w:color w:val="auto"/>
                <w:u w:val="single"/>
                <w:lang w:val="en-US" w:eastAsia="zh-CN"/>
              </w:rPr>
              <w:t>.0005</w:t>
            </w:r>
            <w:r>
              <w:rPr>
                <w:rFonts w:hint="eastAsia"/>
                <w:b/>
                <w:bCs/>
                <w:color w:val="auto"/>
                <w:u w:val="single"/>
              </w:rPr>
              <w:t>t/a，排放速率</w:t>
            </w:r>
            <w:r>
              <w:rPr>
                <w:rFonts w:hint="eastAsia"/>
                <w:b/>
                <w:bCs/>
                <w:color w:val="auto"/>
                <w:u w:val="single"/>
                <w:lang w:val="en-US" w:eastAsia="zh-CN"/>
              </w:rPr>
              <w:t>0.00006</w:t>
            </w:r>
            <w:r>
              <w:rPr>
                <w:rFonts w:hint="eastAsia"/>
                <w:b/>
                <w:bCs/>
                <w:color w:val="auto"/>
                <w:u w:val="single"/>
              </w:rPr>
              <w:t>kg/h，排放浓度为0.00</w:t>
            </w:r>
            <w:r>
              <w:rPr>
                <w:rFonts w:hint="eastAsia"/>
                <w:b/>
                <w:bCs/>
                <w:color w:val="auto"/>
                <w:u w:val="single"/>
                <w:lang w:val="en-US" w:eastAsia="zh-CN"/>
              </w:rPr>
              <w:t>3</w:t>
            </w:r>
            <w:r>
              <w:rPr>
                <w:rFonts w:hint="eastAsia"/>
                <w:b/>
                <w:bCs/>
                <w:color w:val="auto"/>
                <w:u w:val="single"/>
              </w:rPr>
              <w:t>mg/m³</w:t>
            </w:r>
            <w:r>
              <w:rPr>
                <w:rFonts w:hint="eastAsia"/>
                <w:b/>
                <w:bCs/>
                <w:color w:val="auto"/>
                <w:u w:val="single"/>
                <w:lang w:eastAsia="zh-CN"/>
              </w:rPr>
              <w:t>，</w:t>
            </w:r>
            <w:r>
              <w:rPr>
                <w:rFonts w:hint="eastAsia"/>
                <w:b/>
                <w:bCs/>
                <w:color w:val="auto"/>
                <w:u w:val="single"/>
                <w:lang w:val="en-US" w:eastAsia="zh-CN"/>
              </w:rPr>
              <w:t>能够满足</w:t>
            </w:r>
            <w:r>
              <w:rPr>
                <w:rFonts w:hint="eastAsia"/>
                <w:b/>
                <w:bCs/>
                <w:color w:val="auto"/>
                <w:sz w:val="24"/>
                <w:szCs w:val="24"/>
                <w:u w:val="single"/>
              </w:rPr>
              <w:t>《制药工业大气污染物排放标准》（GB37823-2019）表2中</w:t>
            </w:r>
            <w:r>
              <w:rPr>
                <w:rFonts w:hint="eastAsia"/>
                <w:b/>
                <w:bCs/>
                <w:color w:val="auto"/>
                <w:sz w:val="24"/>
                <w:szCs w:val="24"/>
                <w:u w:val="single"/>
                <w:lang w:val="en-US" w:eastAsia="zh-CN"/>
              </w:rPr>
              <w:t>特别</w:t>
            </w:r>
            <w:r>
              <w:rPr>
                <w:rFonts w:hint="eastAsia"/>
                <w:b/>
                <w:bCs/>
                <w:color w:val="auto"/>
                <w:sz w:val="24"/>
                <w:szCs w:val="24"/>
                <w:u w:val="single"/>
              </w:rPr>
              <w:t>排放限值要求</w:t>
            </w:r>
            <w:r>
              <w:rPr>
                <w:rFonts w:hint="eastAsia"/>
                <w:b/>
                <w:bCs/>
                <w:color w:val="auto"/>
                <w:u w:val="single"/>
                <w:lang w:val="en-US" w:eastAsia="zh-CN"/>
              </w:rPr>
              <w:t>要求，通过15m高排气筒排放。</w:t>
            </w:r>
          </w:p>
          <w:p w14:paraId="7B5E3100">
            <w:pPr>
              <w:ind w:firstLine="480"/>
              <w:rPr>
                <w:color w:val="auto"/>
              </w:rPr>
            </w:pPr>
            <w:r>
              <w:rPr>
                <w:rFonts w:hint="eastAsia"/>
                <w:color w:val="auto"/>
                <w:lang w:val="en-US" w:eastAsia="zh-CN"/>
              </w:rPr>
              <w:t>未收集到的</w:t>
            </w:r>
            <w:r>
              <w:rPr>
                <w:rFonts w:hint="eastAsia"/>
                <w:color w:val="auto"/>
              </w:rPr>
              <w:t>无组织NH3排放量0.00</w:t>
            </w:r>
            <w:r>
              <w:rPr>
                <w:rFonts w:hint="eastAsia"/>
                <w:color w:val="auto"/>
                <w:lang w:val="en-US" w:eastAsia="zh-CN"/>
              </w:rPr>
              <w:t>67</w:t>
            </w:r>
            <w:r>
              <w:rPr>
                <w:rFonts w:hint="eastAsia"/>
                <w:color w:val="auto"/>
              </w:rPr>
              <w:t>t/a，排放速率0.000</w:t>
            </w:r>
            <w:r>
              <w:rPr>
                <w:rFonts w:hint="eastAsia"/>
                <w:color w:val="auto"/>
                <w:lang w:val="en-US" w:eastAsia="zh-CN"/>
              </w:rPr>
              <w:t>9</w:t>
            </w:r>
            <w:r>
              <w:rPr>
                <w:rFonts w:hint="eastAsia"/>
                <w:color w:val="auto"/>
              </w:rPr>
              <w:t>kg/h，H2S排放量0.00</w:t>
            </w:r>
            <w:r>
              <w:rPr>
                <w:rFonts w:hint="eastAsia"/>
                <w:color w:val="auto"/>
                <w:lang w:val="en-US" w:eastAsia="zh-CN"/>
              </w:rPr>
              <w:t>03</w:t>
            </w:r>
            <w:r>
              <w:rPr>
                <w:rFonts w:hint="eastAsia"/>
                <w:color w:val="auto"/>
              </w:rPr>
              <w:t>t/a，排放速率0.0000</w:t>
            </w:r>
            <w:r>
              <w:rPr>
                <w:rFonts w:hint="eastAsia"/>
                <w:color w:val="auto"/>
                <w:lang w:val="en-US" w:eastAsia="zh-CN"/>
              </w:rPr>
              <w:t>4</w:t>
            </w:r>
            <w:r>
              <w:rPr>
                <w:rFonts w:hint="eastAsia"/>
                <w:color w:val="auto"/>
              </w:rPr>
              <w:t>kg/h。</w:t>
            </w:r>
          </w:p>
          <w:p w14:paraId="3BFD9F36">
            <w:pPr>
              <w:ind w:firstLine="482"/>
              <w:rPr>
                <w:rFonts w:hint="eastAsia"/>
                <w:b/>
                <w:bCs/>
                <w:color w:val="auto"/>
              </w:rPr>
            </w:pPr>
            <w:r>
              <w:rPr>
                <w:rFonts w:hint="eastAsia"/>
                <w:b/>
                <w:bCs/>
                <w:color w:val="auto"/>
              </w:rPr>
              <w:t>（</w:t>
            </w:r>
            <w:r>
              <w:rPr>
                <w:rFonts w:hint="eastAsia"/>
                <w:b/>
                <w:bCs/>
                <w:color w:val="auto"/>
                <w:lang w:val="en-US" w:eastAsia="zh-CN"/>
              </w:rPr>
              <w:t>5</w:t>
            </w:r>
            <w:r>
              <w:rPr>
                <w:rFonts w:hint="eastAsia"/>
                <w:b/>
                <w:bCs/>
                <w:color w:val="auto"/>
              </w:rPr>
              <w:t>）</w:t>
            </w:r>
            <w:r>
              <w:rPr>
                <w:rFonts w:hint="eastAsia"/>
                <w:b/>
                <w:bCs/>
                <w:color w:val="auto"/>
                <w:lang w:val="en-US" w:eastAsia="zh-CN"/>
              </w:rPr>
              <w:t>质检工序</w:t>
            </w:r>
            <w:r>
              <w:rPr>
                <w:rFonts w:hint="eastAsia"/>
                <w:b/>
                <w:bCs/>
                <w:color w:val="auto"/>
              </w:rPr>
              <w:t>实验废气</w:t>
            </w:r>
          </w:p>
          <w:p w14:paraId="2E011490">
            <w:pPr>
              <w:ind w:firstLine="480"/>
              <w:rPr>
                <w:rFonts w:hint="eastAsia"/>
                <w:color w:val="auto"/>
              </w:rPr>
            </w:pPr>
            <w:r>
              <w:rPr>
                <w:rFonts w:hint="eastAsia"/>
                <w:color w:val="auto"/>
              </w:rPr>
              <w:t>项目产品质检时，利用液相色谱仪、气相色谱仪、分光光度计等灰分、二氧化硫、浸出物、含量等项目。溶液配置均在通风橱内完成，对配置完成的溶液采用相应的设备进行各参数测定。</w:t>
            </w:r>
          </w:p>
          <w:p w14:paraId="27FB14EE">
            <w:pPr>
              <w:ind w:firstLine="480"/>
              <w:rPr>
                <w:rFonts w:hint="eastAsia"/>
                <w:color w:val="auto"/>
              </w:rPr>
            </w:pPr>
            <w:r>
              <w:rPr>
                <w:rFonts w:hint="eastAsia"/>
                <w:color w:val="auto"/>
              </w:rPr>
              <w:t>实验过程中会产生少量的实验废气，根据建设单位提供的原辅料表可知，实验废气主要来源于挥发性有机试剂取液和操作过程中挥发出的废气。</w:t>
            </w:r>
          </w:p>
          <w:p w14:paraId="11593904">
            <w:pPr>
              <w:ind w:firstLine="480"/>
              <w:rPr>
                <w:rFonts w:hint="eastAsia"/>
                <w:color w:val="auto"/>
                <w:lang w:eastAsia="zh-CN"/>
              </w:rPr>
            </w:pPr>
            <w:r>
              <w:rPr>
                <w:rFonts w:hint="eastAsia"/>
                <w:color w:val="auto"/>
              </w:rPr>
              <w:t>根据建设单位提供资料，项目质检使用的有机试剂用量约0.2t/a，有机废气产量按试剂使用量的10%计算，则有机废气产生量约0.02t/a，产生速率约0.022kg/h（实验时间以900h/a计）。建设单位拟设置通风橱，实验操作均在通风橱内进行，实验过程中产生的有机废气经收集</w:t>
            </w:r>
            <w:r>
              <w:rPr>
                <w:rFonts w:hint="eastAsia"/>
                <w:color w:val="auto"/>
                <w:lang w:val="en-US" w:eastAsia="zh-CN"/>
              </w:rPr>
              <w:t>后引至</w:t>
            </w:r>
            <w:r>
              <w:rPr>
                <w:rFonts w:hint="eastAsia"/>
                <w:color w:val="auto"/>
              </w:rPr>
              <w:t>1套二级活性炭吸附装置</w:t>
            </w:r>
            <w:r>
              <w:rPr>
                <w:rFonts w:hint="eastAsia"/>
                <w:color w:val="auto"/>
                <w:lang w:eastAsia="zh-CN"/>
              </w:rPr>
              <w:t>，</w:t>
            </w:r>
            <w:r>
              <w:rPr>
                <w:rFonts w:hint="eastAsia"/>
                <w:color w:val="auto"/>
                <w:lang w:val="en-US" w:eastAsia="zh-CN"/>
              </w:rPr>
              <w:t>净化</w:t>
            </w:r>
            <w:r>
              <w:rPr>
                <w:rFonts w:hint="eastAsia"/>
                <w:color w:val="auto"/>
              </w:rPr>
              <w:t>处理后高空排放</w:t>
            </w:r>
            <w:r>
              <w:rPr>
                <w:rFonts w:hint="eastAsia"/>
                <w:color w:val="auto"/>
                <w:lang w:eastAsia="zh-CN"/>
              </w:rPr>
              <w:t>，</w:t>
            </w:r>
            <w:r>
              <w:rPr>
                <w:rFonts w:hint="eastAsia"/>
                <w:color w:val="auto"/>
                <w:lang w:val="en-US" w:eastAsia="zh-CN"/>
              </w:rPr>
              <w:t>废气收集效率达90%，净化效率达90%，</w:t>
            </w:r>
            <w:r>
              <w:rPr>
                <w:rFonts w:hint="eastAsia"/>
                <w:color w:val="auto"/>
              </w:rPr>
              <w:t>风机风量</w:t>
            </w:r>
            <w:r>
              <w:rPr>
                <w:rFonts w:hint="eastAsia"/>
                <w:color w:val="auto"/>
                <w:lang w:val="en-US" w:eastAsia="zh-CN"/>
              </w:rPr>
              <w:t>3</w:t>
            </w:r>
            <w:r>
              <w:rPr>
                <w:rFonts w:hint="eastAsia"/>
                <w:color w:val="auto"/>
              </w:rPr>
              <w:t>000m</w:t>
            </w:r>
            <w:r>
              <w:rPr>
                <w:rFonts w:hint="eastAsia"/>
                <w:color w:val="auto"/>
                <w:vertAlign w:val="superscript"/>
              </w:rPr>
              <w:t>3</w:t>
            </w:r>
            <w:r>
              <w:rPr>
                <w:rFonts w:hint="eastAsia"/>
                <w:color w:val="auto"/>
              </w:rPr>
              <w:t>/h</w:t>
            </w:r>
            <w:r>
              <w:rPr>
                <w:rFonts w:hint="eastAsia"/>
                <w:color w:val="auto"/>
                <w:lang w:eastAsia="zh-CN"/>
              </w:rPr>
              <w:t>。</w:t>
            </w:r>
          </w:p>
          <w:p w14:paraId="6260F898">
            <w:pPr>
              <w:keepNext w:val="0"/>
              <w:keepLines w:val="0"/>
              <w:pageBreakBefore w:val="0"/>
              <w:widowControl w:val="0"/>
              <w:kinsoku/>
              <w:wordWrap w:val="0"/>
              <w:overflowPunct/>
              <w:topLinePunct w:val="0"/>
              <w:bidi w:val="0"/>
              <w:snapToGrid/>
              <w:spacing w:line="360" w:lineRule="auto"/>
              <w:ind w:left="0" w:right="0" w:firstLine="480"/>
              <w:textAlignment w:val="auto"/>
              <w:rPr>
                <w:rFonts w:hint="eastAsia"/>
                <w:bCs/>
                <w:sz w:val="24"/>
              </w:rPr>
            </w:pPr>
            <w:r>
              <w:rPr>
                <w:rFonts w:hint="eastAsia"/>
                <w:color w:val="auto"/>
                <w:lang w:val="en-US" w:eastAsia="zh-CN"/>
              </w:rPr>
              <w:t>则收集到的</w:t>
            </w:r>
            <w:r>
              <w:rPr>
                <w:rFonts w:hint="eastAsia"/>
                <w:color w:val="auto"/>
              </w:rPr>
              <w:t>VOCs有组织排放量约0.0</w:t>
            </w:r>
            <w:r>
              <w:rPr>
                <w:rFonts w:hint="eastAsia"/>
                <w:color w:val="auto"/>
                <w:lang w:val="en-US" w:eastAsia="zh-CN"/>
              </w:rPr>
              <w:t>180</w:t>
            </w:r>
            <w:r>
              <w:rPr>
                <w:rFonts w:hint="eastAsia"/>
                <w:color w:val="auto"/>
              </w:rPr>
              <w:t>t/a，排放速率约0.02kg/h，排放浓度约</w:t>
            </w:r>
            <w:r>
              <w:rPr>
                <w:rFonts w:hint="eastAsia"/>
                <w:color w:val="auto"/>
                <w:lang w:val="en-US" w:eastAsia="zh-CN"/>
              </w:rPr>
              <w:t>6.7</w:t>
            </w:r>
            <w:r>
              <w:rPr>
                <w:rFonts w:hint="eastAsia"/>
                <w:color w:val="auto"/>
              </w:rPr>
              <w:t>mg/m</w:t>
            </w:r>
            <w:r>
              <w:rPr>
                <w:rFonts w:hint="eastAsia"/>
                <w:color w:val="auto"/>
                <w:vertAlign w:val="superscript"/>
              </w:rPr>
              <w:t>3</w:t>
            </w:r>
            <w:r>
              <w:rPr>
                <w:rFonts w:hint="eastAsia"/>
                <w:color w:val="auto"/>
              </w:rPr>
              <w:t>，</w:t>
            </w:r>
            <w:r>
              <w:rPr>
                <w:rFonts w:hint="eastAsia"/>
                <w:color w:val="auto"/>
                <w:lang w:val="en-US" w:eastAsia="zh-CN"/>
              </w:rPr>
              <w:t>经净化处理</w:t>
            </w:r>
            <w:r>
              <w:rPr>
                <w:rFonts w:hint="eastAsia"/>
                <w:color w:val="auto"/>
              </w:rPr>
              <w:t>后，VOCs有组织排放量约0.00</w:t>
            </w:r>
            <w:r>
              <w:rPr>
                <w:rFonts w:hint="eastAsia"/>
                <w:color w:val="auto"/>
                <w:lang w:val="en-US" w:eastAsia="zh-CN"/>
              </w:rPr>
              <w:t>18</w:t>
            </w:r>
            <w:r>
              <w:rPr>
                <w:rFonts w:hint="eastAsia"/>
                <w:color w:val="auto"/>
              </w:rPr>
              <w:t>t/a，排放速率约0.0</w:t>
            </w:r>
            <w:r>
              <w:rPr>
                <w:rFonts w:hint="eastAsia"/>
                <w:color w:val="auto"/>
                <w:lang w:val="en-US" w:eastAsia="zh-CN"/>
              </w:rPr>
              <w:t>02</w:t>
            </w:r>
            <w:r>
              <w:rPr>
                <w:rFonts w:hint="eastAsia"/>
                <w:color w:val="auto"/>
              </w:rPr>
              <w:t>kg/h，排放浓度约</w:t>
            </w:r>
            <w:r>
              <w:rPr>
                <w:rFonts w:hint="eastAsia"/>
                <w:color w:val="auto"/>
                <w:lang w:val="en-US" w:eastAsia="zh-CN"/>
              </w:rPr>
              <w:t>0.67</w:t>
            </w:r>
            <w:r>
              <w:rPr>
                <w:rFonts w:hint="eastAsia"/>
                <w:color w:val="auto"/>
              </w:rPr>
              <w:t>mg/m</w:t>
            </w:r>
            <w:r>
              <w:rPr>
                <w:rFonts w:hint="eastAsia"/>
                <w:color w:val="auto"/>
                <w:vertAlign w:val="superscript"/>
              </w:rPr>
              <w:t>3</w:t>
            </w:r>
            <w:r>
              <w:rPr>
                <w:rFonts w:hint="eastAsia"/>
                <w:color w:val="auto"/>
              </w:rPr>
              <w:t>，</w:t>
            </w:r>
            <w:r>
              <w:rPr>
                <w:rFonts w:hint="eastAsia"/>
                <w:color w:val="auto"/>
                <w:lang w:val="en-US" w:eastAsia="zh-CN"/>
              </w:rPr>
              <w:t>能够满足</w:t>
            </w:r>
            <w:r>
              <w:rPr>
                <w:rFonts w:hint="eastAsia"/>
                <w:color w:val="auto"/>
              </w:rPr>
              <w:t>《制药工业大气污染物排放标准》（GB37823-2019）表</w:t>
            </w:r>
            <w:r>
              <w:rPr>
                <w:rFonts w:hint="eastAsia"/>
                <w:color w:val="auto"/>
                <w:lang w:val="en-US" w:eastAsia="zh-CN"/>
              </w:rPr>
              <w:t>2特别</w:t>
            </w:r>
            <w:r>
              <w:rPr>
                <w:rFonts w:hint="eastAsia"/>
                <w:color w:val="auto"/>
              </w:rPr>
              <w:t>排放限值</w:t>
            </w:r>
            <w:r>
              <w:rPr>
                <w:rFonts w:hint="eastAsia"/>
                <w:bCs/>
                <w:sz w:val="24"/>
              </w:rPr>
              <w:t>及《</w:t>
            </w:r>
            <w:r>
              <w:rPr>
                <w:rFonts w:hint="eastAsia"/>
                <w:color w:val="auto"/>
                <w:sz w:val="24"/>
                <w:szCs w:val="24"/>
                <w:lang w:eastAsia="zh-CN"/>
              </w:rPr>
              <w:t>河南省重污染天气通用行业应急减排措施制定技术指南（2024年修订版）</w:t>
            </w:r>
            <w:r>
              <w:rPr>
                <w:rFonts w:hint="eastAsia"/>
                <w:bCs/>
                <w:sz w:val="24"/>
              </w:rPr>
              <w:t>》颗粒物</w:t>
            </w:r>
            <w:r>
              <w:rPr>
                <w:rFonts w:hint="eastAsia"/>
                <w:bCs/>
                <w:sz w:val="24"/>
                <w:lang w:val="en-US" w:eastAsia="zh-CN"/>
              </w:rPr>
              <w:t>NMHC</w:t>
            </w:r>
            <w:r>
              <w:rPr>
                <w:rFonts w:hint="eastAsia"/>
                <w:bCs/>
                <w:sz w:val="24"/>
              </w:rPr>
              <w:t>排放限值为</w:t>
            </w:r>
            <w:r>
              <w:rPr>
                <w:rFonts w:hint="eastAsia"/>
                <w:bCs/>
                <w:sz w:val="24"/>
                <w:lang w:val="en-US" w:eastAsia="zh-CN"/>
              </w:rPr>
              <w:t>30</w:t>
            </w:r>
            <w:r>
              <w:rPr>
                <w:rFonts w:hint="eastAsia"/>
                <w:bCs/>
                <w:sz w:val="24"/>
              </w:rPr>
              <w:t>mg/m</w:t>
            </w:r>
            <w:r>
              <w:rPr>
                <w:rFonts w:hint="eastAsia"/>
                <w:bCs/>
                <w:sz w:val="24"/>
                <w:vertAlign w:val="superscript"/>
              </w:rPr>
              <w:t>3</w:t>
            </w:r>
            <w:r>
              <w:rPr>
                <w:rFonts w:hint="eastAsia"/>
                <w:bCs/>
                <w:sz w:val="24"/>
              </w:rPr>
              <w:t>），通过</w:t>
            </w:r>
            <w:r>
              <w:rPr>
                <w:rFonts w:hint="eastAsia"/>
                <w:bCs/>
                <w:sz w:val="24"/>
                <w:lang w:val="en-US" w:eastAsia="zh-CN"/>
              </w:rPr>
              <w:t>楼顶专用排气筒排放</w:t>
            </w:r>
            <w:r>
              <w:rPr>
                <w:rFonts w:hint="eastAsia"/>
                <w:bCs/>
                <w:sz w:val="24"/>
              </w:rPr>
              <w:t>。</w:t>
            </w:r>
          </w:p>
          <w:p w14:paraId="128B0E73">
            <w:pPr>
              <w:keepNext w:val="0"/>
              <w:keepLines w:val="0"/>
              <w:pageBreakBefore w:val="0"/>
              <w:widowControl w:val="0"/>
              <w:kinsoku/>
              <w:wordWrap w:val="0"/>
              <w:overflowPunct/>
              <w:topLinePunct w:val="0"/>
              <w:bidi w:val="0"/>
              <w:snapToGrid/>
              <w:spacing w:line="360" w:lineRule="auto"/>
              <w:ind w:left="0" w:right="0" w:firstLine="480"/>
              <w:textAlignment w:val="auto"/>
              <w:rPr>
                <w:rFonts w:hint="eastAsia" w:eastAsia="宋体"/>
                <w:lang w:eastAsia="zh-CN"/>
              </w:rPr>
            </w:pPr>
            <w:r>
              <w:rPr>
                <w:rFonts w:hint="eastAsia"/>
                <w:color w:val="auto"/>
                <w:lang w:val="en-US" w:eastAsia="zh-CN"/>
              </w:rPr>
              <w:t>未收集到</w:t>
            </w:r>
            <w:r>
              <w:rPr>
                <w:rFonts w:hint="eastAsia"/>
                <w:color w:val="auto"/>
              </w:rPr>
              <w:t>VOCs无组织排放量约0.002</w:t>
            </w:r>
            <w:r>
              <w:rPr>
                <w:rFonts w:hint="eastAsia"/>
                <w:color w:val="auto"/>
                <w:lang w:val="en-US" w:eastAsia="zh-CN"/>
              </w:rPr>
              <w:t>0</w:t>
            </w:r>
            <w:r>
              <w:rPr>
                <w:rFonts w:hint="eastAsia"/>
                <w:color w:val="auto"/>
              </w:rPr>
              <w:t>t/a，0.0022kg/h</w:t>
            </w:r>
            <w:r>
              <w:rPr>
                <w:rFonts w:hint="eastAsia"/>
                <w:color w:val="auto"/>
                <w:lang w:eastAsia="zh-CN"/>
              </w:rPr>
              <w:t>。</w:t>
            </w:r>
          </w:p>
          <w:p w14:paraId="0BDD042A">
            <w:pPr>
              <w:ind w:firstLine="482"/>
              <w:rPr>
                <w:rFonts w:hint="eastAsia" w:eastAsia="宋体"/>
                <w:b/>
                <w:bCs/>
                <w:color w:val="auto"/>
                <w:lang w:eastAsia="zh-CN"/>
              </w:rPr>
            </w:pPr>
            <w:r>
              <w:rPr>
                <w:rFonts w:hint="eastAsia"/>
                <w:b/>
                <w:bCs/>
                <w:color w:val="auto"/>
              </w:rPr>
              <w:t>（</w:t>
            </w:r>
            <w:r>
              <w:rPr>
                <w:rFonts w:hint="eastAsia"/>
                <w:b/>
                <w:bCs/>
                <w:color w:val="auto"/>
                <w:lang w:val="en-US" w:eastAsia="zh-CN"/>
              </w:rPr>
              <w:t>6</w:t>
            </w:r>
            <w:r>
              <w:rPr>
                <w:rFonts w:hint="eastAsia"/>
                <w:b/>
                <w:bCs/>
                <w:color w:val="auto"/>
              </w:rPr>
              <w:t>）</w:t>
            </w:r>
            <w:r>
              <w:rPr>
                <w:rFonts w:hint="eastAsia"/>
                <w:b/>
                <w:bCs/>
                <w:color w:val="auto"/>
                <w:lang w:val="en-US" w:eastAsia="zh-CN"/>
              </w:rPr>
              <w:t>食堂油烟</w:t>
            </w:r>
          </w:p>
          <w:p w14:paraId="200D167A">
            <w:pPr>
              <w:ind w:firstLine="480"/>
              <w:rPr>
                <w:rFonts w:hint="eastAsia"/>
                <w:color w:val="auto"/>
              </w:rPr>
            </w:pPr>
            <w:r>
              <w:rPr>
                <w:rFonts w:hint="eastAsia"/>
                <w:color w:val="auto"/>
              </w:rPr>
              <w:t>项目劳动员工100人在企业食堂内就餐，根据食用油用量平均按0.01kg/人·天计，油的平均挥发量为总耗油量的3%，经计算，项目年产生油烟量为0.00</w:t>
            </w:r>
            <w:r>
              <w:rPr>
                <w:rFonts w:hint="eastAsia"/>
                <w:color w:val="auto"/>
                <w:lang w:val="en-US" w:eastAsia="zh-CN"/>
              </w:rPr>
              <w:t>96</w:t>
            </w:r>
            <w:r>
              <w:rPr>
                <w:rFonts w:hint="eastAsia"/>
                <w:color w:val="auto"/>
              </w:rPr>
              <w:t>t/a。食堂每天运行时间按3h，风量</w:t>
            </w:r>
            <w:r>
              <w:rPr>
                <w:rFonts w:hint="eastAsia"/>
                <w:color w:val="auto"/>
                <w:lang w:val="en-US" w:eastAsia="zh-CN"/>
              </w:rPr>
              <w:t>3</w:t>
            </w:r>
            <w:r>
              <w:rPr>
                <w:rFonts w:hint="eastAsia"/>
                <w:color w:val="auto"/>
              </w:rPr>
              <w:t>000m</w:t>
            </w:r>
            <w:r>
              <w:rPr>
                <w:rFonts w:hint="eastAsia"/>
                <w:color w:val="auto"/>
                <w:vertAlign w:val="superscript"/>
              </w:rPr>
              <w:t>3</w:t>
            </w:r>
            <w:r>
              <w:rPr>
                <w:rFonts w:hint="eastAsia"/>
                <w:color w:val="auto"/>
              </w:rPr>
              <w:t>/h计，</w:t>
            </w:r>
            <w:r>
              <w:rPr>
                <w:rFonts w:hint="eastAsia"/>
                <w:color w:val="auto"/>
                <w:lang w:val="en-US" w:eastAsia="zh-CN"/>
              </w:rPr>
              <w:t>油烟产生速率为</w:t>
            </w:r>
            <w:r>
              <w:rPr>
                <w:rFonts w:hint="eastAsia"/>
                <w:color w:val="auto"/>
              </w:rPr>
              <w:t>0.0</w:t>
            </w:r>
            <w:r>
              <w:rPr>
                <w:rFonts w:hint="eastAsia"/>
                <w:color w:val="auto"/>
                <w:lang w:val="en-US" w:eastAsia="zh-CN"/>
              </w:rPr>
              <w:t>1</w:t>
            </w:r>
            <w:r>
              <w:rPr>
                <w:rFonts w:hint="eastAsia"/>
                <w:color w:val="auto"/>
              </w:rPr>
              <w:t>kg/h</w:t>
            </w:r>
            <w:r>
              <w:rPr>
                <w:rFonts w:hint="eastAsia"/>
                <w:color w:val="auto"/>
                <w:lang w:val="en-US" w:eastAsia="zh-CN"/>
              </w:rPr>
              <w:t>，产生</w:t>
            </w:r>
            <w:r>
              <w:rPr>
                <w:rFonts w:hint="eastAsia"/>
                <w:color w:val="auto"/>
              </w:rPr>
              <w:t>浓度约</w:t>
            </w:r>
            <w:r>
              <w:rPr>
                <w:rFonts w:hint="eastAsia"/>
                <w:color w:val="auto"/>
                <w:lang w:val="en-US" w:eastAsia="zh-CN"/>
              </w:rPr>
              <w:t>3.3</w:t>
            </w:r>
            <w:r>
              <w:rPr>
                <w:rFonts w:hint="eastAsia"/>
                <w:color w:val="auto"/>
              </w:rPr>
              <w:t>mg/m</w:t>
            </w:r>
            <w:r>
              <w:rPr>
                <w:rFonts w:hint="eastAsia"/>
                <w:color w:val="auto"/>
                <w:vertAlign w:val="superscript"/>
              </w:rPr>
              <w:t>3</w:t>
            </w:r>
            <w:r>
              <w:rPr>
                <w:rFonts w:hint="eastAsia"/>
                <w:color w:val="auto"/>
                <w:lang w:eastAsia="zh-CN"/>
              </w:rPr>
              <w:t>，</w:t>
            </w:r>
            <w:r>
              <w:rPr>
                <w:rFonts w:hint="eastAsia"/>
                <w:color w:val="auto"/>
              </w:rPr>
              <w:t>经过油烟净化装置（油烟去除效率按75%）处理后，</w:t>
            </w:r>
            <w:r>
              <w:rPr>
                <w:rFonts w:hint="eastAsia"/>
                <w:color w:val="auto"/>
                <w:lang w:val="en-US" w:eastAsia="zh-CN"/>
              </w:rPr>
              <w:t>油烟排放量为</w:t>
            </w:r>
            <w:r>
              <w:rPr>
                <w:rFonts w:hint="eastAsia"/>
                <w:color w:val="auto"/>
              </w:rPr>
              <w:t>0.00</w:t>
            </w:r>
            <w:r>
              <w:rPr>
                <w:rFonts w:hint="eastAsia"/>
                <w:color w:val="auto"/>
                <w:lang w:val="en-US" w:eastAsia="zh-CN"/>
              </w:rPr>
              <w:t>24</w:t>
            </w:r>
            <w:r>
              <w:rPr>
                <w:rFonts w:hint="eastAsia"/>
                <w:color w:val="auto"/>
              </w:rPr>
              <w:t>t/a</w:t>
            </w:r>
            <w:r>
              <w:rPr>
                <w:rFonts w:hint="eastAsia"/>
                <w:color w:val="auto"/>
                <w:lang w:eastAsia="zh-CN"/>
              </w:rPr>
              <w:t>，</w:t>
            </w:r>
            <w:r>
              <w:rPr>
                <w:rFonts w:hint="eastAsia"/>
                <w:color w:val="auto"/>
                <w:lang w:val="en-US" w:eastAsia="zh-CN"/>
              </w:rPr>
              <w:t>排放速率为</w:t>
            </w:r>
            <w:r>
              <w:rPr>
                <w:rFonts w:hint="eastAsia"/>
                <w:color w:val="auto"/>
              </w:rPr>
              <w:t>0.0</w:t>
            </w:r>
            <w:r>
              <w:rPr>
                <w:rFonts w:hint="eastAsia"/>
                <w:color w:val="auto"/>
                <w:lang w:val="en-US" w:eastAsia="zh-CN"/>
              </w:rPr>
              <w:t>025</w:t>
            </w:r>
            <w:r>
              <w:rPr>
                <w:rFonts w:hint="eastAsia"/>
                <w:color w:val="auto"/>
              </w:rPr>
              <w:t>kg/h</w:t>
            </w:r>
            <w:r>
              <w:rPr>
                <w:rFonts w:hint="eastAsia"/>
                <w:color w:val="auto"/>
                <w:lang w:val="en-US" w:eastAsia="zh-CN"/>
              </w:rPr>
              <w:t>，</w:t>
            </w:r>
            <w:r>
              <w:rPr>
                <w:rFonts w:hint="eastAsia"/>
                <w:color w:val="auto"/>
              </w:rPr>
              <w:t>排放浓度约</w:t>
            </w:r>
            <w:r>
              <w:rPr>
                <w:rFonts w:hint="eastAsia"/>
                <w:color w:val="auto"/>
                <w:lang w:val="en-US" w:eastAsia="zh-CN"/>
              </w:rPr>
              <w:t>0.8</w:t>
            </w:r>
            <w:r>
              <w:rPr>
                <w:rFonts w:hint="eastAsia"/>
                <w:color w:val="auto"/>
              </w:rPr>
              <w:t>mg/m</w:t>
            </w:r>
            <w:r>
              <w:rPr>
                <w:rFonts w:hint="eastAsia"/>
                <w:color w:val="auto"/>
                <w:vertAlign w:val="superscript"/>
              </w:rPr>
              <w:t>3</w:t>
            </w:r>
            <w:r>
              <w:rPr>
                <w:rFonts w:hint="eastAsia"/>
                <w:color w:val="auto"/>
              </w:rPr>
              <w:t>，满足</w:t>
            </w:r>
            <w:r>
              <w:rPr>
                <w:rFonts w:hint="eastAsia"/>
                <w:color w:val="auto"/>
                <w:lang w:val="en-US" w:eastAsia="zh-CN"/>
              </w:rPr>
              <w:t>河南省地方标准</w:t>
            </w:r>
            <w:r>
              <w:rPr>
                <w:rFonts w:hint="eastAsia"/>
                <w:color w:val="auto"/>
              </w:rPr>
              <w:fldChar w:fldCharType="begin"/>
            </w:r>
            <w:r>
              <w:rPr>
                <w:rFonts w:hint="eastAsia"/>
                <w:color w:val="auto"/>
              </w:rPr>
              <w:instrText xml:space="preserve"> HYPERLINK "http://oss.henan.gov.cn/sbgt-wztipt/attachment/sthjt/portal/cn/rootimages/2018/06/14/20180614153132709.pdf" \t "https://sthjt.henan.gov.cn/2018/06-14/_blank" </w:instrText>
            </w:r>
            <w:r>
              <w:rPr>
                <w:rFonts w:hint="eastAsia"/>
                <w:color w:val="auto"/>
              </w:rPr>
              <w:fldChar w:fldCharType="separate"/>
            </w:r>
            <w:r>
              <w:rPr>
                <w:rFonts w:hint="eastAsia"/>
                <w:color w:val="auto"/>
                <w:lang w:eastAsia="zh-CN"/>
              </w:rPr>
              <w:t>《</w:t>
            </w:r>
            <w:r>
              <w:rPr>
                <w:rFonts w:hint="eastAsia"/>
                <w:color w:val="auto"/>
              </w:rPr>
              <w:t>餐饮业油烟污染物排放标准</w:t>
            </w:r>
            <w:r>
              <w:rPr>
                <w:rFonts w:hint="eastAsia"/>
                <w:color w:val="auto"/>
                <w:lang w:eastAsia="zh-CN"/>
              </w:rPr>
              <w:t>》</w:t>
            </w:r>
            <w:r>
              <w:rPr>
                <w:rFonts w:hint="eastAsia"/>
                <w:color w:val="auto"/>
              </w:rPr>
              <w:fldChar w:fldCharType="end"/>
            </w:r>
            <w:r>
              <w:rPr>
                <w:rFonts w:hint="eastAsia"/>
                <w:color w:val="auto"/>
              </w:rPr>
              <w:t>（DB41/1604—2018）的中要求</w:t>
            </w:r>
            <w:r>
              <w:rPr>
                <w:rFonts w:hint="eastAsia"/>
                <w:color w:val="auto"/>
                <w:lang w:eastAsia="zh-CN"/>
              </w:rPr>
              <w:t>（</w:t>
            </w:r>
            <w:r>
              <w:rPr>
                <w:rFonts w:hint="eastAsia"/>
                <w:color w:val="auto"/>
                <w:lang w:val="en-US" w:eastAsia="zh-CN"/>
              </w:rPr>
              <w:t>1.0mg/m</w:t>
            </w:r>
            <w:r>
              <w:rPr>
                <w:rFonts w:hint="eastAsia"/>
                <w:color w:val="auto"/>
                <w:vertAlign w:val="superscript"/>
                <w:lang w:val="en-US" w:eastAsia="zh-CN"/>
              </w:rPr>
              <w:t>3</w:t>
            </w:r>
            <w:r>
              <w:rPr>
                <w:rFonts w:hint="eastAsia"/>
                <w:color w:val="auto"/>
                <w:lang w:eastAsia="zh-CN"/>
              </w:rPr>
              <w:t>）</w:t>
            </w:r>
            <w:r>
              <w:rPr>
                <w:rFonts w:hint="eastAsia"/>
                <w:color w:val="auto"/>
              </w:rPr>
              <w:t>，最后通过设置于屋顶的</w:t>
            </w:r>
            <w:r>
              <w:rPr>
                <w:rFonts w:hint="eastAsia"/>
                <w:color w:val="auto"/>
                <w:lang w:val="en-US" w:eastAsia="zh-CN"/>
              </w:rPr>
              <w:t>专用烟道</w:t>
            </w:r>
            <w:r>
              <w:rPr>
                <w:rFonts w:hint="eastAsia"/>
                <w:color w:val="auto"/>
              </w:rPr>
              <w:t>排放。</w:t>
            </w:r>
          </w:p>
          <w:p w14:paraId="68AEE4D0">
            <w:pPr>
              <w:keepNext w:val="0"/>
              <w:keepLines w:val="0"/>
              <w:pageBreakBefore w:val="0"/>
              <w:widowControl w:val="0"/>
              <w:kinsoku/>
              <w:wordWrap w:val="0"/>
              <w:overflowPunct/>
              <w:topLinePunct w:val="0"/>
              <w:autoSpaceDE w:val="0"/>
              <w:autoSpaceDN w:val="0"/>
              <w:bidi w:val="0"/>
              <w:ind w:firstLine="0" w:firstLineChars="0"/>
              <w:textAlignment w:val="auto"/>
              <w:rPr>
                <w:b/>
                <w:bCs/>
                <w:color w:val="auto"/>
              </w:rPr>
            </w:pPr>
            <w:r>
              <w:rPr>
                <w:rFonts w:hint="eastAsia"/>
                <w:b/>
                <w:bCs/>
                <w:color w:val="auto"/>
              </w:rPr>
              <w:t>2</w:t>
            </w:r>
            <w:r>
              <w:rPr>
                <w:b/>
                <w:bCs/>
                <w:color w:val="auto"/>
              </w:rPr>
              <w:t>.废气排放口基本情况</w:t>
            </w:r>
          </w:p>
          <w:p w14:paraId="4E35CEE2">
            <w:pPr>
              <w:keepNext w:val="0"/>
              <w:keepLines w:val="0"/>
              <w:pageBreakBefore w:val="0"/>
              <w:widowControl w:val="0"/>
              <w:numPr>
                <w:ilvl w:val="0"/>
                <w:numId w:val="9"/>
              </w:numPr>
              <w:kinsoku/>
              <w:wordWrap w:val="0"/>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废气排放口基本情况一览表</w:t>
            </w:r>
          </w:p>
          <w:tbl>
            <w:tblPr>
              <w:tblStyle w:val="20"/>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autofit"/>
              <w:tblCellMar>
                <w:top w:w="0" w:type="dxa"/>
                <w:left w:w="108" w:type="dxa"/>
                <w:bottom w:w="0" w:type="dxa"/>
                <w:right w:w="108" w:type="dxa"/>
              </w:tblCellMar>
            </w:tblPr>
            <w:tblGrid>
              <w:gridCol w:w="549"/>
              <w:gridCol w:w="1112"/>
              <w:gridCol w:w="611"/>
              <w:gridCol w:w="810"/>
              <w:gridCol w:w="810"/>
              <w:gridCol w:w="813"/>
              <w:gridCol w:w="800"/>
              <w:gridCol w:w="846"/>
              <w:gridCol w:w="637"/>
              <w:gridCol w:w="1096"/>
            </w:tblGrid>
            <w:tr w14:paraId="0A7C2576">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341" w:type="pct"/>
                  <w:vMerge w:val="restart"/>
                  <w:noWrap w:val="0"/>
                  <w:vAlign w:val="center"/>
                </w:tcPr>
                <w:p w14:paraId="5B3C0B9E">
                  <w:pPr>
                    <w:spacing w:line="240" w:lineRule="auto"/>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排放口编号</w:t>
                  </w:r>
                </w:p>
              </w:tc>
              <w:tc>
                <w:tcPr>
                  <w:tcW w:w="689" w:type="pct"/>
                  <w:vMerge w:val="restart"/>
                  <w:shd w:val="clear" w:color="auto" w:fill="auto"/>
                  <w:noWrap w:val="0"/>
                  <w:vAlign w:val="center"/>
                </w:tcPr>
                <w:p w14:paraId="148C47EE">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color w:val="auto"/>
                      <w:sz w:val="21"/>
                      <w:szCs w:val="21"/>
                    </w:rPr>
                    <w:t>排放口名称</w:t>
                  </w:r>
                </w:p>
              </w:tc>
              <w:tc>
                <w:tcPr>
                  <w:tcW w:w="379" w:type="pct"/>
                  <w:vMerge w:val="restart"/>
                  <w:shd w:val="clear" w:color="auto" w:fill="auto"/>
                  <w:noWrap w:val="0"/>
                  <w:vAlign w:val="center"/>
                </w:tcPr>
                <w:p w14:paraId="636EB81B">
                  <w:pPr>
                    <w:spacing w:line="240" w:lineRule="auto"/>
                    <w:ind w:firstLine="0" w:firstLineChars="0"/>
                    <w:jc w:val="center"/>
                    <w:rPr>
                      <w:color w:val="auto"/>
                      <w:sz w:val="21"/>
                      <w:szCs w:val="21"/>
                    </w:rPr>
                  </w:pPr>
                  <w:r>
                    <w:rPr>
                      <w:color w:val="auto"/>
                      <w:sz w:val="21"/>
                      <w:szCs w:val="21"/>
                    </w:rPr>
                    <w:t>污染物种类</w:t>
                  </w:r>
                </w:p>
              </w:tc>
              <w:tc>
                <w:tcPr>
                  <w:tcW w:w="1004" w:type="pct"/>
                  <w:gridSpan w:val="2"/>
                  <w:shd w:val="clear" w:color="auto" w:fill="auto"/>
                  <w:noWrap w:val="0"/>
                  <w:vAlign w:val="center"/>
                </w:tcPr>
                <w:p w14:paraId="3E7199C2">
                  <w:pPr>
                    <w:spacing w:line="240" w:lineRule="auto"/>
                    <w:ind w:firstLine="0" w:firstLineChars="0"/>
                    <w:jc w:val="center"/>
                    <w:rPr>
                      <w:rFonts w:hint="default" w:ascii="Times New Roman" w:hAnsi="Times New Roman" w:eastAsia="宋体" w:cs="Times New Roman"/>
                      <w:b/>
                      <w:bCs/>
                      <w:color w:val="auto"/>
                      <w:kern w:val="2"/>
                      <w:sz w:val="21"/>
                      <w:szCs w:val="21"/>
                      <w:u w:val="single"/>
                      <w:lang w:val="en-US" w:eastAsia="zh-CN" w:bidi="ar-SA"/>
                    </w:rPr>
                  </w:pPr>
                  <w:r>
                    <w:rPr>
                      <w:rFonts w:hint="eastAsia" w:cs="Times New Roman"/>
                      <w:b/>
                      <w:bCs/>
                      <w:color w:val="auto"/>
                      <w:kern w:val="2"/>
                      <w:sz w:val="21"/>
                      <w:szCs w:val="21"/>
                      <w:u w:val="single"/>
                      <w:lang w:val="en-US" w:eastAsia="zh-CN" w:bidi="ar-SA"/>
                    </w:rPr>
                    <w:t>地理坐标</w:t>
                  </w:r>
                </w:p>
              </w:tc>
              <w:tc>
                <w:tcPr>
                  <w:tcW w:w="1906" w:type="pct"/>
                  <w:gridSpan w:val="4"/>
                  <w:noWrap w:val="0"/>
                  <w:vAlign w:val="center"/>
                </w:tcPr>
                <w:p w14:paraId="6745C7C7">
                  <w:pPr>
                    <w:spacing w:line="240" w:lineRule="auto"/>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排放口基本情况</w:t>
                  </w:r>
                </w:p>
              </w:tc>
              <w:tc>
                <w:tcPr>
                  <w:tcW w:w="679" w:type="pct"/>
                  <w:vMerge w:val="restart"/>
                  <w:noWrap w:val="0"/>
                  <w:vAlign w:val="center"/>
                </w:tcPr>
                <w:p w14:paraId="477A177E">
                  <w:pPr>
                    <w:spacing w:line="240" w:lineRule="auto"/>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排放标准</w:t>
                  </w:r>
                </w:p>
              </w:tc>
            </w:tr>
            <w:tr w14:paraId="4ED871D4">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341" w:type="pct"/>
                  <w:vMerge w:val="continue"/>
                  <w:noWrap w:val="0"/>
                  <w:vAlign w:val="center"/>
                </w:tcPr>
                <w:p w14:paraId="3DC1DB93">
                  <w:pPr>
                    <w:spacing w:line="240" w:lineRule="auto"/>
                    <w:ind w:firstLine="0" w:firstLineChars="0"/>
                    <w:jc w:val="center"/>
                    <w:rPr>
                      <w:rFonts w:hint="eastAsia" w:ascii="Times New Roman" w:hAnsi="Times New Roman" w:eastAsia="宋体" w:cs="Times New Roman"/>
                      <w:color w:val="auto"/>
                      <w:sz w:val="21"/>
                      <w:szCs w:val="21"/>
                    </w:rPr>
                  </w:pPr>
                </w:p>
              </w:tc>
              <w:tc>
                <w:tcPr>
                  <w:tcW w:w="689" w:type="pct"/>
                  <w:vMerge w:val="continue"/>
                  <w:noWrap w:val="0"/>
                  <w:vAlign w:val="center"/>
                </w:tcPr>
                <w:p w14:paraId="05333BF0">
                  <w:pPr>
                    <w:spacing w:line="240" w:lineRule="auto"/>
                    <w:ind w:firstLine="0" w:firstLineChars="0"/>
                    <w:jc w:val="center"/>
                    <w:rPr>
                      <w:rFonts w:hint="eastAsia" w:ascii="Times New Roman" w:hAnsi="Times New Roman" w:eastAsia="宋体" w:cs="Times New Roman"/>
                      <w:color w:val="auto"/>
                      <w:sz w:val="21"/>
                      <w:szCs w:val="21"/>
                    </w:rPr>
                  </w:pPr>
                </w:p>
              </w:tc>
              <w:tc>
                <w:tcPr>
                  <w:tcW w:w="379" w:type="pct"/>
                  <w:vMerge w:val="continue"/>
                  <w:noWrap w:val="0"/>
                  <w:vAlign w:val="center"/>
                </w:tcPr>
                <w:p w14:paraId="5FED8496">
                  <w:pPr>
                    <w:spacing w:line="240" w:lineRule="auto"/>
                    <w:ind w:firstLine="0" w:firstLineChars="0"/>
                    <w:jc w:val="center"/>
                    <w:rPr>
                      <w:rFonts w:hint="eastAsia" w:ascii="Times New Roman" w:hAnsi="Times New Roman" w:eastAsia="宋体" w:cs="Times New Roman"/>
                      <w:color w:val="auto"/>
                      <w:sz w:val="21"/>
                      <w:szCs w:val="21"/>
                    </w:rPr>
                  </w:pPr>
                </w:p>
              </w:tc>
              <w:tc>
                <w:tcPr>
                  <w:tcW w:w="502" w:type="pct"/>
                  <w:shd w:val="clear" w:color="auto" w:fill="auto"/>
                  <w:noWrap w:val="0"/>
                  <w:vAlign w:val="center"/>
                </w:tcPr>
                <w:p w14:paraId="4D5FDF4C">
                  <w:pPr>
                    <w:spacing w:line="240" w:lineRule="auto"/>
                    <w:ind w:firstLine="0" w:firstLineChars="0"/>
                    <w:jc w:val="center"/>
                    <w:rPr>
                      <w:rFonts w:hint="eastAsia" w:ascii="Times New Roman" w:hAnsi="Times New Roman" w:eastAsia="宋体" w:cs="Times New Roman"/>
                      <w:b/>
                      <w:bCs/>
                      <w:color w:val="auto"/>
                      <w:kern w:val="2"/>
                      <w:sz w:val="21"/>
                      <w:szCs w:val="21"/>
                      <w:u w:val="single"/>
                      <w:lang w:val="en-US" w:eastAsia="zh-CN" w:bidi="ar-SA"/>
                    </w:rPr>
                  </w:pPr>
                  <w:r>
                    <w:rPr>
                      <w:b/>
                      <w:bCs/>
                      <w:color w:val="auto"/>
                      <w:sz w:val="21"/>
                      <w:szCs w:val="21"/>
                      <w:u w:val="single"/>
                    </w:rPr>
                    <w:t>经度</w:t>
                  </w:r>
                </w:p>
              </w:tc>
              <w:tc>
                <w:tcPr>
                  <w:tcW w:w="502" w:type="pct"/>
                  <w:shd w:val="clear" w:color="auto" w:fill="auto"/>
                  <w:noWrap w:val="0"/>
                  <w:vAlign w:val="center"/>
                </w:tcPr>
                <w:p w14:paraId="58DE4A36">
                  <w:pPr>
                    <w:spacing w:line="240" w:lineRule="auto"/>
                    <w:ind w:firstLine="0" w:firstLineChars="0"/>
                    <w:jc w:val="center"/>
                    <w:rPr>
                      <w:rFonts w:hint="eastAsia" w:ascii="Times New Roman" w:hAnsi="Times New Roman" w:eastAsia="宋体" w:cs="Times New Roman"/>
                      <w:b/>
                      <w:bCs/>
                      <w:color w:val="auto"/>
                      <w:kern w:val="2"/>
                      <w:sz w:val="21"/>
                      <w:szCs w:val="21"/>
                      <w:u w:val="single"/>
                      <w:lang w:val="en-US" w:eastAsia="zh-CN" w:bidi="ar-SA"/>
                    </w:rPr>
                  </w:pPr>
                  <w:r>
                    <w:rPr>
                      <w:b/>
                      <w:bCs/>
                      <w:color w:val="auto"/>
                      <w:sz w:val="21"/>
                      <w:szCs w:val="21"/>
                      <w:u w:val="single"/>
                    </w:rPr>
                    <w:t>纬度</w:t>
                  </w:r>
                </w:p>
              </w:tc>
              <w:tc>
                <w:tcPr>
                  <w:tcW w:w="494" w:type="pct"/>
                  <w:noWrap w:val="0"/>
                  <w:vAlign w:val="center"/>
                </w:tcPr>
                <w:p w14:paraId="777C5B51">
                  <w:pPr>
                    <w:spacing w:line="240" w:lineRule="auto"/>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b/>
                      <w:bCs/>
                      <w:color w:val="auto"/>
                      <w:sz w:val="21"/>
                      <w:szCs w:val="21"/>
                      <w:u w:val="single"/>
                    </w:rPr>
                    <w:t>高度（m）</w:t>
                  </w:r>
                </w:p>
              </w:tc>
              <w:tc>
                <w:tcPr>
                  <w:tcW w:w="494" w:type="pct"/>
                  <w:noWrap w:val="0"/>
                  <w:vAlign w:val="center"/>
                </w:tcPr>
                <w:p w14:paraId="04B29F67">
                  <w:pPr>
                    <w:spacing w:line="240" w:lineRule="auto"/>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排气筒内径（m）</w:t>
                  </w:r>
                </w:p>
              </w:tc>
              <w:tc>
                <w:tcPr>
                  <w:tcW w:w="523" w:type="pct"/>
                  <w:noWrap w:val="0"/>
                  <w:vAlign w:val="center"/>
                </w:tcPr>
                <w:p w14:paraId="535CF4E6">
                  <w:pPr>
                    <w:spacing w:line="240" w:lineRule="auto"/>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温度（℃）</w:t>
                  </w:r>
                </w:p>
              </w:tc>
              <w:tc>
                <w:tcPr>
                  <w:tcW w:w="393" w:type="pct"/>
                  <w:noWrap w:val="0"/>
                  <w:vAlign w:val="center"/>
                </w:tcPr>
                <w:p w14:paraId="638C4934">
                  <w:pPr>
                    <w:spacing w:line="240" w:lineRule="auto"/>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类型</w:t>
                  </w:r>
                </w:p>
              </w:tc>
              <w:tc>
                <w:tcPr>
                  <w:tcW w:w="679" w:type="pct"/>
                  <w:vMerge w:val="continue"/>
                  <w:noWrap w:val="0"/>
                  <w:vAlign w:val="center"/>
                </w:tcPr>
                <w:p w14:paraId="010EB5BB">
                  <w:pPr>
                    <w:spacing w:line="240" w:lineRule="auto"/>
                    <w:ind w:firstLine="0" w:firstLineChars="0"/>
                    <w:jc w:val="center"/>
                    <w:rPr>
                      <w:rFonts w:hint="eastAsia" w:ascii="Times New Roman" w:hAnsi="Times New Roman" w:eastAsia="宋体" w:cs="Times New Roman"/>
                      <w:color w:val="auto"/>
                      <w:sz w:val="21"/>
                      <w:szCs w:val="21"/>
                    </w:rPr>
                  </w:pPr>
                </w:p>
              </w:tc>
            </w:tr>
            <w:tr w14:paraId="417F7711">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341" w:type="pct"/>
                  <w:noWrap w:val="0"/>
                  <w:vAlign w:val="center"/>
                </w:tcPr>
                <w:p w14:paraId="5AB274DC">
                  <w:pPr>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DA00</w:t>
                  </w:r>
                  <w:r>
                    <w:rPr>
                      <w:rFonts w:hint="eastAsia" w:ascii="Times New Roman" w:hAnsi="Times New Roman" w:eastAsia="宋体" w:cs="Times New Roman"/>
                      <w:color w:val="auto"/>
                      <w:sz w:val="21"/>
                      <w:szCs w:val="21"/>
                      <w:lang w:val="en-US" w:eastAsia="zh-CN"/>
                    </w:rPr>
                    <w:t>1</w:t>
                  </w:r>
                </w:p>
              </w:tc>
              <w:tc>
                <w:tcPr>
                  <w:tcW w:w="689" w:type="pct"/>
                  <w:noWrap w:val="0"/>
                  <w:vAlign w:val="center"/>
                </w:tcPr>
                <w:p w14:paraId="707DD432">
                  <w:pPr>
                    <w:spacing w:line="240" w:lineRule="auto"/>
                    <w:ind w:firstLine="0" w:firstLineChars="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中药材异味排气筒</w:t>
                  </w:r>
                </w:p>
              </w:tc>
              <w:tc>
                <w:tcPr>
                  <w:tcW w:w="379" w:type="pct"/>
                  <w:shd w:val="clear" w:color="auto" w:fill="auto"/>
                  <w:noWrap w:val="0"/>
                  <w:vAlign w:val="center"/>
                </w:tcPr>
                <w:p w14:paraId="6AE3D777">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臭气浓度</w:t>
                  </w:r>
                </w:p>
              </w:tc>
              <w:tc>
                <w:tcPr>
                  <w:tcW w:w="502" w:type="pct"/>
                  <w:shd w:val="clear" w:color="auto" w:fill="auto"/>
                  <w:noWrap w:val="0"/>
                  <w:vAlign w:val="center"/>
                </w:tcPr>
                <w:p w14:paraId="7924CD08">
                  <w:pPr>
                    <w:spacing w:line="240" w:lineRule="auto"/>
                    <w:ind w:firstLine="0" w:firstLineChars="0"/>
                    <w:jc w:val="center"/>
                    <w:rPr>
                      <w:rFonts w:hint="default" w:ascii="Times New Roman" w:hAnsi="Times New Roman" w:eastAsia="宋体" w:cs="Times New Roman"/>
                      <w:b/>
                      <w:bCs/>
                      <w:color w:val="auto"/>
                      <w:kern w:val="2"/>
                      <w:sz w:val="21"/>
                      <w:szCs w:val="21"/>
                      <w:u w:val="single"/>
                      <w:lang w:val="en-US" w:eastAsia="zh-CN" w:bidi="ar-SA"/>
                    </w:rPr>
                  </w:pPr>
                  <w:r>
                    <w:rPr>
                      <w:rFonts w:hint="default" w:ascii="Times New Roman" w:hAnsi="Times New Roman" w:eastAsia="宋体" w:cs="Times New Roman"/>
                      <w:b/>
                      <w:bCs/>
                      <w:color w:val="auto"/>
                      <w:kern w:val="2"/>
                      <w:sz w:val="21"/>
                      <w:szCs w:val="21"/>
                      <w:u w:val="single"/>
                      <w:lang w:val="en-US" w:eastAsia="zh-CN" w:bidi="ar-SA"/>
                    </w:rPr>
                    <w:t>115°14′0.36622″</w:t>
                  </w:r>
                </w:p>
              </w:tc>
              <w:tc>
                <w:tcPr>
                  <w:tcW w:w="502" w:type="pct"/>
                  <w:shd w:val="clear" w:color="auto" w:fill="auto"/>
                  <w:noWrap w:val="0"/>
                  <w:vAlign w:val="center"/>
                </w:tcPr>
                <w:p w14:paraId="613F3507">
                  <w:pPr>
                    <w:spacing w:line="240" w:lineRule="auto"/>
                    <w:ind w:firstLine="0" w:firstLineChars="0"/>
                    <w:jc w:val="center"/>
                    <w:rPr>
                      <w:rFonts w:hint="default" w:ascii="Times New Roman" w:hAnsi="Times New Roman" w:eastAsia="宋体" w:cs="Times New Roman"/>
                      <w:b/>
                      <w:bCs/>
                      <w:color w:val="auto"/>
                      <w:kern w:val="2"/>
                      <w:sz w:val="21"/>
                      <w:szCs w:val="21"/>
                      <w:u w:val="single"/>
                      <w:lang w:val="en-US" w:eastAsia="zh-CN" w:bidi="ar-SA"/>
                    </w:rPr>
                  </w:pPr>
                  <w:r>
                    <w:rPr>
                      <w:rFonts w:hint="default" w:ascii="Times New Roman" w:hAnsi="Times New Roman" w:eastAsia="宋体" w:cs="Times New Roman"/>
                      <w:b/>
                      <w:bCs/>
                      <w:color w:val="auto"/>
                      <w:kern w:val="2"/>
                      <w:sz w:val="21"/>
                      <w:szCs w:val="21"/>
                      <w:u w:val="single"/>
                      <w:lang w:val="en-US" w:eastAsia="zh-CN" w:bidi="ar-SA"/>
                    </w:rPr>
                    <w:t>36°5′17.73722″</w:t>
                  </w:r>
                </w:p>
              </w:tc>
              <w:tc>
                <w:tcPr>
                  <w:tcW w:w="494" w:type="pct"/>
                  <w:noWrap w:val="0"/>
                  <w:vAlign w:val="center"/>
                </w:tcPr>
                <w:p w14:paraId="398335B1">
                  <w:pPr>
                    <w:spacing w:line="240" w:lineRule="auto"/>
                    <w:ind w:firstLine="0" w:firstLineChars="0"/>
                    <w:jc w:val="center"/>
                    <w:rPr>
                      <w:rFonts w:hint="eastAsia" w:ascii="Times New Roman" w:hAnsi="Times New Roman" w:eastAsia="宋体" w:cs="Times New Roman"/>
                      <w:b/>
                      <w:bCs/>
                      <w:color w:val="auto"/>
                      <w:sz w:val="21"/>
                      <w:szCs w:val="21"/>
                      <w:u w:val="single"/>
                    </w:rPr>
                  </w:pPr>
                  <w:r>
                    <w:rPr>
                      <w:rFonts w:hint="eastAsia" w:ascii="Times New Roman" w:hAnsi="Times New Roman" w:eastAsia="宋体" w:cs="Times New Roman"/>
                      <w:b/>
                      <w:bCs/>
                      <w:color w:val="auto"/>
                      <w:sz w:val="21"/>
                      <w:szCs w:val="21"/>
                      <w:u w:val="single"/>
                    </w:rPr>
                    <w:t>15</w:t>
                  </w:r>
                </w:p>
              </w:tc>
              <w:tc>
                <w:tcPr>
                  <w:tcW w:w="494" w:type="pct"/>
                  <w:noWrap w:val="0"/>
                  <w:vAlign w:val="center"/>
                </w:tcPr>
                <w:p w14:paraId="7722DEB1">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w:t>
                  </w:r>
                </w:p>
              </w:tc>
              <w:tc>
                <w:tcPr>
                  <w:tcW w:w="523" w:type="pct"/>
                  <w:noWrap w:val="0"/>
                  <w:vAlign w:val="center"/>
                </w:tcPr>
                <w:p w14:paraId="611926C6">
                  <w:pPr>
                    <w:spacing w:line="240" w:lineRule="auto"/>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25</w:t>
                  </w:r>
                </w:p>
              </w:tc>
              <w:tc>
                <w:tcPr>
                  <w:tcW w:w="393" w:type="pct"/>
                  <w:noWrap w:val="0"/>
                  <w:vAlign w:val="center"/>
                </w:tcPr>
                <w:p w14:paraId="34639DA0">
                  <w:pPr>
                    <w:spacing w:line="240" w:lineRule="auto"/>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一般排放口</w:t>
                  </w:r>
                </w:p>
              </w:tc>
              <w:tc>
                <w:tcPr>
                  <w:tcW w:w="679" w:type="pct"/>
                  <w:noWrap w:val="0"/>
                  <w:vAlign w:val="center"/>
                </w:tcPr>
                <w:p w14:paraId="58AE0BEB">
                  <w:pPr>
                    <w:spacing w:line="240" w:lineRule="auto"/>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《恶臭污染物排放标准》（GB14554-93）表</w:t>
                  </w:r>
                  <w:r>
                    <w:rPr>
                      <w:rFonts w:hint="eastAsia" w:ascii="Times New Roman" w:hAnsi="Times New Roman" w:eastAsia="宋体" w:cs="Times New Roman"/>
                      <w:color w:val="auto"/>
                      <w:sz w:val="21"/>
                      <w:szCs w:val="21"/>
                      <w:lang w:val="en-US" w:eastAsia="zh-CN"/>
                    </w:rPr>
                    <w:t>2</w:t>
                  </w:r>
                  <w:r>
                    <w:rPr>
                      <w:rFonts w:hint="eastAsia" w:ascii="Times New Roman" w:hAnsi="Times New Roman" w:eastAsia="宋体" w:cs="Times New Roman"/>
                      <w:color w:val="auto"/>
                      <w:sz w:val="21"/>
                      <w:szCs w:val="21"/>
                    </w:rPr>
                    <w:t>标准</w:t>
                  </w:r>
                </w:p>
              </w:tc>
            </w:tr>
            <w:tr w14:paraId="6F3764E0">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341" w:type="pct"/>
                  <w:noWrap w:val="0"/>
                  <w:vAlign w:val="center"/>
                </w:tcPr>
                <w:p w14:paraId="1253DF7F">
                  <w:pPr>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DA00</w:t>
                  </w:r>
                  <w:r>
                    <w:rPr>
                      <w:rFonts w:hint="eastAsia" w:ascii="Times New Roman" w:hAnsi="Times New Roman" w:eastAsia="宋体" w:cs="Times New Roman"/>
                      <w:color w:val="auto"/>
                      <w:sz w:val="21"/>
                      <w:szCs w:val="21"/>
                      <w:lang w:val="en-US" w:eastAsia="zh-CN"/>
                    </w:rPr>
                    <w:t>2</w:t>
                  </w:r>
                </w:p>
              </w:tc>
              <w:tc>
                <w:tcPr>
                  <w:tcW w:w="689" w:type="pct"/>
                  <w:noWrap w:val="0"/>
                  <w:vAlign w:val="center"/>
                </w:tcPr>
                <w:p w14:paraId="0F519E28">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普通</w:t>
                  </w:r>
                  <w:r>
                    <w:rPr>
                      <w:rFonts w:hint="eastAsia" w:ascii="Times New Roman" w:hAnsi="Times New Roman" w:eastAsia="宋体" w:cs="Times New Roman"/>
                      <w:color w:val="auto"/>
                      <w:sz w:val="21"/>
                      <w:szCs w:val="21"/>
                    </w:rPr>
                    <w:t>中药饮片车间干燥、炒制、粉碎、筛分</w:t>
                  </w:r>
                  <w:r>
                    <w:rPr>
                      <w:rFonts w:hint="eastAsia" w:ascii="Times New Roman" w:hAnsi="Times New Roman" w:eastAsia="宋体" w:cs="Times New Roman"/>
                      <w:color w:val="auto"/>
                      <w:sz w:val="21"/>
                      <w:szCs w:val="21"/>
                      <w:lang w:val="en-US" w:eastAsia="zh-CN"/>
                    </w:rPr>
                    <w:t>工序排气筒</w:t>
                  </w:r>
                </w:p>
              </w:tc>
              <w:tc>
                <w:tcPr>
                  <w:tcW w:w="379" w:type="pct"/>
                  <w:shd w:val="clear" w:color="auto" w:fill="auto"/>
                  <w:noWrap w:val="0"/>
                  <w:vAlign w:val="center"/>
                </w:tcPr>
                <w:p w14:paraId="5B8A9C45">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颗粒物</w:t>
                  </w:r>
                </w:p>
              </w:tc>
              <w:tc>
                <w:tcPr>
                  <w:tcW w:w="502" w:type="pct"/>
                  <w:noWrap w:val="0"/>
                  <w:vAlign w:val="center"/>
                </w:tcPr>
                <w:p w14:paraId="68FBB90C">
                  <w:pPr>
                    <w:spacing w:line="240" w:lineRule="auto"/>
                    <w:ind w:firstLine="0" w:firstLineChars="0"/>
                    <w:jc w:val="center"/>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115°14′1.94980″</w:t>
                  </w:r>
                </w:p>
              </w:tc>
              <w:tc>
                <w:tcPr>
                  <w:tcW w:w="502" w:type="pct"/>
                  <w:noWrap w:val="0"/>
                  <w:vAlign w:val="center"/>
                </w:tcPr>
                <w:p w14:paraId="66087A20">
                  <w:pPr>
                    <w:spacing w:line="240" w:lineRule="auto"/>
                    <w:ind w:firstLine="0" w:firstLineChars="0"/>
                    <w:jc w:val="center"/>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36°5′17.58272″</w:t>
                  </w:r>
                </w:p>
              </w:tc>
              <w:tc>
                <w:tcPr>
                  <w:tcW w:w="494" w:type="pct"/>
                  <w:shd w:val="clear" w:color="auto" w:fill="auto"/>
                  <w:noWrap w:val="0"/>
                  <w:vAlign w:val="center"/>
                </w:tcPr>
                <w:p w14:paraId="76A9FF2C">
                  <w:pPr>
                    <w:spacing w:line="240" w:lineRule="auto"/>
                    <w:ind w:firstLine="0" w:firstLineChars="0"/>
                    <w:jc w:val="center"/>
                    <w:rPr>
                      <w:rFonts w:hint="eastAsia" w:ascii="Times New Roman" w:hAnsi="Times New Roman" w:eastAsia="宋体" w:cs="Times New Roman"/>
                      <w:b/>
                      <w:bCs/>
                      <w:color w:val="auto"/>
                      <w:kern w:val="2"/>
                      <w:sz w:val="21"/>
                      <w:szCs w:val="21"/>
                      <w:u w:val="single"/>
                      <w:lang w:val="en-US" w:eastAsia="zh-CN" w:bidi="ar-SA"/>
                    </w:rPr>
                  </w:pPr>
                  <w:r>
                    <w:rPr>
                      <w:rFonts w:hint="eastAsia" w:ascii="Times New Roman" w:hAnsi="Times New Roman" w:eastAsia="宋体" w:cs="Times New Roman"/>
                      <w:b/>
                      <w:bCs/>
                      <w:color w:val="auto"/>
                      <w:sz w:val="21"/>
                      <w:szCs w:val="21"/>
                      <w:u w:val="single"/>
                    </w:rPr>
                    <w:t>15</w:t>
                  </w:r>
                </w:p>
              </w:tc>
              <w:tc>
                <w:tcPr>
                  <w:tcW w:w="494" w:type="pct"/>
                  <w:shd w:val="clear" w:color="auto" w:fill="auto"/>
                  <w:noWrap w:val="0"/>
                  <w:vAlign w:val="center"/>
                </w:tcPr>
                <w:p w14:paraId="3576B669">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0.6</w:t>
                  </w:r>
                </w:p>
              </w:tc>
              <w:tc>
                <w:tcPr>
                  <w:tcW w:w="523" w:type="pct"/>
                  <w:shd w:val="clear" w:color="auto" w:fill="auto"/>
                  <w:noWrap w:val="0"/>
                  <w:vAlign w:val="center"/>
                </w:tcPr>
                <w:p w14:paraId="28249280">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25</w:t>
                  </w:r>
                </w:p>
              </w:tc>
              <w:tc>
                <w:tcPr>
                  <w:tcW w:w="393" w:type="pct"/>
                  <w:shd w:val="clear" w:color="auto" w:fill="auto"/>
                  <w:noWrap w:val="0"/>
                  <w:vAlign w:val="center"/>
                </w:tcPr>
                <w:p w14:paraId="204822B1">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一般排放口</w:t>
                  </w:r>
                </w:p>
              </w:tc>
              <w:tc>
                <w:tcPr>
                  <w:tcW w:w="679" w:type="pct"/>
                  <w:vMerge w:val="restart"/>
                  <w:noWrap w:val="0"/>
                  <w:vAlign w:val="center"/>
                </w:tcPr>
                <w:p w14:paraId="556F114B">
                  <w:pPr>
                    <w:spacing w:line="240" w:lineRule="auto"/>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《制药工业大气污染物排放标准》（GB37823-2019）表2</w:t>
                  </w:r>
                </w:p>
              </w:tc>
            </w:tr>
            <w:tr w14:paraId="37DE4F5C">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341" w:type="pct"/>
                  <w:noWrap w:val="0"/>
                  <w:vAlign w:val="center"/>
                </w:tcPr>
                <w:p w14:paraId="6B0D0DCC">
                  <w:pPr>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DA00</w:t>
                  </w:r>
                  <w:r>
                    <w:rPr>
                      <w:rFonts w:hint="eastAsia" w:ascii="Times New Roman" w:hAnsi="Times New Roman" w:eastAsia="宋体" w:cs="Times New Roman"/>
                      <w:color w:val="auto"/>
                      <w:sz w:val="21"/>
                      <w:szCs w:val="21"/>
                      <w:lang w:val="en-US" w:eastAsia="zh-CN"/>
                    </w:rPr>
                    <w:t>3</w:t>
                  </w:r>
                </w:p>
              </w:tc>
              <w:tc>
                <w:tcPr>
                  <w:tcW w:w="689" w:type="pct"/>
                  <w:noWrap w:val="0"/>
                  <w:vAlign w:val="center"/>
                </w:tcPr>
                <w:p w14:paraId="36CC89A6">
                  <w:pPr>
                    <w:spacing w:line="240" w:lineRule="auto"/>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毒性</w:t>
                  </w:r>
                  <w:r>
                    <w:rPr>
                      <w:rFonts w:hint="eastAsia" w:ascii="Times New Roman" w:hAnsi="Times New Roman" w:eastAsia="宋体" w:cs="Times New Roman"/>
                      <w:color w:val="auto"/>
                      <w:sz w:val="21"/>
                      <w:szCs w:val="21"/>
                    </w:rPr>
                    <w:t>中药饮片车间干燥、</w:t>
                  </w:r>
                  <w:r>
                    <w:rPr>
                      <w:rFonts w:hint="eastAsia" w:ascii="Times New Roman" w:hAnsi="Times New Roman" w:eastAsia="宋体" w:cs="Times New Roman"/>
                      <w:color w:val="auto"/>
                      <w:sz w:val="21"/>
                      <w:szCs w:val="21"/>
                      <w:lang w:val="en-US" w:eastAsia="zh-CN"/>
                    </w:rPr>
                    <w:t>切制工序排气筒</w:t>
                  </w:r>
                </w:p>
              </w:tc>
              <w:tc>
                <w:tcPr>
                  <w:tcW w:w="379" w:type="pct"/>
                  <w:shd w:val="clear" w:color="auto" w:fill="auto"/>
                  <w:noWrap w:val="0"/>
                  <w:vAlign w:val="center"/>
                </w:tcPr>
                <w:p w14:paraId="14BAEFC4">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颗粒物</w:t>
                  </w:r>
                </w:p>
              </w:tc>
              <w:tc>
                <w:tcPr>
                  <w:tcW w:w="502" w:type="pct"/>
                  <w:noWrap w:val="0"/>
                  <w:vAlign w:val="center"/>
                </w:tcPr>
                <w:p w14:paraId="64466B4D">
                  <w:pPr>
                    <w:spacing w:line="240" w:lineRule="auto"/>
                    <w:ind w:firstLine="0" w:firstLineChars="0"/>
                    <w:jc w:val="center"/>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115°14′4.01617″</w:t>
                  </w:r>
                </w:p>
              </w:tc>
              <w:tc>
                <w:tcPr>
                  <w:tcW w:w="502" w:type="pct"/>
                  <w:noWrap w:val="0"/>
                  <w:vAlign w:val="center"/>
                </w:tcPr>
                <w:p w14:paraId="3FC1B7DB">
                  <w:pPr>
                    <w:spacing w:line="240" w:lineRule="auto"/>
                    <w:ind w:firstLine="0" w:firstLineChars="0"/>
                    <w:jc w:val="center"/>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36°5′17.27373″</w:t>
                  </w:r>
                </w:p>
              </w:tc>
              <w:tc>
                <w:tcPr>
                  <w:tcW w:w="494" w:type="pct"/>
                  <w:shd w:val="clear" w:color="auto" w:fill="auto"/>
                  <w:noWrap w:val="0"/>
                  <w:vAlign w:val="center"/>
                </w:tcPr>
                <w:p w14:paraId="222B409B">
                  <w:pPr>
                    <w:spacing w:line="240" w:lineRule="auto"/>
                    <w:ind w:firstLine="0" w:firstLineChars="0"/>
                    <w:jc w:val="center"/>
                    <w:rPr>
                      <w:rFonts w:hint="eastAsia" w:ascii="Times New Roman" w:hAnsi="Times New Roman" w:eastAsia="宋体" w:cs="Times New Roman"/>
                      <w:b/>
                      <w:bCs/>
                      <w:color w:val="auto"/>
                      <w:kern w:val="2"/>
                      <w:sz w:val="21"/>
                      <w:szCs w:val="21"/>
                      <w:u w:val="single"/>
                      <w:lang w:val="en-US" w:eastAsia="zh-CN" w:bidi="ar-SA"/>
                    </w:rPr>
                  </w:pPr>
                  <w:r>
                    <w:rPr>
                      <w:rFonts w:hint="eastAsia" w:ascii="Times New Roman" w:hAnsi="Times New Roman" w:eastAsia="宋体" w:cs="Times New Roman"/>
                      <w:b/>
                      <w:bCs/>
                      <w:color w:val="auto"/>
                      <w:sz w:val="21"/>
                      <w:szCs w:val="21"/>
                      <w:u w:val="single"/>
                    </w:rPr>
                    <w:t>15</w:t>
                  </w:r>
                </w:p>
              </w:tc>
              <w:tc>
                <w:tcPr>
                  <w:tcW w:w="494" w:type="pct"/>
                  <w:shd w:val="clear" w:color="auto" w:fill="auto"/>
                  <w:noWrap w:val="0"/>
                  <w:vAlign w:val="center"/>
                </w:tcPr>
                <w:p w14:paraId="1277002F">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0.6</w:t>
                  </w:r>
                </w:p>
              </w:tc>
              <w:tc>
                <w:tcPr>
                  <w:tcW w:w="523" w:type="pct"/>
                  <w:shd w:val="clear" w:color="auto" w:fill="auto"/>
                  <w:noWrap w:val="0"/>
                  <w:vAlign w:val="center"/>
                </w:tcPr>
                <w:p w14:paraId="2F809B9F">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25</w:t>
                  </w:r>
                </w:p>
              </w:tc>
              <w:tc>
                <w:tcPr>
                  <w:tcW w:w="393" w:type="pct"/>
                  <w:shd w:val="clear" w:color="auto" w:fill="auto"/>
                  <w:noWrap w:val="0"/>
                  <w:vAlign w:val="center"/>
                </w:tcPr>
                <w:p w14:paraId="0EEED2A5">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一般排放口</w:t>
                  </w:r>
                </w:p>
              </w:tc>
              <w:tc>
                <w:tcPr>
                  <w:tcW w:w="679" w:type="pct"/>
                  <w:vMerge w:val="continue"/>
                  <w:noWrap w:val="0"/>
                  <w:vAlign w:val="center"/>
                </w:tcPr>
                <w:p w14:paraId="49F63932">
                  <w:pPr>
                    <w:spacing w:line="240" w:lineRule="auto"/>
                    <w:ind w:firstLine="0" w:firstLineChars="0"/>
                    <w:jc w:val="center"/>
                    <w:rPr>
                      <w:rFonts w:hint="eastAsia" w:ascii="Times New Roman" w:hAnsi="Times New Roman" w:eastAsia="宋体" w:cs="Times New Roman"/>
                      <w:color w:val="auto"/>
                      <w:sz w:val="21"/>
                      <w:szCs w:val="21"/>
                    </w:rPr>
                  </w:pPr>
                </w:p>
              </w:tc>
            </w:tr>
            <w:tr w14:paraId="4F504F99">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341" w:type="pct"/>
                  <w:noWrap w:val="0"/>
                  <w:vAlign w:val="center"/>
                </w:tcPr>
                <w:p w14:paraId="0AD75B95">
                  <w:pPr>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DA00</w:t>
                  </w:r>
                  <w:r>
                    <w:rPr>
                      <w:rFonts w:hint="eastAsia" w:ascii="Times New Roman" w:hAnsi="Times New Roman" w:eastAsia="宋体" w:cs="Times New Roman"/>
                      <w:color w:val="auto"/>
                      <w:sz w:val="21"/>
                      <w:szCs w:val="21"/>
                      <w:lang w:val="en-US" w:eastAsia="zh-CN"/>
                    </w:rPr>
                    <w:t>4</w:t>
                  </w:r>
                </w:p>
              </w:tc>
              <w:tc>
                <w:tcPr>
                  <w:tcW w:w="689" w:type="pct"/>
                  <w:noWrap w:val="0"/>
                  <w:vAlign w:val="center"/>
                </w:tcPr>
                <w:p w14:paraId="5153ABF9">
                  <w:pPr>
                    <w:spacing w:line="240" w:lineRule="auto"/>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口服饮片车间、颗粒剂车间及制丸车间排气筒</w:t>
                  </w:r>
                </w:p>
              </w:tc>
              <w:tc>
                <w:tcPr>
                  <w:tcW w:w="379" w:type="pct"/>
                  <w:shd w:val="clear" w:color="auto" w:fill="auto"/>
                  <w:noWrap w:val="0"/>
                  <w:vAlign w:val="center"/>
                </w:tcPr>
                <w:p w14:paraId="581FD02D">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颗粒物</w:t>
                  </w:r>
                </w:p>
              </w:tc>
              <w:tc>
                <w:tcPr>
                  <w:tcW w:w="502" w:type="pct"/>
                  <w:noWrap w:val="0"/>
                  <w:vAlign w:val="center"/>
                </w:tcPr>
                <w:p w14:paraId="4A0EA009">
                  <w:pPr>
                    <w:spacing w:line="240" w:lineRule="auto"/>
                    <w:ind w:firstLine="0" w:firstLineChars="0"/>
                    <w:jc w:val="center"/>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115°14′3.59131″</w:t>
                  </w:r>
                </w:p>
              </w:tc>
              <w:tc>
                <w:tcPr>
                  <w:tcW w:w="502" w:type="pct"/>
                  <w:noWrap w:val="0"/>
                  <w:vAlign w:val="center"/>
                </w:tcPr>
                <w:p w14:paraId="66FBB1B3">
                  <w:pPr>
                    <w:spacing w:line="240" w:lineRule="auto"/>
                    <w:ind w:firstLine="0" w:firstLineChars="0"/>
                    <w:jc w:val="center"/>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36°5′16.03777″</w:t>
                  </w:r>
                </w:p>
              </w:tc>
              <w:tc>
                <w:tcPr>
                  <w:tcW w:w="494" w:type="pct"/>
                  <w:shd w:val="clear" w:color="auto" w:fill="auto"/>
                  <w:noWrap w:val="0"/>
                  <w:vAlign w:val="center"/>
                </w:tcPr>
                <w:p w14:paraId="00557A31">
                  <w:pPr>
                    <w:spacing w:line="240" w:lineRule="auto"/>
                    <w:ind w:firstLine="0" w:firstLineChars="0"/>
                    <w:jc w:val="center"/>
                    <w:rPr>
                      <w:rFonts w:hint="eastAsia" w:ascii="Times New Roman" w:hAnsi="Times New Roman" w:eastAsia="宋体" w:cs="Times New Roman"/>
                      <w:b/>
                      <w:bCs/>
                      <w:color w:val="auto"/>
                      <w:kern w:val="2"/>
                      <w:sz w:val="21"/>
                      <w:szCs w:val="21"/>
                      <w:u w:val="single"/>
                      <w:lang w:val="en-US" w:eastAsia="zh-CN" w:bidi="ar-SA"/>
                    </w:rPr>
                  </w:pPr>
                  <w:r>
                    <w:rPr>
                      <w:rFonts w:hint="eastAsia" w:ascii="Times New Roman" w:hAnsi="Times New Roman" w:eastAsia="宋体" w:cs="Times New Roman"/>
                      <w:b/>
                      <w:bCs/>
                      <w:color w:val="auto"/>
                      <w:sz w:val="21"/>
                      <w:szCs w:val="21"/>
                      <w:u w:val="single"/>
                    </w:rPr>
                    <w:t>15</w:t>
                  </w:r>
                </w:p>
              </w:tc>
              <w:tc>
                <w:tcPr>
                  <w:tcW w:w="494" w:type="pct"/>
                  <w:shd w:val="clear" w:color="auto" w:fill="auto"/>
                  <w:noWrap w:val="0"/>
                  <w:vAlign w:val="center"/>
                </w:tcPr>
                <w:p w14:paraId="50925737">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0.6</w:t>
                  </w:r>
                </w:p>
              </w:tc>
              <w:tc>
                <w:tcPr>
                  <w:tcW w:w="523" w:type="pct"/>
                  <w:shd w:val="clear" w:color="auto" w:fill="auto"/>
                  <w:noWrap w:val="0"/>
                  <w:vAlign w:val="center"/>
                </w:tcPr>
                <w:p w14:paraId="38D84452">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25</w:t>
                  </w:r>
                </w:p>
              </w:tc>
              <w:tc>
                <w:tcPr>
                  <w:tcW w:w="393" w:type="pct"/>
                  <w:shd w:val="clear" w:color="auto" w:fill="auto"/>
                  <w:noWrap w:val="0"/>
                  <w:vAlign w:val="center"/>
                </w:tcPr>
                <w:p w14:paraId="004B42BF">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一般排放口</w:t>
                  </w:r>
                </w:p>
              </w:tc>
              <w:tc>
                <w:tcPr>
                  <w:tcW w:w="679" w:type="pct"/>
                  <w:vMerge w:val="continue"/>
                  <w:noWrap w:val="0"/>
                  <w:vAlign w:val="center"/>
                </w:tcPr>
                <w:p w14:paraId="4C8A442B">
                  <w:pPr>
                    <w:spacing w:line="240" w:lineRule="auto"/>
                    <w:ind w:firstLine="0" w:firstLineChars="0"/>
                    <w:jc w:val="center"/>
                    <w:rPr>
                      <w:rFonts w:hint="eastAsia" w:ascii="Times New Roman" w:hAnsi="Times New Roman" w:eastAsia="宋体" w:cs="Times New Roman"/>
                      <w:color w:val="auto"/>
                      <w:sz w:val="21"/>
                      <w:szCs w:val="21"/>
                    </w:rPr>
                  </w:pPr>
                </w:p>
              </w:tc>
            </w:tr>
            <w:tr w14:paraId="3994084A">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341" w:type="pct"/>
                  <w:noWrap w:val="0"/>
                  <w:vAlign w:val="center"/>
                </w:tcPr>
                <w:p w14:paraId="0335F5DF">
                  <w:pPr>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DA00</w:t>
                  </w:r>
                  <w:r>
                    <w:rPr>
                      <w:rFonts w:hint="eastAsia" w:ascii="Times New Roman" w:hAnsi="Times New Roman" w:eastAsia="宋体" w:cs="Times New Roman"/>
                      <w:color w:val="auto"/>
                      <w:sz w:val="21"/>
                      <w:szCs w:val="21"/>
                      <w:lang w:val="en-US" w:eastAsia="zh-CN"/>
                    </w:rPr>
                    <w:t>5</w:t>
                  </w:r>
                </w:p>
              </w:tc>
              <w:tc>
                <w:tcPr>
                  <w:tcW w:w="689" w:type="pct"/>
                  <w:noWrap w:val="0"/>
                  <w:vAlign w:val="center"/>
                </w:tcPr>
                <w:p w14:paraId="3540FA31">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污水处理站</w:t>
                  </w:r>
                  <w:r>
                    <w:rPr>
                      <w:rFonts w:hint="eastAsia" w:ascii="Times New Roman" w:hAnsi="Times New Roman" w:eastAsia="宋体" w:cs="Times New Roman"/>
                      <w:color w:val="auto"/>
                      <w:sz w:val="21"/>
                      <w:szCs w:val="21"/>
                      <w:lang w:val="en-US" w:eastAsia="zh-CN"/>
                    </w:rPr>
                    <w:t>除臭装置排气筒</w:t>
                  </w:r>
                </w:p>
              </w:tc>
              <w:tc>
                <w:tcPr>
                  <w:tcW w:w="379" w:type="pct"/>
                  <w:shd w:val="clear" w:color="auto" w:fill="auto"/>
                  <w:noWrap w:val="0"/>
                  <w:vAlign w:val="center"/>
                </w:tcPr>
                <w:p w14:paraId="01DFF53A">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NH</w:t>
                  </w:r>
                  <w:r>
                    <w:rPr>
                      <w:rFonts w:hint="eastAsia" w:ascii="Times New Roman" w:hAnsi="Times New Roman" w:eastAsia="宋体" w:cs="Times New Roman"/>
                      <w:color w:val="auto"/>
                      <w:sz w:val="21"/>
                      <w:szCs w:val="21"/>
                      <w:vertAlign w:val="subscript"/>
                      <w:lang w:val="en-US" w:eastAsia="zh-CN"/>
                    </w:rPr>
                    <w:t>3</w:t>
                  </w:r>
                  <w:r>
                    <w:rPr>
                      <w:rFonts w:hint="eastAsia" w:ascii="Times New Roman" w:hAnsi="Times New Roman" w:eastAsia="宋体" w:cs="Times New Roman"/>
                      <w:color w:val="auto"/>
                      <w:sz w:val="21"/>
                      <w:szCs w:val="21"/>
                      <w:lang w:val="en-US" w:eastAsia="zh-CN"/>
                    </w:rPr>
                    <w:t>、H</w:t>
                  </w:r>
                  <w:r>
                    <w:rPr>
                      <w:rFonts w:hint="eastAsia" w:ascii="Times New Roman" w:hAnsi="Times New Roman" w:eastAsia="宋体" w:cs="Times New Roman"/>
                      <w:color w:val="auto"/>
                      <w:sz w:val="21"/>
                      <w:szCs w:val="21"/>
                      <w:vertAlign w:val="subscript"/>
                      <w:lang w:val="en-US" w:eastAsia="zh-CN"/>
                    </w:rPr>
                    <w:t>2</w:t>
                  </w:r>
                  <w:r>
                    <w:rPr>
                      <w:rFonts w:hint="eastAsia" w:ascii="Times New Roman" w:hAnsi="Times New Roman" w:eastAsia="宋体" w:cs="Times New Roman"/>
                      <w:color w:val="auto"/>
                      <w:sz w:val="21"/>
                      <w:szCs w:val="21"/>
                      <w:lang w:val="en-US" w:eastAsia="zh-CN"/>
                    </w:rPr>
                    <w:t>S</w:t>
                  </w:r>
                </w:p>
              </w:tc>
              <w:tc>
                <w:tcPr>
                  <w:tcW w:w="502" w:type="pct"/>
                  <w:noWrap w:val="0"/>
                  <w:vAlign w:val="center"/>
                </w:tcPr>
                <w:p w14:paraId="6397CC10">
                  <w:pPr>
                    <w:spacing w:line="240" w:lineRule="auto"/>
                    <w:ind w:firstLine="0" w:firstLineChars="0"/>
                    <w:jc w:val="center"/>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115°14′3.41750″</w:t>
                  </w:r>
                </w:p>
              </w:tc>
              <w:tc>
                <w:tcPr>
                  <w:tcW w:w="502" w:type="pct"/>
                  <w:noWrap w:val="0"/>
                  <w:vAlign w:val="center"/>
                </w:tcPr>
                <w:p w14:paraId="75E3949A">
                  <w:pPr>
                    <w:spacing w:line="240" w:lineRule="auto"/>
                    <w:ind w:firstLine="0" w:firstLineChars="0"/>
                    <w:jc w:val="center"/>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36°5′15.22667″</w:t>
                  </w:r>
                </w:p>
              </w:tc>
              <w:tc>
                <w:tcPr>
                  <w:tcW w:w="494" w:type="pct"/>
                  <w:shd w:val="clear" w:color="auto" w:fill="auto"/>
                  <w:noWrap w:val="0"/>
                  <w:vAlign w:val="center"/>
                </w:tcPr>
                <w:p w14:paraId="67967FFC">
                  <w:pPr>
                    <w:spacing w:line="240" w:lineRule="auto"/>
                    <w:ind w:firstLine="0" w:firstLineChars="0"/>
                    <w:jc w:val="center"/>
                    <w:rPr>
                      <w:rFonts w:hint="eastAsia" w:ascii="Times New Roman" w:hAnsi="Times New Roman" w:eastAsia="宋体" w:cs="Times New Roman"/>
                      <w:b/>
                      <w:bCs/>
                      <w:color w:val="auto"/>
                      <w:kern w:val="2"/>
                      <w:sz w:val="21"/>
                      <w:szCs w:val="21"/>
                      <w:u w:val="single"/>
                      <w:lang w:val="en-US" w:eastAsia="zh-CN" w:bidi="ar-SA"/>
                    </w:rPr>
                  </w:pPr>
                  <w:r>
                    <w:rPr>
                      <w:rFonts w:hint="eastAsia" w:ascii="Times New Roman" w:hAnsi="Times New Roman" w:eastAsia="宋体" w:cs="Times New Roman"/>
                      <w:b/>
                      <w:bCs/>
                      <w:color w:val="auto"/>
                      <w:sz w:val="21"/>
                      <w:szCs w:val="21"/>
                      <w:u w:val="single"/>
                    </w:rPr>
                    <w:t>15</w:t>
                  </w:r>
                </w:p>
              </w:tc>
              <w:tc>
                <w:tcPr>
                  <w:tcW w:w="494" w:type="pct"/>
                  <w:shd w:val="clear" w:color="auto" w:fill="auto"/>
                  <w:noWrap w:val="0"/>
                  <w:vAlign w:val="center"/>
                </w:tcPr>
                <w:p w14:paraId="23D53120">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0.6</w:t>
                  </w:r>
                </w:p>
              </w:tc>
              <w:tc>
                <w:tcPr>
                  <w:tcW w:w="523" w:type="pct"/>
                  <w:shd w:val="clear" w:color="auto" w:fill="auto"/>
                  <w:noWrap w:val="0"/>
                  <w:vAlign w:val="center"/>
                </w:tcPr>
                <w:p w14:paraId="04151BB0">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25</w:t>
                  </w:r>
                </w:p>
              </w:tc>
              <w:tc>
                <w:tcPr>
                  <w:tcW w:w="393" w:type="pct"/>
                  <w:shd w:val="clear" w:color="auto" w:fill="auto"/>
                  <w:noWrap w:val="0"/>
                  <w:vAlign w:val="center"/>
                </w:tcPr>
                <w:p w14:paraId="272F360E">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一般排放口</w:t>
                  </w:r>
                </w:p>
              </w:tc>
              <w:tc>
                <w:tcPr>
                  <w:tcW w:w="679" w:type="pct"/>
                  <w:noWrap w:val="0"/>
                  <w:vAlign w:val="center"/>
                </w:tcPr>
                <w:p w14:paraId="5372B974">
                  <w:pPr>
                    <w:spacing w:line="240" w:lineRule="auto"/>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《制药工业大气污染物排放标准》（GB37823-2019）表2</w:t>
                  </w:r>
                </w:p>
              </w:tc>
            </w:tr>
            <w:tr w14:paraId="27E0519C">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341" w:type="pct"/>
                  <w:noWrap w:val="0"/>
                  <w:vAlign w:val="center"/>
                </w:tcPr>
                <w:p w14:paraId="41F0BC00">
                  <w:pPr>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DA00</w:t>
                  </w:r>
                  <w:r>
                    <w:rPr>
                      <w:rFonts w:hint="eastAsia" w:ascii="Times New Roman" w:hAnsi="Times New Roman" w:eastAsia="宋体" w:cs="Times New Roman"/>
                      <w:color w:val="auto"/>
                      <w:sz w:val="21"/>
                      <w:szCs w:val="21"/>
                      <w:lang w:val="en-US" w:eastAsia="zh-CN"/>
                    </w:rPr>
                    <w:t>6</w:t>
                  </w:r>
                </w:p>
              </w:tc>
              <w:tc>
                <w:tcPr>
                  <w:tcW w:w="689" w:type="pct"/>
                  <w:noWrap w:val="0"/>
                  <w:vAlign w:val="center"/>
                </w:tcPr>
                <w:p w14:paraId="4AA2B08A">
                  <w:pPr>
                    <w:spacing w:line="240" w:lineRule="auto"/>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实验废气</w:t>
                  </w:r>
                </w:p>
              </w:tc>
              <w:tc>
                <w:tcPr>
                  <w:tcW w:w="379" w:type="pct"/>
                  <w:shd w:val="clear" w:color="auto" w:fill="auto"/>
                  <w:noWrap w:val="0"/>
                  <w:vAlign w:val="center"/>
                </w:tcPr>
                <w:p w14:paraId="056A0313">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VOCs</w:t>
                  </w:r>
                </w:p>
              </w:tc>
              <w:tc>
                <w:tcPr>
                  <w:tcW w:w="502" w:type="pct"/>
                  <w:noWrap w:val="0"/>
                  <w:vAlign w:val="center"/>
                </w:tcPr>
                <w:p w14:paraId="51F553BA">
                  <w:pPr>
                    <w:spacing w:line="240" w:lineRule="auto"/>
                    <w:ind w:firstLine="0" w:firstLineChars="0"/>
                    <w:jc w:val="center"/>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115°14′0.86833″</w:t>
                  </w:r>
                </w:p>
              </w:tc>
              <w:tc>
                <w:tcPr>
                  <w:tcW w:w="502" w:type="pct"/>
                  <w:noWrap w:val="0"/>
                  <w:vAlign w:val="center"/>
                </w:tcPr>
                <w:p w14:paraId="62F29863">
                  <w:pPr>
                    <w:spacing w:line="240" w:lineRule="auto"/>
                    <w:ind w:firstLine="0" w:firstLineChars="0"/>
                    <w:jc w:val="center"/>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36°5′16.38539″</w:t>
                  </w:r>
                </w:p>
              </w:tc>
              <w:tc>
                <w:tcPr>
                  <w:tcW w:w="494" w:type="pct"/>
                  <w:shd w:val="clear" w:color="auto" w:fill="auto"/>
                  <w:noWrap w:val="0"/>
                  <w:vAlign w:val="center"/>
                </w:tcPr>
                <w:p w14:paraId="763F8C00">
                  <w:pPr>
                    <w:spacing w:line="240" w:lineRule="auto"/>
                    <w:ind w:firstLine="0" w:firstLineChars="0"/>
                    <w:jc w:val="center"/>
                    <w:rPr>
                      <w:rFonts w:hint="eastAsia" w:ascii="Times New Roman" w:hAnsi="Times New Roman" w:eastAsia="宋体" w:cs="Times New Roman"/>
                      <w:b/>
                      <w:bCs/>
                      <w:color w:val="auto"/>
                      <w:kern w:val="2"/>
                      <w:sz w:val="21"/>
                      <w:szCs w:val="21"/>
                      <w:u w:val="single"/>
                      <w:lang w:val="en-US" w:eastAsia="zh-CN" w:bidi="ar-SA"/>
                    </w:rPr>
                  </w:pPr>
                  <w:r>
                    <w:rPr>
                      <w:rFonts w:hint="eastAsia" w:ascii="Times New Roman" w:hAnsi="Times New Roman" w:eastAsia="宋体" w:cs="Times New Roman"/>
                      <w:b/>
                      <w:bCs/>
                      <w:color w:val="auto"/>
                      <w:sz w:val="21"/>
                      <w:szCs w:val="21"/>
                      <w:u w:val="single"/>
                    </w:rPr>
                    <w:t>15</w:t>
                  </w:r>
                </w:p>
              </w:tc>
              <w:tc>
                <w:tcPr>
                  <w:tcW w:w="494" w:type="pct"/>
                  <w:shd w:val="clear" w:color="auto" w:fill="auto"/>
                  <w:noWrap w:val="0"/>
                  <w:vAlign w:val="center"/>
                </w:tcPr>
                <w:p w14:paraId="42999046">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0.6</w:t>
                  </w:r>
                </w:p>
              </w:tc>
              <w:tc>
                <w:tcPr>
                  <w:tcW w:w="523" w:type="pct"/>
                  <w:shd w:val="clear" w:color="auto" w:fill="auto"/>
                  <w:noWrap w:val="0"/>
                  <w:vAlign w:val="center"/>
                </w:tcPr>
                <w:p w14:paraId="74ABBFBA">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25</w:t>
                  </w:r>
                </w:p>
              </w:tc>
              <w:tc>
                <w:tcPr>
                  <w:tcW w:w="393" w:type="pct"/>
                  <w:shd w:val="clear" w:color="auto" w:fill="auto"/>
                  <w:noWrap w:val="0"/>
                  <w:vAlign w:val="center"/>
                </w:tcPr>
                <w:p w14:paraId="4DE3611A">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一般排放口</w:t>
                  </w:r>
                </w:p>
              </w:tc>
              <w:tc>
                <w:tcPr>
                  <w:tcW w:w="679" w:type="pct"/>
                  <w:noWrap w:val="0"/>
                  <w:vAlign w:val="center"/>
                </w:tcPr>
                <w:p w14:paraId="2640257D">
                  <w:pPr>
                    <w:spacing w:line="240" w:lineRule="auto"/>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《制药工业大气污染物排放标准》（GB37823-2019）表2</w:t>
                  </w:r>
                </w:p>
              </w:tc>
            </w:tr>
            <w:tr w14:paraId="73BFA2AC">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341" w:type="pct"/>
                  <w:noWrap w:val="0"/>
                  <w:vAlign w:val="center"/>
                </w:tcPr>
                <w:p w14:paraId="207B799D">
                  <w:pPr>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DA00</w:t>
                  </w:r>
                  <w:r>
                    <w:rPr>
                      <w:rFonts w:hint="eastAsia" w:ascii="Times New Roman" w:hAnsi="Times New Roman" w:eastAsia="宋体" w:cs="Times New Roman"/>
                      <w:color w:val="auto"/>
                      <w:sz w:val="21"/>
                      <w:szCs w:val="21"/>
                      <w:lang w:val="en-US" w:eastAsia="zh-CN"/>
                    </w:rPr>
                    <w:t>7</w:t>
                  </w:r>
                </w:p>
              </w:tc>
              <w:tc>
                <w:tcPr>
                  <w:tcW w:w="689" w:type="pct"/>
                  <w:noWrap w:val="0"/>
                  <w:vAlign w:val="center"/>
                </w:tcPr>
                <w:p w14:paraId="31E7746D">
                  <w:pPr>
                    <w:spacing w:line="240" w:lineRule="auto"/>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食堂油烟</w:t>
                  </w:r>
                </w:p>
              </w:tc>
              <w:tc>
                <w:tcPr>
                  <w:tcW w:w="379" w:type="pct"/>
                  <w:noWrap w:val="0"/>
                  <w:vAlign w:val="center"/>
                </w:tcPr>
                <w:p w14:paraId="3203E609">
                  <w:pPr>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油烟</w:t>
                  </w:r>
                </w:p>
              </w:tc>
              <w:tc>
                <w:tcPr>
                  <w:tcW w:w="502" w:type="pct"/>
                  <w:noWrap w:val="0"/>
                  <w:vAlign w:val="center"/>
                </w:tcPr>
                <w:p w14:paraId="78B824FF">
                  <w:pPr>
                    <w:spacing w:line="240" w:lineRule="auto"/>
                    <w:ind w:firstLine="0" w:firstLineChars="0"/>
                    <w:jc w:val="center"/>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115°13′57.21838″</w:t>
                  </w:r>
                </w:p>
              </w:tc>
              <w:tc>
                <w:tcPr>
                  <w:tcW w:w="502" w:type="pct"/>
                  <w:noWrap w:val="0"/>
                  <w:vAlign w:val="center"/>
                </w:tcPr>
                <w:p w14:paraId="297094BF">
                  <w:pPr>
                    <w:spacing w:line="240" w:lineRule="auto"/>
                    <w:ind w:firstLine="0" w:firstLineChars="0"/>
                    <w:jc w:val="center"/>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36°5′16.79094″</w:t>
                  </w:r>
                </w:p>
              </w:tc>
              <w:tc>
                <w:tcPr>
                  <w:tcW w:w="494" w:type="pct"/>
                  <w:shd w:val="clear" w:color="auto" w:fill="auto"/>
                  <w:noWrap w:val="0"/>
                  <w:vAlign w:val="center"/>
                </w:tcPr>
                <w:p w14:paraId="7F8AC327">
                  <w:pPr>
                    <w:spacing w:line="240" w:lineRule="auto"/>
                    <w:ind w:firstLine="0" w:firstLineChars="0"/>
                    <w:jc w:val="center"/>
                    <w:rPr>
                      <w:rFonts w:hint="eastAsia" w:ascii="Times New Roman" w:hAnsi="Times New Roman" w:eastAsia="宋体" w:cs="Times New Roman"/>
                      <w:b/>
                      <w:bCs/>
                      <w:color w:val="auto"/>
                      <w:kern w:val="2"/>
                      <w:sz w:val="21"/>
                      <w:szCs w:val="21"/>
                      <w:u w:val="single"/>
                      <w:lang w:val="en-US" w:eastAsia="zh-CN" w:bidi="ar-SA"/>
                    </w:rPr>
                  </w:pPr>
                  <w:r>
                    <w:rPr>
                      <w:rFonts w:hint="eastAsia" w:ascii="Times New Roman" w:hAnsi="Times New Roman" w:eastAsia="宋体" w:cs="Times New Roman"/>
                      <w:b w:val="0"/>
                      <w:bCs w:val="0"/>
                      <w:color w:val="auto"/>
                      <w:sz w:val="21"/>
                      <w:szCs w:val="21"/>
                      <w:u w:val="none"/>
                    </w:rPr>
                    <w:t>15</w:t>
                  </w:r>
                </w:p>
              </w:tc>
              <w:tc>
                <w:tcPr>
                  <w:tcW w:w="494" w:type="pct"/>
                  <w:shd w:val="clear" w:color="auto" w:fill="auto"/>
                  <w:noWrap w:val="0"/>
                  <w:vAlign w:val="center"/>
                </w:tcPr>
                <w:p w14:paraId="31359E56">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0.6</w:t>
                  </w:r>
                </w:p>
              </w:tc>
              <w:tc>
                <w:tcPr>
                  <w:tcW w:w="523" w:type="pct"/>
                  <w:shd w:val="clear" w:color="auto" w:fill="auto"/>
                  <w:noWrap w:val="0"/>
                  <w:vAlign w:val="center"/>
                </w:tcPr>
                <w:p w14:paraId="7D1FF7EA">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60</w:t>
                  </w:r>
                </w:p>
              </w:tc>
              <w:tc>
                <w:tcPr>
                  <w:tcW w:w="393" w:type="pct"/>
                  <w:shd w:val="clear" w:color="auto" w:fill="auto"/>
                  <w:noWrap w:val="0"/>
                  <w:vAlign w:val="center"/>
                </w:tcPr>
                <w:p w14:paraId="3534A5CF">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一般排放口</w:t>
                  </w:r>
                </w:p>
              </w:tc>
              <w:tc>
                <w:tcPr>
                  <w:tcW w:w="679" w:type="pct"/>
                  <w:noWrap w:val="0"/>
                  <w:vAlign w:val="center"/>
                </w:tcPr>
                <w:p w14:paraId="63AD1447">
                  <w:pPr>
                    <w:spacing w:line="240" w:lineRule="auto"/>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fldChar w:fldCharType="begin"/>
                  </w:r>
                  <w:r>
                    <w:rPr>
                      <w:rFonts w:hint="eastAsia" w:ascii="Times New Roman" w:hAnsi="Times New Roman" w:eastAsia="宋体" w:cs="Times New Roman"/>
                      <w:color w:val="auto"/>
                      <w:sz w:val="21"/>
                      <w:szCs w:val="21"/>
                    </w:rPr>
                    <w:instrText xml:space="preserve"> HYPERLINK "http://oss.henan.gov.cn/sbgt-wztipt/attachment/sthjt/portal/cn/rootimages/2018/06/14/20180614153132709.pdf" \t "https://sthjt.henan.gov.cn/2018/06-14/_blank" </w:instrText>
                  </w:r>
                  <w:r>
                    <w:rPr>
                      <w:rFonts w:hint="eastAsia" w:ascii="Times New Roman" w:hAnsi="Times New Roman" w:eastAsia="宋体" w:cs="Times New Roman"/>
                      <w:color w:val="auto"/>
                      <w:sz w:val="21"/>
                      <w:szCs w:val="21"/>
                    </w:rPr>
                    <w:fldChar w:fldCharType="separate"/>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餐饮业油烟污染物排放标准</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fldChar w:fldCharType="end"/>
                  </w:r>
                  <w:r>
                    <w:rPr>
                      <w:rFonts w:hint="eastAsia" w:ascii="Times New Roman" w:hAnsi="Times New Roman" w:eastAsia="宋体" w:cs="Times New Roman"/>
                      <w:color w:val="auto"/>
                      <w:sz w:val="21"/>
                      <w:szCs w:val="21"/>
                    </w:rPr>
                    <w:t>（DB41/1604—2018）</w:t>
                  </w:r>
                </w:p>
              </w:tc>
            </w:tr>
          </w:tbl>
          <w:p w14:paraId="278DDA8F">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default" w:eastAsia="宋体"/>
                <w:b/>
                <w:bCs/>
                <w:color w:val="auto"/>
                <w:u w:val="single"/>
                <w:lang w:val="en-US" w:eastAsia="zh-CN"/>
              </w:rPr>
            </w:pPr>
            <w:r>
              <w:rPr>
                <w:rFonts w:hint="eastAsia"/>
                <w:b/>
                <w:bCs/>
                <w:color w:val="auto"/>
                <w:u w:val="single"/>
                <w:lang w:val="en-US" w:eastAsia="zh-CN"/>
              </w:rPr>
              <w:t>注：根据</w:t>
            </w:r>
            <w:r>
              <w:rPr>
                <w:rFonts w:hint="eastAsia" w:ascii="Times New Roman" w:hAnsi="Times New Roman" w:eastAsia="宋体" w:cs="Times New Roman"/>
                <w:b/>
                <w:bCs/>
                <w:color w:val="auto"/>
                <w:sz w:val="21"/>
                <w:szCs w:val="21"/>
                <w:u w:val="single"/>
              </w:rPr>
              <w:t>《制药工业大气污染物排放标准》（GB37823-2019）</w:t>
            </w:r>
            <w:r>
              <w:rPr>
                <w:rFonts w:hint="eastAsia" w:cs="Times New Roman"/>
                <w:b/>
                <w:bCs/>
                <w:color w:val="auto"/>
                <w:sz w:val="21"/>
                <w:szCs w:val="21"/>
                <w:u w:val="single"/>
                <w:lang w:eastAsia="zh-CN"/>
              </w:rPr>
              <w:t>“4.7排放光气、氰化氢和氯气的排气筒高度不低于25m，其他排气筒高度不低于15m(因安全考虑或有特殊工艺要求的除外)，具体高度以及与周围建筑物的相对高度关系应根据环境影响评价文件确定。”。</w:t>
            </w:r>
            <w:r>
              <w:rPr>
                <w:rFonts w:hint="eastAsia" w:cs="Times New Roman"/>
                <w:b/>
                <w:bCs/>
                <w:color w:val="auto"/>
                <w:sz w:val="21"/>
                <w:szCs w:val="21"/>
                <w:u w:val="single"/>
                <w:lang w:val="en-US" w:eastAsia="zh-CN"/>
              </w:rPr>
              <w:t>因此本项目各生产工序对应的排气筒高度至少为15m，本报告均以15m计。</w:t>
            </w:r>
          </w:p>
          <w:p w14:paraId="050180F1">
            <w:pPr>
              <w:keepNext w:val="0"/>
              <w:keepLines w:val="0"/>
              <w:pageBreakBefore w:val="0"/>
              <w:widowControl w:val="0"/>
              <w:kinsoku/>
              <w:wordWrap w:val="0"/>
              <w:overflowPunct/>
              <w:topLinePunct w:val="0"/>
              <w:autoSpaceDE w:val="0"/>
              <w:autoSpaceDN w:val="0"/>
              <w:bidi w:val="0"/>
              <w:ind w:firstLine="0" w:firstLineChars="0"/>
              <w:textAlignment w:val="auto"/>
              <w:rPr>
                <w:b/>
                <w:color w:val="auto"/>
              </w:rPr>
            </w:pPr>
            <w:r>
              <w:rPr>
                <w:rFonts w:hint="eastAsia"/>
                <w:b/>
                <w:color w:val="auto"/>
              </w:rPr>
              <w:t>3</w:t>
            </w:r>
            <w:r>
              <w:rPr>
                <w:b/>
                <w:color w:val="auto"/>
              </w:rPr>
              <w:t>.</w:t>
            </w:r>
            <w:r>
              <w:rPr>
                <w:rFonts w:hint="eastAsia"/>
                <w:b/>
                <w:sz w:val="24"/>
              </w:rPr>
              <w:t>废气污染治理措施可行性分析</w:t>
            </w:r>
          </w:p>
          <w:p w14:paraId="7ED19FEB">
            <w:pPr>
              <w:ind w:firstLine="480"/>
              <w:rPr>
                <w:rFonts w:hint="default" w:eastAsia="宋体"/>
                <w:b/>
                <w:bCs/>
                <w:color w:val="auto"/>
                <w:lang w:val="en-US" w:eastAsia="zh-CN"/>
              </w:rPr>
            </w:pPr>
            <w:r>
              <w:rPr>
                <w:rFonts w:hint="eastAsia"/>
                <w:b/>
                <w:bCs/>
                <w:color w:val="auto"/>
              </w:rPr>
              <w:t>（1）</w:t>
            </w:r>
            <w:r>
              <w:rPr>
                <w:rFonts w:hint="eastAsia"/>
                <w:b/>
                <w:bCs/>
                <w:color w:val="auto"/>
                <w:lang w:val="en-US" w:eastAsia="zh-CN"/>
              </w:rPr>
              <w:t>异味</w:t>
            </w:r>
          </w:p>
          <w:p w14:paraId="0745B197">
            <w:pPr>
              <w:ind w:firstLine="480"/>
              <w:rPr>
                <w:rFonts w:hint="eastAsia"/>
                <w:color w:val="auto"/>
              </w:rPr>
            </w:pPr>
            <w:r>
              <w:rPr>
                <w:rFonts w:hint="eastAsia"/>
                <w:color w:val="auto"/>
              </w:rPr>
              <w:t>本项目发酵工艺主要为兼氧过程，发酵罐换气量很小，异味排放较少，在车间换气系统出口处安装活性炭吸附装置，可减少90%的异味排放</w:t>
            </w:r>
            <w:r>
              <w:rPr>
                <w:rFonts w:hint="eastAsia"/>
                <w:color w:val="auto"/>
                <w:lang w:eastAsia="zh-CN"/>
              </w:rPr>
              <w:t>；</w:t>
            </w:r>
            <w:r>
              <w:rPr>
                <w:rFonts w:hint="eastAsia"/>
                <w:color w:val="auto"/>
              </w:rPr>
              <w:t>在炒制设备进料口处设置集尘罩，产生的烟尘大部分被引入布袋除尘器，可很大程度降低异味排放，在布袋除尘器后安装活性炭吸附装置，可减少90%的异味排放，经吸附处理后，异味有组织排放。选用的中药提取设备均为封闭设计，对提取液浓缩产生的蒸汽经冷却后进入污水处理站，大大降低了中药异味的产生，少量含异味的不凝气经车间通风系统排放。</w:t>
            </w:r>
          </w:p>
          <w:p w14:paraId="1ED9A0F5">
            <w:pPr>
              <w:ind w:firstLine="480"/>
              <w:rPr>
                <w:rFonts w:hint="eastAsia"/>
                <w:color w:val="auto"/>
              </w:rPr>
            </w:pPr>
            <w:r>
              <w:rPr>
                <w:rFonts w:hint="eastAsia"/>
                <w:color w:val="auto"/>
              </w:rPr>
              <w:t>药渣经压滤后放到专用槽内，在车间固废堆存处临时存放，并分装在密封桶内做到日产日清，整体出渣过程药渣不在室外停留，在药渣暂存间设置风机，通过风机负压收集异味，然后使用活性炭吸附异味，可减少90%的异味排放，经吸附处理后，异味有组织排放。</w:t>
            </w:r>
          </w:p>
          <w:p w14:paraId="53F70FB1">
            <w:pPr>
              <w:ind w:firstLine="480"/>
              <w:rPr>
                <w:rFonts w:hint="eastAsia"/>
                <w:color w:val="auto"/>
              </w:rPr>
            </w:pPr>
            <w:r>
              <w:rPr>
                <w:rFonts w:hint="eastAsia"/>
                <w:color w:val="auto"/>
              </w:rPr>
              <w:t>参照《排污许可证申请与核发技术规范制药工业—中成药生产》中恶臭废气处理的可行性技术“水喷淋、活性炭吸附”都属于可行技术。</w:t>
            </w:r>
          </w:p>
          <w:p w14:paraId="72ED73B8">
            <w:pPr>
              <w:ind w:firstLine="480"/>
              <w:rPr>
                <w:rFonts w:hint="default"/>
                <w:b/>
                <w:bCs/>
                <w:sz w:val="24"/>
                <w:lang w:val="en-US" w:eastAsia="zh-CN"/>
              </w:rPr>
            </w:pPr>
            <w:r>
              <w:rPr>
                <w:rFonts w:hint="eastAsia"/>
                <w:b/>
                <w:bCs/>
                <w:sz w:val="24"/>
                <w:lang w:val="en-US" w:eastAsia="zh-CN"/>
              </w:rPr>
              <w:t>（2）颗粒物</w:t>
            </w:r>
          </w:p>
          <w:p w14:paraId="5633DBD2">
            <w:pPr>
              <w:ind w:firstLine="480"/>
              <w:rPr>
                <w:rFonts w:hint="eastAsia"/>
                <w:sz w:val="24"/>
                <w:lang w:val="en-US" w:eastAsia="zh-CN"/>
              </w:rPr>
            </w:pPr>
            <w:r>
              <w:rPr>
                <w:rFonts w:hint="eastAsia"/>
                <w:sz w:val="24"/>
                <w:lang w:val="en-US" w:eastAsia="zh-CN"/>
              </w:rPr>
              <w:t>本项目的粉尘主要来源于两方面，一是中药饮片车间干燥、炒制、粉碎、筛分，二是口服饮片、颗粒剂车间干燥、制粒、破碎、筛分工序及制丸车间配料、和药、制丸等工序。</w:t>
            </w:r>
          </w:p>
          <w:p w14:paraId="7D9773E0">
            <w:pPr>
              <w:ind w:firstLine="480"/>
              <w:rPr>
                <w:rFonts w:hint="eastAsia"/>
                <w:sz w:val="24"/>
                <w:lang w:val="en-US" w:eastAsia="zh-CN"/>
              </w:rPr>
            </w:pPr>
            <w:r>
              <w:rPr>
                <w:rFonts w:hint="eastAsia"/>
                <w:sz w:val="24"/>
                <w:lang w:val="en-US" w:eastAsia="zh-CN"/>
              </w:rPr>
              <w:t>目前，袋式除尘器被广泛应用于钢铁、建材、机械加工等企业的含尘废气的处理中，是常用的环保除尘设备之一，在各企业中该除尘设施的采用即取得了良好的环境效益，同时取得了一定的经济效益和社会效益。</w:t>
            </w:r>
          </w:p>
          <w:p w14:paraId="28FCDABC">
            <w:pPr>
              <w:ind w:firstLine="480"/>
              <w:rPr>
                <w:rFonts w:hint="eastAsia"/>
                <w:sz w:val="24"/>
                <w:lang w:val="en-US" w:eastAsia="zh-CN"/>
              </w:rPr>
            </w:pPr>
            <w:r>
              <w:rPr>
                <w:rFonts w:hint="eastAsia"/>
                <w:sz w:val="24"/>
                <w:lang w:val="en-US" w:eastAsia="zh-CN"/>
              </w:rPr>
              <w:t>布袋除尘工作原理：含尘气体由下部敞开式法兰进入过滤室较粗颗粒直接落入含尘气体经滤袋过滤，粉尘阻留于袋表，净气经袋口到净气室由风机排入大气。当滤袋表面的粉尘不断增加，程控开始工作，逐个开启脉冲阀，使压缩空气通过喷口对滤袋进行喷吹清灰，使滤袋突然膨胀，在反向气流的作用下，赋予袋表的粉尘迅速脱离滤袋落入灰仓粉尘由卸灰阀排出。含尘气体由灰斗上部进风口进入后，在挡风板的作用下，气流向上流动，流速降低，部分大颗粒粉尘由于惯性力的作用被分离出来落入灰斗。含尘气体进入中箱体经滤袋的过滤净化，粉尘被阻留在滤袋的外表面，净化后的气体经滤袋口进入上箱体，由出风口排出。随着滤袋表面粉尘不断增加，除尘器进出口压差也随之上升。</w:t>
            </w:r>
          </w:p>
          <w:p w14:paraId="03D3863A">
            <w:pPr>
              <w:ind w:firstLine="480"/>
              <w:rPr>
                <w:rFonts w:hint="eastAsia"/>
                <w:sz w:val="24"/>
                <w:lang w:val="en-US" w:eastAsia="zh-CN"/>
              </w:rPr>
            </w:pPr>
            <w:r>
              <w:rPr>
                <w:rFonts w:hint="eastAsia"/>
                <w:sz w:val="24"/>
                <w:lang w:val="en-US" w:eastAsia="zh-CN"/>
              </w:rPr>
              <w:t>当除尘器阻力达到设定值时，控制系统发出清灰指令，清灰系统开始工作。首先电磁阀接到信号后立即开启，使小膜片上部气室的压缩空气被排出，大膜片两端受力改变，使大膜片动作，将关闭的输出口打开，气包内的压缩空气经由输出管和喷吹管喷入袋内实现清灰。当控制信号停止后电磁阀关闭，小膜片、大膜片相继复位，喷吹停止。</w:t>
            </w:r>
          </w:p>
          <w:p w14:paraId="50A52110">
            <w:pPr>
              <w:ind w:firstLine="480"/>
              <w:rPr>
                <w:rFonts w:hint="eastAsia"/>
                <w:sz w:val="24"/>
                <w:lang w:val="en-US" w:eastAsia="zh-CN"/>
              </w:rPr>
            </w:pPr>
            <w:r>
              <w:rPr>
                <w:rFonts w:hint="eastAsia"/>
                <w:sz w:val="24"/>
                <w:lang w:val="en-US" w:eastAsia="zh-CN"/>
              </w:rPr>
              <w:t>项目颗粒剂车间干燥、制粒、破碎、筛分工序及制丸车间配料、和药、制丸等工序均位于洁净区内，生产设备为密闭式，以减少粉尘逸散量，由于洁净区需要使用中央空保持调温湿度稳定及室内空气洁净，产生的粉尘废气经车间排气口空气滤网处理后通过1根15米高排气筒排放。粉尘去除率可以达到90%以上，处理后尾气中的粉尘排放浓度满足《制药工业大气污染物排放标准》（GB37823-2019）表2中的特别排放限值要求，处理可行。</w:t>
            </w:r>
          </w:p>
          <w:p w14:paraId="6EAFCFB9">
            <w:pPr>
              <w:ind w:firstLine="480"/>
              <w:rPr>
                <w:rFonts w:hint="eastAsia"/>
                <w:b/>
                <w:bCs/>
                <w:sz w:val="24"/>
                <w:u w:val="single"/>
                <w:lang w:val="en-US" w:eastAsia="zh-CN"/>
              </w:rPr>
            </w:pPr>
            <w:r>
              <w:rPr>
                <w:rFonts w:hint="eastAsia"/>
                <w:b/>
                <w:bCs/>
                <w:sz w:val="24"/>
                <w:u w:val="single"/>
                <w:lang w:val="en-US" w:eastAsia="zh-CN"/>
              </w:rPr>
              <w:t>（3）恶臭</w:t>
            </w:r>
          </w:p>
          <w:p w14:paraId="0A40778A">
            <w:pPr>
              <w:ind w:firstLine="480"/>
              <w:rPr>
                <w:rFonts w:hint="eastAsia" w:cs="Times New Roman"/>
                <w:b/>
                <w:bCs/>
                <w:sz w:val="24"/>
                <w:u w:val="single"/>
                <w:lang w:val="en-US" w:eastAsia="zh-CN"/>
              </w:rPr>
            </w:pPr>
            <w:r>
              <w:rPr>
                <w:rFonts w:hint="eastAsia" w:ascii="Times New Roman" w:hAnsi="Times New Roman" w:eastAsia="宋体" w:cs="Times New Roman"/>
                <w:b/>
                <w:bCs/>
                <w:sz w:val="24"/>
                <w:u w:val="single"/>
                <w:lang w:val="en-US" w:eastAsia="zh-CN"/>
              </w:rPr>
              <w:t>为进一步减小项目污水处理过程恶臭气体对周边环境的影响，环评要求对污水处理站进行局部密闭，针对调节池、初沉池、接触氧化池、污泥浓缩池、污泥脱水间、污泥暂存间采取加盖密闭+</w:t>
            </w:r>
            <w:r>
              <w:rPr>
                <w:rFonts w:hint="eastAsia" w:cs="Times New Roman"/>
                <w:b/>
                <w:bCs/>
                <w:sz w:val="24"/>
                <w:u w:val="single"/>
                <w:lang w:val="en-US" w:eastAsia="zh-CN"/>
              </w:rPr>
              <w:t>生物滤池</w:t>
            </w:r>
            <w:r>
              <w:rPr>
                <w:rFonts w:hint="eastAsia" w:ascii="Times New Roman" w:hAnsi="Times New Roman" w:eastAsia="宋体" w:cs="Times New Roman"/>
                <w:b/>
                <w:bCs/>
                <w:sz w:val="24"/>
                <w:u w:val="single"/>
                <w:lang w:val="en-US" w:eastAsia="zh-CN"/>
              </w:rPr>
              <w:t>除臭措施</w:t>
            </w:r>
            <w:r>
              <w:rPr>
                <w:rFonts w:hint="eastAsia" w:cs="Times New Roman"/>
                <w:b/>
                <w:bCs/>
                <w:sz w:val="24"/>
                <w:u w:val="single"/>
                <w:lang w:val="en-US" w:eastAsia="zh-CN"/>
              </w:rPr>
              <w:t>。</w:t>
            </w:r>
          </w:p>
          <w:p w14:paraId="2F9F2EB0">
            <w:pPr>
              <w:ind w:firstLine="480"/>
              <w:rPr>
                <w:rFonts w:hint="eastAsia" w:ascii="Times New Roman" w:hAnsi="Times New Roman" w:eastAsia="宋体" w:cs="Times New Roman"/>
                <w:b/>
                <w:bCs/>
                <w:sz w:val="24"/>
                <w:u w:val="single"/>
                <w:lang w:val="en-US" w:eastAsia="zh-CN"/>
              </w:rPr>
            </w:pPr>
            <w:r>
              <w:rPr>
                <w:rFonts w:hint="eastAsia" w:ascii="Times New Roman" w:hAnsi="Times New Roman" w:eastAsia="宋体" w:cs="Times New Roman"/>
                <w:b/>
                <w:bCs/>
                <w:sz w:val="24"/>
                <w:u w:val="single"/>
                <w:lang w:val="en-US" w:eastAsia="zh-CN"/>
              </w:rPr>
              <w:t>生物滤池除臭是以生物填料为载体，使微生物在适宜的环境下，在生物填料表面形成生物膜，生物膜中的微生物利用废气中的无机和有机物作为碳源和能源，通过降解恶臭物质维持其生命活动，并将恶臭物质分解成二氧化碳、水、矿物质等无臭物，达到净化恶臭气体</w:t>
            </w:r>
            <w:r>
              <w:rPr>
                <w:rFonts w:hint="eastAsia" w:cs="Times New Roman"/>
                <w:b/>
                <w:bCs/>
                <w:sz w:val="24"/>
                <w:u w:val="single"/>
                <w:lang w:val="en-US" w:eastAsia="zh-CN"/>
              </w:rPr>
              <w:t>的目的</w:t>
            </w:r>
            <w:r>
              <w:rPr>
                <w:rFonts w:hint="eastAsia" w:ascii="Times New Roman" w:hAnsi="Times New Roman" w:eastAsia="宋体" w:cs="Times New Roman"/>
                <w:b/>
                <w:bCs/>
                <w:sz w:val="24"/>
                <w:u w:val="single"/>
                <w:lang w:val="en-US" w:eastAsia="zh-CN"/>
              </w:rPr>
              <w:t>。</w:t>
            </w:r>
          </w:p>
          <w:p w14:paraId="63D70B85">
            <w:pPr>
              <w:ind w:firstLine="480"/>
              <w:rPr>
                <w:rFonts w:hint="default" w:ascii="Times New Roman" w:hAnsi="Times New Roman" w:eastAsia="宋体" w:cs="Times New Roman"/>
                <w:b/>
                <w:bCs/>
                <w:sz w:val="24"/>
                <w:u w:val="single"/>
                <w:lang w:val="en-US" w:eastAsia="zh-CN"/>
              </w:rPr>
            </w:pPr>
            <w:r>
              <w:rPr>
                <w:rFonts w:hint="eastAsia" w:ascii="Times New Roman" w:hAnsi="Times New Roman" w:eastAsia="宋体" w:cs="Times New Roman"/>
                <w:b/>
                <w:bCs/>
                <w:sz w:val="24"/>
                <w:u w:val="single"/>
                <w:lang w:val="en-US" w:eastAsia="zh-CN"/>
              </w:rPr>
              <w:t>经</w:t>
            </w:r>
            <w:r>
              <w:rPr>
                <w:rFonts w:hint="eastAsia" w:cs="Times New Roman"/>
                <w:b/>
                <w:bCs/>
                <w:sz w:val="24"/>
                <w:u w:val="single"/>
                <w:lang w:val="en-US" w:eastAsia="zh-CN"/>
              </w:rPr>
              <w:t>生物滤池装置处理后，</w:t>
            </w:r>
            <w:r>
              <w:rPr>
                <w:rFonts w:hint="eastAsia" w:ascii="Times New Roman" w:hAnsi="Times New Roman" w:eastAsia="宋体" w:cs="Times New Roman"/>
                <w:b/>
                <w:bCs/>
                <w:sz w:val="24"/>
                <w:u w:val="single"/>
                <w:lang w:val="en-US" w:eastAsia="zh-CN"/>
              </w:rPr>
              <w:t>除臭效率可达9</w:t>
            </w:r>
            <w:r>
              <w:rPr>
                <w:rFonts w:hint="eastAsia" w:cs="Times New Roman"/>
                <w:b/>
                <w:bCs/>
                <w:sz w:val="24"/>
                <w:u w:val="single"/>
                <w:lang w:val="en-US" w:eastAsia="zh-CN"/>
              </w:rPr>
              <w:t>0</w:t>
            </w:r>
            <w:r>
              <w:rPr>
                <w:rFonts w:hint="eastAsia" w:ascii="Times New Roman" w:hAnsi="Times New Roman" w:eastAsia="宋体" w:cs="Times New Roman"/>
                <w:b/>
                <w:bCs/>
                <w:sz w:val="24"/>
                <w:u w:val="single"/>
                <w:lang w:val="en-US" w:eastAsia="zh-CN"/>
              </w:rPr>
              <w:t>%，恶臭排放可达到《制药工业大气污染物排放标准》（GB37823-2019）表2标准中排放限值要求，措施可行。</w:t>
            </w:r>
          </w:p>
          <w:p w14:paraId="75B655CB">
            <w:pPr>
              <w:adjustRightInd w:val="0"/>
              <w:snapToGrid w:val="0"/>
              <w:spacing w:line="360" w:lineRule="auto"/>
              <w:ind w:left="0" w:leftChars="0" w:firstLine="0" w:firstLineChars="0"/>
              <w:rPr>
                <w:sz w:val="24"/>
                <w:lang w:bidi="ar"/>
              </w:rPr>
            </w:pPr>
            <w:r>
              <w:rPr>
                <w:rFonts w:hint="eastAsia"/>
                <w:b/>
                <w:sz w:val="24"/>
              </w:rPr>
              <w:t>4大气环境影响分析</w:t>
            </w:r>
          </w:p>
          <w:p w14:paraId="7F371B73">
            <w:pPr>
              <w:rPr>
                <w:rFonts w:hint="eastAsia"/>
                <w:color w:val="auto"/>
              </w:rPr>
            </w:pPr>
            <w:r>
              <w:rPr>
                <w:rFonts w:hint="eastAsia"/>
                <w:b w:val="0"/>
                <w:bCs w:val="0"/>
                <w:color w:val="auto"/>
                <w:lang w:val="en-US" w:eastAsia="zh-CN"/>
              </w:rPr>
              <w:t>中药材</w:t>
            </w:r>
            <w:r>
              <w:rPr>
                <w:rFonts w:hint="eastAsia"/>
                <w:b w:val="0"/>
                <w:bCs w:val="0"/>
                <w:color w:val="auto"/>
              </w:rPr>
              <w:t>异味经“喷淋塔+水雾分离器+活性炭”后能够满足《恶臭污染物排放标准》（GB14554-93）标准</w:t>
            </w:r>
            <w:r>
              <w:rPr>
                <w:rFonts w:hint="eastAsia"/>
                <w:b w:val="0"/>
                <w:bCs w:val="0"/>
                <w:color w:val="auto"/>
                <w:lang w:val="en-US" w:eastAsia="zh-CN"/>
              </w:rPr>
              <w:t>要求，通过15m高排气筒排放</w:t>
            </w:r>
            <w:r>
              <w:rPr>
                <w:rFonts w:hint="eastAsia"/>
                <w:b w:val="0"/>
                <w:bCs w:val="0"/>
                <w:color w:val="auto"/>
                <w:lang w:eastAsia="zh-CN"/>
              </w:rPr>
              <w:t>；</w:t>
            </w:r>
            <w:r>
              <w:rPr>
                <w:rFonts w:hint="eastAsia"/>
                <w:b w:val="0"/>
                <w:bCs w:val="0"/>
                <w:color w:val="auto"/>
              </w:rPr>
              <w:t>中药饮片车间干燥、炒制、粉碎、筛分粉尘</w:t>
            </w:r>
            <w:r>
              <w:rPr>
                <w:rFonts w:hint="eastAsia"/>
                <w:b w:val="0"/>
                <w:bCs w:val="0"/>
                <w:color w:val="auto"/>
                <w:lang w:val="en-US" w:eastAsia="zh-CN"/>
              </w:rPr>
              <w:t>经袋式除尘器处理后</w:t>
            </w:r>
            <w:r>
              <w:rPr>
                <w:rFonts w:hint="eastAsia"/>
                <w:b w:val="0"/>
                <w:bCs w:val="0"/>
                <w:color w:val="auto"/>
                <w:sz w:val="24"/>
                <w:szCs w:val="24"/>
              </w:rPr>
              <w:t>能够满足《制药工业大气污染物排放标准》（GB37823-2019）表2中</w:t>
            </w:r>
            <w:r>
              <w:rPr>
                <w:rFonts w:hint="eastAsia"/>
                <w:b w:val="0"/>
                <w:bCs w:val="0"/>
                <w:color w:val="auto"/>
                <w:sz w:val="24"/>
                <w:szCs w:val="24"/>
                <w:lang w:val="en-US" w:eastAsia="zh-CN"/>
              </w:rPr>
              <w:t>特别</w:t>
            </w:r>
            <w:r>
              <w:rPr>
                <w:rFonts w:hint="eastAsia"/>
                <w:b w:val="0"/>
                <w:bCs w:val="0"/>
                <w:color w:val="auto"/>
                <w:sz w:val="24"/>
                <w:szCs w:val="24"/>
              </w:rPr>
              <w:t>排放限值要求</w:t>
            </w:r>
            <w:r>
              <w:rPr>
                <w:rFonts w:hint="eastAsia"/>
                <w:b w:val="0"/>
                <w:bCs w:val="0"/>
                <w:sz w:val="24"/>
              </w:rPr>
              <w:t>及《</w:t>
            </w:r>
            <w:r>
              <w:rPr>
                <w:rFonts w:hint="eastAsia"/>
                <w:b w:val="0"/>
                <w:bCs w:val="0"/>
                <w:color w:val="auto"/>
                <w:sz w:val="24"/>
                <w:szCs w:val="24"/>
                <w:lang w:eastAsia="zh-CN"/>
              </w:rPr>
              <w:t>河南省重污染天气通用行业应急减排措施制定技术指南（2024年修订版）</w:t>
            </w:r>
            <w:r>
              <w:rPr>
                <w:rFonts w:hint="eastAsia"/>
                <w:b w:val="0"/>
                <w:bCs w:val="0"/>
                <w:sz w:val="24"/>
              </w:rPr>
              <w:t>》颗粒物有组织排放限值为10mg/m</w:t>
            </w:r>
            <w:r>
              <w:rPr>
                <w:rFonts w:hint="eastAsia"/>
                <w:b w:val="0"/>
                <w:bCs w:val="0"/>
                <w:sz w:val="24"/>
                <w:vertAlign w:val="superscript"/>
              </w:rPr>
              <w:t>3</w:t>
            </w:r>
            <w:r>
              <w:rPr>
                <w:rFonts w:hint="eastAsia"/>
                <w:b w:val="0"/>
                <w:bCs w:val="0"/>
                <w:sz w:val="24"/>
              </w:rPr>
              <w:t>），通过1根15m高排气筒排放</w:t>
            </w:r>
            <w:r>
              <w:rPr>
                <w:rFonts w:hint="eastAsia"/>
                <w:b w:val="0"/>
                <w:bCs w:val="0"/>
                <w:sz w:val="24"/>
                <w:lang w:eastAsia="zh-CN"/>
              </w:rPr>
              <w:t>；</w:t>
            </w:r>
            <w:r>
              <w:rPr>
                <w:rFonts w:hint="eastAsia"/>
                <w:b w:val="0"/>
                <w:bCs w:val="0"/>
                <w:color w:val="auto"/>
                <w:sz w:val="24"/>
                <w:szCs w:val="24"/>
                <w:lang w:val="en-US" w:eastAsia="zh-CN"/>
              </w:rPr>
              <w:t>口服饮片车间、颗粒剂车间及制丸车间粉尘</w:t>
            </w:r>
            <w:r>
              <w:rPr>
                <w:rFonts w:hint="eastAsia"/>
                <w:b w:val="0"/>
                <w:bCs w:val="0"/>
                <w:color w:val="auto"/>
                <w:lang w:val="en-US" w:eastAsia="zh-CN"/>
              </w:rPr>
              <w:t>经空气过滤系统处理后</w:t>
            </w:r>
            <w:r>
              <w:rPr>
                <w:rFonts w:hint="eastAsia"/>
                <w:b w:val="0"/>
                <w:bCs w:val="0"/>
                <w:color w:val="auto"/>
                <w:sz w:val="24"/>
                <w:szCs w:val="24"/>
              </w:rPr>
              <w:t>能够满足《制药工业大气污染物排放标准》（GB37823-2019）表2中</w:t>
            </w:r>
            <w:r>
              <w:rPr>
                <w:rFonts w:hint="eastAsia"/>
                <w:b w:val="0"/>
                <w:bCs w:val="0"/>
                <w:color w:val="auto"/>
                <w:sz w:val="24"/>
                <w:szCs w:val="24"/>
                <w:lang w:val="en-US" w:eastAsia="zh-CN"/>
              </w:rPr>
              <w:t>特别</w:t>
            </w:r>
            <w:r>
              <w:rPr>
                <w:rFonts w:hint="eastAsia"/>
                <w:b w:val="0"/>
                <w:bCs w:val="0"/>
                <w:color w:val="auto"/>
                <w:sz w:val="24"/>
                <w:szCs w:val="24"/>
              </w:rPr>
              <w:t>排放限值要求</w:t>
            </w:r>
            <w:r>
              <w:rPr>
                <w:rFonts w:hint="eastAsia"/>
                <w:b w:val="0"/>
                <w:bCs w:val="0"/>
                <w:sz w:val="24"/>
              </w:rPr>
              <w:t>及《</w:t>
            </w:r>
            <w:r>
              <w:rPr>
                <w:rFonts w:hint="eastAsia"/>
                <w:b w:val="0"/>
                <w:bCs w:val="0"/>
                <w:color w:val="auto"/>
                <w:sz w:val="24"/>
                <w:szCs w:val="24"/>
                <w:lang w:eastAsia="zh-CN"/>
              </w:rPr>
              <w:t>河南省重污染天气通用行业应急减排措施制定技术指南（2024年修订版）</w:t>
            </w:r>
            <w:r>
              <w:rPr>
                <w:rFonts w:hint="eastAsia"/>
                <w:b w:val="0"/>
                <w:bCs w:val="0"/>
                <w:sz w:val="24"/>
              </w:rPr>
              <w:t>》颗粒物有组织排放限值为10mg/m</w:t>
            </w:r>
            <w:r>
              <w:rPr>
                <w:rFonts w:hint="eastAsia"/>
                <w:b w:val="0"/>
                <w:bCs w:val="0"/>
                <w:sz w:val="24"/>
                <w:vertAlign w:val="superscript"/>
              </w:rPr>
              <w:t>3</w:t>
            </w:r>
            <w:r>
              <w:rPr>
                <w:rFonts w:hint="eastAsia"/>
                <w:b w:val="0"/>
                <w:bCs w:val="0"/>
                <w:sz w:val="24"/>
              </w:rPr>
              <w:t>），通过1根15m高排气筒排放</w:t>
            </w:r>
            <w:r>
              <w:rPr>
                <w:rFonts w:hint="eastAsia"/>
                <w:b w:val="0"/>
                <w:bCs w:val="0"/>
                <w:sz w:val="24"/>
                <w:lang w:eastAsia="zh-CN"/>
              </w:rPr>
              <w:t>；</w:t>
            </w:r>
            <w:r>
              <w:rPr>
                <w:rFonts w:hint="eastAsia"/>
                <w:b w:val="0"/>
                <w:bCs w:val="0"/>
                <w:color w:val="auto"/>
              </w:rPr>
              <w:t>污水处理站恶臭采取加盖密闭+</w:t>
            </w:r>
            <w:r>
              <w:rPr>
                <w:rFonts w:hint="eastAsia"/>
                <w:b w:val="0"/>
                <w:bCs w:val="0"/>
                <w:color w:val="auto"/>
                <w:lang w:val="en-US" w:eastAsia="zh-CN"/>
              </w:rPr>
              <w:t>生物滤池</w:t>
            </w:r>
            <w:r>
              <w:rPr>
                <w:rFonts w:hint="eastAsia"/>
                <w:b w:val="0"/>
                <w:bCs w:val="0"/>
                <w:color w:val="auto"/>
              </w:rPr>
              <w:t>除臭措施</w:t>
            </w:r>
            <w:r>
              <w:rPr>
                <w:rFonts w:hint="eastAsia"/>
                <w:b w:val="0"/>
                <w:bCs w:val="0"/>
                <w:color w:val="auto"/>
                <w:lang w:val="en-US" w:eastAsia="zh-CN"/>
              </w:rPr>
              <w:t>后能够满足《制药工业大气污染物排放标准》（GB37823-2019）表2特别排放限值，通过15m高排气筒排放；</w:t>
            </w:r>
            <w:r>
              <w:rPr>
                <w:rFonts w:hint="eastAsia"/>
                <w:b w:val="0"/>
                <w:bCs w:val="0"/>
                <w:color w:val="auto"/>
              </w:rPr>
              <w:t>实验废气经</w:t>
            </w:r>
            <w:r>
              <w:rPr>
                <w:rFonts w:hint="eastAsia"/>
                <w:b w:val="0"/>
                <w:bCs w:val="0"/>
                <w:color w:val="auto"/>
                <w:lang w:val="en-US" w:eastAsia="zh-CN"/>
              </w:rPr>
              <w:t>通风橱</w:t>
            </w:r>
            <w:r>
              <w:rPr>
                <w:rFonts w:hint="eastAsia"/>
                <w:b w:val="0"/>
                <w:bCs w:val="0"/>
                <w:color w:val="auto"/>
              </w:rPr>
              <w:t>收集</w:t>
            </w:r>
            <w:r>
              <w:rPr>
                <w:rFonts w:hint="eastAsia"/>
                <w:b w:val="0"/>
                <w:bCs w:val="0"/>
                <w:color w:val="auto"/>
                <w:lang w:val="en-US" w:eastAsia="zh-CN"/>
              </w:rPr>
              <w:t>后引至</w:t>
            </w:r>
            <w:r>
              <w:rPr>
                <w:rFonts w:hint="eastAsia"/>
                <w:b w:val="0"/>
                <w:bCs w:val="0"/>
                <w:color w:val="auto"/>
              </w:rPr>
              <w:t>1套二级活性炭吸附装置</w:t>
            </w:r>
            <w:r>
              <w:rPr>
                <w:rFonts w:hint="eastAsia"/>
                <w:b w:val="0"/>
                <w:bCs w:val="0"/>
                <w:color w:val="auto"/>
                <w:lang w:val="en-US" w:eastAsia="zh-CN"/>
              </w:rPr>
              <w:t>处理后能够满足</w:t>
            </w:r>
            <w:r>
              <w:rPr>
                <w:rFonts w:hint="eastAsia"/>
                <w:b w:val="0"/>
                <w:bCs w:val="0"/>
                <w:color w:val="auto"/>
              </w:rPr>
              <w:t>《制药工业大气污染物排放标准》（GB37823-2019）表</w:t>
            </w:r>
            <w:r>
              <w:rPr>
                <w:rFonts w:hint="eastAsia"/>
                <w:b w:val="0"/>
                <w:bCs w:val="0"/>
                <w:color w:val="auto"/>
                <w:lang w:val="en-US" w:eastAsia="zh-CN"/>
              </w:rPr>
              <w:t>2特别</w:t>
            </w:r>
            <w:r>
              <w:rPr>
                <w:rFonts w:hint="eastAsia"/>
                <w:b w:val="0"/>
                <w:bCs w:val="0"/>
                <w:color w:val="auto"/>
              </w:rPr>
              <w:t>排放限值</w:t>
            </w:r>
            <w:r>
              <w:rPr>
                <w:rFonts w:hint="eastAsia"/>
                <w:b w:val="0"/>
                <w:bCs w:val="0"/>
                <w:sz w:val="24"/>
              </w:rPr>
              <w:t>及《</w:t>
            </w:r>
            <w:r>
              <w:rPr>
                <w:rFonts w:hint="eastAsia"/>
                <w:b w:val="0"/>
                <w:bCs w:val="0"/>
                <w:color w:val="auto"/>
                <w:sz w:val="24"/>
                <w:szCs w:val="24"/>
                <w:lang w:eastAsia="zh-CN"/>
              </w:rPr>
              <w:t>河南省重污染天气通用行业应急减排措施制定技术指南（2024年修订版）</w:t>
            </w:r>
            <w:r>
              <w:rPr>
                <w:rFonts w:hint="eastAsia"/>
                <w:b w:val="0"/>
                <w:bCs w:val="0"/>
                <w:sz w:val="24"/>
              </w:rPr>
              <w:t>》</w:t>
            </w:r>
            <w:r>
              <w:rPr>
                <w:rFonts w:hint="eastAsia"/>
                <w:b w:val="0"/>
                <w:bCs w:val="0"/>
                <w:sz w:val="24"/>
                <w:lang w:val="en-US" w:eastAsia="zh-CN"/>
              </w:rPr>
              <w:t>NMHC</w:t>
            </w:r>
            <w:r>
              <w:rPr>
                <w:rFonts w:hint="eastAsia"/>
                <w:b w:val="0"/>
                <w:bCs w:val="0"/>
                <w:sz w:val="24"/>
              </w:rPr>
              <w:t>排放限值为</w:t>
            </w:r>
            <w:r>
              <w:rPr>
                <w:rFonts w:hint="eastAsia"/>
                <w:b w:val="0"/>
                <w:bCs w:val="0"/>
                <w:sz w:val="24"/>
                <w:lang w:val="en-US" w:eastAsia="zh-CN"/>
              </w:rPr>
              <w:t>30</w:t>
            </w:r>
            <w:r>
              <w:rPr>
                <w:rFonts w:hint="eastAsia"/>
                <w:b w:val="0"/>
                <w:bCs w:val="0"/>
                <w:sz w:val="24"/>
              </w:rPr>
              <w:t>mg/m</w:t>
            </w:r>
            <w:r>
              <w:rPr>
                <w:rFonts w:hint="eastAsia"/>
                <w:b w:val="0"/>
                <w:bCs w:val="0"/>
                <w:sz w:val="24"/>
                <w:vertAlign w:val="superscript"/>
              </w:rPr>
              <w:t>3</w:t>
            </w:r>
            <w:r>
              <w:rPr>
                <w:rFonts w:hint="eastAsia"/>
                <w:b w:val="0"/>
                <w:bCs w:val="0"/>
                <w:sz w:val="24"/>
              </w:rPr>
              <w:t>），通过</w:t>
            </w:r>
            <w:r>
              <w:rPr>
                <w:rFonts w:hint="eastAsia"/>
                <w:b w:val="0"/>
                <w:bCs w:val="0"/>
                <w:sz w:val="24"/>
                <w:lang w:val="en-US" w:eastAsia="zh-CN"/>
              </w:rPr>
              <w:t>楼顶专用排气筒排放</w:t>
            </w:r>
            <w:r>
              <w:rPr>
                <w:rFonts w:hint="eastAsia"/>
                <w:b w:val="0"/>
                <w:bCs w:val="0"/>
                <w:sz w:val="24"/>
                <w:lang w:eastAsia="zh-CN"/>
              </w:rPr>
              <w:t>；</w:t>
            </w:r>
            <w:r>
              <w:rPr>
                <w:rFonts w:hint="eastAsia"/>
                <w:b w:val="0"/>
                <w:bCs w:val="0"/>
                <w:color w:val="auto"/>
                <w:lang w:val="en-US" w:eastAsia="zh-CN"/>
              </w:rPr>
              <w:t>食堂油烟</w:t>
            </w:r>
            <w:r>
              <w:rPr>
                <w:rFonts w:hint="eastAsia"/>
                <w:b w:val="0"/>
                <w:bCs w:val="0"/>
                <w:color w:val="auto"/>
              </w:rPr>
              <w:t>经过油烟净化装置处理后</w:t>
            </w:r>
            <w:r>
              <w:rPr>
                <w:rFonts w:hint="eastAsia"/>
                <w:color w:val="auto"/>
              </w:rPr>
              <w:t>满足</w:t>
            </w:r>
            <w:r>
              <w:rPr>
                <w:rFonts w:hint="eastAsia"/>
                <w:color w:val="auto"/>
                <w:lang w:val="en-US" w:eastAsia="zh-CN"/>
              </w:rPr>
              <w:t>河南省地方标准</w:t>
            </w:r>
            <w:r>
              <w:rPr>
                <w:rFonts w:hint="eastAsia"/>
                <w:color w:val="auto"/>
              </w:rPr>
              <w:fldChar w:fldCharType="begin"/>
            </w:r>
            <w:r>
              <w:rPr>
                <w:rFonts w:hint="eastAsia"/>
                <w:color w:val="auto"/>
              </w:rPr>
              <w:instrText xml:space="preserve"> HYPERLINK "http://oss.henan.gov.cn/sbgt-wztipt/attachment/sthjt/portal/cn/rootimages/2018/06/14/20180614153132709.pdf" \t "https://sthjt.henan.gov.cn/2018/06-14/_blank" </w:instrText>
            </w:r>
            <w:r>
              <w:rPr>
                <w:rFonts w:hint="eastAsia"/>
                <w:color w:val="auto"/>
              </w:rPr>
              <w:fldChar w:fldCharType="separate"/>
            </w:r>
            <w:r>
              <w:rPr>
                <w:rFonts w:hint="eastAsia"/>
                <w:color w:val="auto"/>
                <w:lang w:eastAsia="zh-CN"/>
              </w:rPr>
              <w:t>《</w:t>
            </w:r>
            <w:r>
              <w:rPr>
                <w:rFonts w:hint="eastAsia"/>
                <w:color w:val="auto"/>
              </w:rPr>
              <w:t>餐饮业油烟污染物排放标准</w:t>
            </w:r>
            <w:r>
              <w:rPr>
                <w:rFonts w:hint="eastAsia"/>
                <w:color w:val="auto"/>
                <w:lang w:eastAsia="zh-CN"/>
              </w:rPr>
              <w:t>》</w:t>
            </w:r>
            <w:r>
              <w:rPr>
                <w:rFonts w:hint="eastAsia"/>
                <w:color w:val="auto"/>
              </w:rPr>
              <w:fldChar w:fldCharType="end"/>
            </w:r>
            <w:r>
              <w:rPr>
                <w:rFonts w:hint="eastAsia"/>
                <w:color w:val="auto"/>
              </w:rPr>
              <w:t>（DB41/1604—2018）的中要求，通过设置于屋顶的</w:t>
            </w:r>
            <w:r>
              <w:rPr>
                <w:rFonts w:hint="eastAsia"/>
                <w:color w:val="auto"/>
                <w:lang w:val="en-US" w:eastAsia="zh-CN"/>
              </w:rPr>
              <w:t>专用烟道</w:t>
            </w:r>
            <w:r>
              <w:rPr>
                <w:rFonts w:hint="eastAsia"/>
                <w:color w:val="auto"/>
              </w:rPr>
              <w:t>排放。</w:t>
            </w:r>
          </w:p>
          <w:p w14:paraId="61EF07F5">
            <w:pPr>
              <w:adjustRightInd w:val="0"/>
              <w:snapToGrid w:val="0"/>
              <w:spacing w:line="360" w:lineRule="auto"/>
              <w:ind w:firstLine="480" w:firstLineChars="200"/>
              <w:rPr>
                <w:rFonts w:hint="eastAsia"/>
                <w:bCs/>
                <w:sz w:val="24"/>
              </w:rPr>
            </w:pPr>
            <w:r>
              <w:rPr>
                <w:rFonts w:hint="eastAsia"/>
                <w:sz w:val="24"/>
                <w:lang w:val="en-US" w:eastAsia="zh-CN"/>
              </w:rPr>
              <w:t>综上，本项目所有废气</w:t>
            </w:r>
            <w:r>
              <w:rPr>
                <w:rFonts w:hint="eastAsia"/>
                <w:sz w:val="24"/>
              </w:rPr>
              <w:t>经处理后排放的污染物</w:t>
            </w:r>
            <w:r>
              <w:rPr>
                <w:rFonts w:hint="eastAsia"/>
                <w:sz w:val="24"/>
                <w:lang w:val="en-US" w:eastAsia="zh-CN"/>
              </w:rPr>
              <w:t>均</w:t>
            </w:r>
            <w:r>
              <w:rPr>
                <w:rFonts w:hint="eastAsia"/>
                <w:sz w:val="24"/>
              </w:rPr>
              <w:t>能满足</w:t>
            </w:r>
            <w:r>
              <w:rPr>
                <w:rFonts w:hint="eastAsia"/>
                <w:sz w:val="24"/>
                <w:lang w:bidi="ar"/>
              </w:rPr>
              <w:t>相应</w:t>
            </w:r>
            <w:r>
              <w:rPr>
                <w:rFonts w:hint="eastAsia"/>
                <w:sz w:val="24"/>
                <w:lang w:val="en-US" w:eastAsia="zh-CN" w:bidi="ar"/>
              </w:rPr>
              <w:t>标准</w:t>
            </w:r>
            <w:r>
              <w:rPr>
                <w:rFonts w:hint="eastAsia"/>
                <w:bCs/>
                <w:sz w:val="24"/>
              </w:rPr>
              <w:t>，对周围环境影响较小。</w:t>
            </w:r>
          </w:p>
          <w:p w14:paraId="499EBBA9">
            <w:pPr>
              <w:keepNext w:val="0"/>
              <w:keepLines w:val="0"/>
              <w:pageBreakBefore w:val="0"/>
              <w:widowControl w:val="0"/>
              <w:kinsoku/>
              <w:wordWrap w:val="0"/>
              <w:overflowPunct/>
              <w:topLinePunct w:val="0"/>
              <w:autoSpaceDE w:val="0"/>
              <w:autoSpaceDN w:val="0"/>
              <w:bidi w:val="0"/>
              <w:adjustRightInd w:val="0"/>
              <w:snapToGrid w:val="0"/>
              <w:spacing w:line="360" w:lineRule="auto"/>
              <w:ind w:firstLine="0" w:firstLineChars="0"/>
              <w:textAlignment w:val="auto"/>
              <w:rPr>
                <w:rFonts w:hint="default" w:eastAsia="宋体"/>
                <w:sz w:val="24"/>
                <w:lang w:val="en-US" w:eastAsia="zh-CN" w:bidi="ar"/>
              </w:rPr>
            </w:pPr>
            <w:r>
              <w:rPr>
                <w:rFonts w:hint="eastAsia"/>
                <w:b/>
                <w:sz w:val="24"/>
                <w:lang w:val="en-US" w:eastAsia="zh-CN"/>
              </w:rPr>
              <w:t>5污染物排放量核算</w:t>
            </w:r>
          </w:p>
          <w:p w14:paraId="69179176">
            <w:pPr>
              <w:keepNext w:val="0"/>
              <w:keepLines w:val="0"/>
              <w:pageBreakBefore w:val="0"/>
              <w:widowControl w:val="0"/>
              <w:numPr>
                <w:ilvl w:val="0"/>
                <w:numId w:val="9"/>
              </w:numPr>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大气污染物有组织排放量核算表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autofit"/>
              <w:tblCellMar>
                <w:top w:w="0" w:type="dxa"/>
                <w:left w:w="108" w:type="dxa"/>
                <w:bottom w:w="0" w:type="dxa"/>
                <w:right w:w="108" w:type="dxa"/>
              </w:tblCellMar>
            </w:tblPr>
            <w:tblGrid>
              <w:gridCol w:w="1112"/>
              <w:gridCol w:w="1678"/>
              <w:gridCol w:w="995"/>
              <w:gridCol w:w="1588"/>
              <w:gridCol w:w="1429"/>
              <w:gridCol w:w="1285"/>
            </w:tblGrid>
            <w:tr w14:paraId="3428875F">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687" w:type="pct"/>
                  <w:noWrap w:val="0"/>
                  <w:vAlign w:val="center"/>
                </w:tcPr>
                <w:p w14:paraId="5329F7E6">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eastAsia="宋体"/>
                      <w:bCs/>
                      <w:sz w:val="21"/>
                      <w:szCs w:val="21"/>
                      <w:lang w:val="en-US" w:eastAsia="zh-CN"/>
                    </w:rPr>
                  </w:pPr>
                  <w:r>
                    <w:rPr>
                      <w:rFonts w:hint="eastAsia" w:eastAsia="宋体"/>
                      <w:bCs/>
                      <w:sz w:val="21"/>
                      <w:szCs w:val="21"/>
                      <w:lang w:val="en-US" w:eastAsia="zh-CN"/>
                    </w:rPr>
                    <w:t>排放口编号</w:t>
                  </w:r>
                </w:p>
              </w:tc>
              <w:tc>
                <w:tcPr>
                  <w:tcW w:w="1037" w:type="pct"/>
                  <w:noWrap w:val="0"/>
                  <w:vAlign w:val="center"/>
                </w:tcPr>
                <w:p w14:paraId="62337C73">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bCs/>
                      <w:sz w:val="21"/>
                      <w:szCs w:val="21"/>
                      <w:lang w:val="en-US" w:eastAsia="zh-CN"/>
                    </w:rPr>
                  </w:pPr>
                  <w:r>
                    <w:rPr>
                      <w:rFonts w:hint="eastAsia"/>
                      <w:bCs/>
                      <w:sz w:val="21"/>
                      <w:szCs w:val="21"/>
                      <w:lang w:val="en-US" w:eastAsia="zh-CN"/>
                    </w:rPr>
                    <w:t>产污环节</w:t>
                  </w:r>
                </w:p>
              </w:tc>
              <w:tc>
                <w:tcPr>
                  <w:tcW w:w="615" w:type="pct"/>
                  <w:noWrap w:val="0"/>
                  <w:vAlign w:val="center"/>
                </w:tcPr>
                <w:p w14:paraId="3A4ECB52">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eastAsia="宋体"/>
                      <w:bCs/>
                      <w:sz w:val="21"/>
                      <w:szCs w:val="21"/>
                      <w:lang w:val="en-US" w:eastAsia="zh-CN"/>
                    </w:rPr>
                  </w:pPr>
                  <w:r>
                    <w:rPr>
                      <w:rFonts w:hint="eastAsia"/>
                      <w:bCs/>
                      <w:sz w:val="21"/>
                      <w:szCs w:val="21"/>
                      <w:lang w:val="en-US" w:eastAsia="zh-CN"/>
                    </w:rPr>
                    <w:t>污染物</w:t>
                  </w:r>
                </w:p>
              </w:tc>
              <w:tc>
                <w:tcPr>
                  <w:tcW w:w="981" w:type="pct"/>
                  <w:noWrap w:val="0"/>
                  <w:vAlign w:val="center"/>
                </w:tcPr>
                <w:p w14:paraId="29209F56">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eastAsia="宋体"/>
                      <w:bCs/>
                      <w:sz w:val="21"/>
                      <w:szCs w:val="21"/>
                      <w:lang w:val="en-US" w:eastAsia="zh-CN"/>
                    </w:rPr>
                  </w:pPr>
                  <w:r>
                    <w:rPr>
                      <w:rFonts w:hint="eastAsia" w:eastAsia="宋体"/>
                      <w:bCs/>
                      <w:sz w:val="21"/>
                      <w:szCs w:val="21"/>
                      <w:lang w:val="en-US" w:eastAsia="zh-CN"/>
                    </w:rPr>
                    <w:t>核算排放浓度（mg/m</w:t>
                  </w:r>
                  <w:r>
                    <w:rPr>
                      <w:rFonts w:hint="eastAsia" w:eastAsia="宋体"/>
                      <w:bCs/>
                      <w:sz w:val="21"/>
                      <w:szCs w:val="21"/>
                      <w:vertAlign w:val="superscript"/>
                      <w:lang w:val="en-US" w:eastAsia="zh-CN"/>
                    </w:rPr>
                    <w:t>3</w:t>
                  </w:r>
                  <w:r>
                    <w:rPr>
                      <w:rFonts w:hint="eastAsia" w:eastAsia="宋体"/>
                      <w:bCs/>
                      <w:sz w:val="21"/>
                      <w:szCs w:val="21"/>
                      <w:lang w:val="en-US" w:eastAsia="zh-CN"/>
                    </w:rPr>
                    <w:t>）</w:t>
                  </w:r>
                </w:p>
              </w:tc>
              <w:tc>
                <w:tcPr>
                  <w:tcW w:w="883" w:type="pct"/>
                  <w:noWrap w:val="0"/>
                  <w:vAlign w:val="center"/>
                </w:tcPr>
                <w:p w14:paraId="752C6FEC">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eastAsia="宋体"/>
                      <w:bCs/>
                      <w:sz w:val="21"/>
                      <w:szCs w:val="21"/>
                      <w:lang w:val="en-US" w:eastAsia="zh-CN"/>
                    </w:rPr>
                  </w:pPr>
                  <w:r>
                    <w:rPr>
                      <w:rFonts w:hint="eastAsia"/>
                      <w:bCs/>
                      <w:sz w:val="21"/>
                      <w:szCs w:val="21"/>
                      <w:lang w:val="en-US" w:eastAsia="zh-CN"/>
                    </w:rPr>
                    <w:t>核算排放速率（kg/h）</w:t>
                  </w:r>
                </w:p>
              </w:tc>
              <w:tc>
                <w:tcPr>
                  <w:tcW w:w="794" w:type="pct"/>
                  <w:noWrap w:val="0"/>
                  <w:vAlign w:val="center"/>
                </w:tcPr>
                <w:p w14:paraId="26A39CAF">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eastAsia="宋体"/>
                      <w:bCs/>
                      <w:sz w:val="21"/>
                      <w:szCs w:val="21"/>
                      <w:lang w:val="en-US" w:eastAsia="zh-CN" w:bidi="ar"/>
                    </w:rPr>
                  </w:pPr>
                  <w:r>
                    <w:rPr>
                      <w:rFonts w:hint="eastAsia"/>
                      <w:bCs/>
                      <w:sz w:val="21"/>
                      <w:szCs w:val="21"/>
                      <w:lang w:val="en-US" w:eastAsia="zh-CN" w:bidi="ar"/>
                    </w:rPr>
                    <w:t>核算年排放量（t/a）</w:t>
                  </w:r>
                </w:p>
              </w:tc>
            </w:tr>
            <w:tr w14:paraId="0D43ADA5">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687" w:type="pct"/>
                  <w:shd w:val="clear" w:color="auto" w:fill="auto"/>
                  <w:noWrap w:val="0"/>
                  <w:vAlign w:val="center"/>
                </w:tcPr>
                <w:p w14:paraId="013F9ACF">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DA00</w:t>
                  </w:r>
                  <w:r>
                    <w:rPr>
                      <w:rFonts w:hint="eastAsia" w:ascii="Times New Roman" w:hAnsi="Times New Roman" w:eastAsia="宋体" w:cs="Times New Roman"/>
                      <w:color w:val="auto"/>
                      <w:sz w:val="21"/>
                      <w:szCs w:val="21"/>
                      <w:lang w:val="en-US" w:eastAsia="zh-CN"/>
                    </w:rPr>
                    <w:t>1</w:t>
                  </w:r>
                </w:p>
              </w:tc>
              <w:tc>
                <w:tcPr>
                  <w:tcW w:w="1037" w:type="pct"/>
                  <w:shd w:val="clear" w:color="auto" w:fill="auto"/>
                  <w:noWrap w:val="0"/>
                  <w:vAlign w:val="center"/>
                </w:tcPr>
                <w:p w14:paraId="106173C2">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中药材异味排气筒</w:t>
                  </w:r>
                </w:p>
              </w:tc>
              <w:tc>
                <w:tcPr>
                  <w:tcW w:w="615" w:type="pct"/>
                  <w:shd w:val="clear" w:color="auto" w:fill="auto"/>
                  <w:noWrap w:val="0"/>
                  <w:vAlign w:val="center"/>
                </w:tcPr>
                <w:p w14:paraId="3F9C358E">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臭气浓度</w:t>
                  </w:r>
                </w:p>
              </w:tc>
              <w:tc>
                <w:tcPr>
                  <w:tcW w:w="981" w:type="pct"/>
                  <w:noWrap w:val="0"/>
                  <w:vAlign w:val="center"/>
                </w:tcPr>
                <w:p w14:paraId="22AF4396">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bCs/>
                      <w:sz w:val="21"/>
                      <w:szCs w:val="21"/>
                      <w:lang w:val="en-US" w:eastAsia="zh-CN" w:bidi="ar"/>
                    </w:rPr>
                  </w:pPr>
                  <w:r>
                    <w:rPr>
                      <w:rFonts w:hint="eastAsia"/>
                      <w:bCs/>
                      <w:sz w:val="21"/>
                      <w:szCs w:val="21"/>
                      <w:lang w:val="en-US" w:eastAsia="zh-CN" w:bidi="ar"/>
                    </w:rPr>
                    <w:t>&lt;2000</w:t>
                  </w:r>
                  <w:r>
                    <w:rPr>
                      <w:rFonts w:hint="eastAsia" w:ascii="Times New Roman" w:hAnsi="Times New Roman" w:eastAsia="宋体" w:cs="Times New Roman"/>
                      <w:color w:val="auto"/>
                      <w:sz w:val="21"/>
                      <w:szCs w:val="21"/>
                      <w:lang w:val="en-US" w:eastAsia="zh-CN"/>
                    </w:rPr>
                    <w:t>（无量纲）</w:t>
                  </w:r>
                </w:p>
              </w:tc>
              <w:tc>
                <w:tcPr>
                  <w:tcW w:w="883" w:type="pct"/>
                  <w:noWrap w:val="0"/>
                  <w:vAlign w:val="center"/>
                </w:tcPr>
                <w:p w14:paraId="5CD0E098">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eastAsia="宋体" w:cs="宋体"/>
                      <w:bCs/>
                      <w:sz w:val="21"/>
                      <w:szCs w:val="21"/>
                      <w:lang w:val="en-US" w:eastAsia="zh-CN" w:bidi="ar"/>
                    </w:rPr>
                  </w:pPr>
                  <w:r>
                    <w:rPr>
                      <w:rFonts w:hint="eastAsia" w:eastAsia="宋体" w:cs="宋体"/>
                      <w:bCs/>
                      <w:sz w:val="21"/>
                      <w:szCs w:val="21"/>
                      <w:lang w:val="en-US" w:eastAsia="zh-CN" w:bidi="ar"/>
                    </w:rPr>
                    <w:t>/</w:t>
                  </w:r>
                </w:p>
              </w:tc>
              <w:tc>
                <w:tcPr>
                  <w:tcW w:w="794" w:type="pct"/>
                  <w:noWrap w:val="0"/>
                  <w:vAlign w:val="center"/>
                </w:tcPr>
                <w:p w14:paraId="630A7E51">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eastAsia="宋体"/>
                      <w:bCs/>
                      <w:sz w:val="21"/>
                      <w:szCs w:val="21"/>
                      <w:lang w:val="en-US" w:eastAsia="zh-CN" w:bidi="ar"/>
                    </w:rPr>
                  </w:pPr>
                  <w:r>
                    <w:rPr>
                      <w:rFonts w:hint="eastAsia" w:eastAsia="宋体"/>
                      <w:bCs/>
                      <w:sz w:val="21"/>
                      <w:szCs w:val="21"/>
                      <w:lang w:val="en-US" w:eastAsia="zh-CN" w:bidi="ar"/>
                    </w:rPr>
                    <w:t>/</w:t>
                  </w:r>
                </w:p>
              </w:tc>
            </w:tr>
            <w:tr w14:paraId="719E188B">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687" w:type="pct"/>
                  <w:shd w:val="clear" w:color="auto" w:fill="auto"/>
                  <w:noWrap w:val="0"/>
                  <w:vAlign w:val="center"/>
                </w:tcPr>
                <w:p w14:paraId="654A101E">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DA00</w:t>
                  </w:r>
                  <w:r>
                    <w:rPr>
                      <w:rFonts w:hint="eastAsia" w:ascii="Times New Roman" w:hAnsi="Times New Roman" w:eastAsia="宋体" w:cs="Times New Roman"/>
                      <w:color w:val="auto"/>
                      <w:sz w:val="21"/>
                      <w:szCs w:val="21"/>
                      <w:lang w:val="en-US" w:eastAsia="zh-CN"/>
                    </w:rPr>
                    <w:t>2</w:t>
                  </w:r>
                </w:p>
              </w:tc>
              <w:tc>
                <w:tcPr>
                  <w:tcW w:w="1037" w:type="pct"/>
                  <w:shd w:val="clear" w:color="auto" w:fill="auto"/>
                  <w:noWrap w:val="0"/>
                  <w:vAlign w:val="center"/>
                </w:tcPr>
                <w:p w14:paraId="08D577AF">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普通</w:t>
                  </w:r>
                  <w:r>
                    <w:rPr>
                      <w:rFonts w:hint="eastAsia" w:ascii="Times New Roman" w:hAnsi="Times New Roman" w:eastAsia="宋体" w:cs="Times New Roman"/>
                      <w:color w:val="auto"/>
                      <w:sz w:val="21"/>
                      <w:szCs w:val="21"/>
                    </w:rPr>
                    <w:t>中药饮片车间干燥、炒制、粉碎、筛分</w:t>
                  </w:r>
                  <w:r>
                    <w:rPr>
                      <w:rFonts w:hint="eastAsia" w:ascii="Times New Roman" w:hAnsi="Times New Roman" w:eastAsia="宋体" w:cs="Times New Roman"/>
                      <w:color w:val="auto"/>
                      <w:sz w:val="21"/>
                      <w:szCs w:val="21"/>
                      <w:lang w:val="en-US" w:eastAsia="zh-CN"/>
                    </w:rPr>
                    <w:t>工序排气筒</w:t>
                  </w:r>
                </w:p>
              </w:tc>
              <w:tc>
                <w:tcPr>
                  <w:tcW w:w="615" w:type="pct"/>
                  <w:shd w:val="clear" w:color="auto" w:fill="auto"/>
                  <w:noWrap w:val="0"/>
                  <w:vAlign w:val="center"/>
                </w:tcPr>
                <w:p w14:paraId="6663DB56">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颗粒物</w:t>
                  </w:r>
                </w:p>
              </w:tc>
              <w:tc>
                <w:tcPr>
                  <w:tcW w:w="981" w:type="pct"/>
                  <w:noWrap w:val="0"/>
                  <w:vAlign w:val="center"/>
                </w:tcPr>
                <w:p w14:paraId="7E029E40">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bCs/>
                      <w:sz w:val="21"/>
                      <w:szCs w:val="21"/>
                      <w:lang w:val="en-US" w:eastAsia="zh-CN" w:bidi="ar"/>
                    </w:rPr>
                  </w:pPr>
                  <w:r>
                    <w:rPr>
                      <w:rFonts w:hint="eastAsia" w:cs="宋体"/>
                      <w:bCs/>
                      <w:sz w:val="21"/>
                      <w:szCs w:val="21"/>
                      <w:lang w:val="en-US" w:eastAsia="zh-CN" w:bidi="ar"/>
                    </w:rPr>
                    <w:t>2.0</w:t>
                  </w:r>
                </w:p>
              </w:tc>
              <w:tc>
                <w:tcPr>
                  <w:tcW w:w="883" w:type="pct"/>
                  <w:noWrap w:val="0"/>
                  <w:vAlign w:val="center"/>
                </w:tcPr>
                <w:p w14:paraId="1AA38253">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cs="宋体"/>
                      <w:bCs/>
                      <w:sz w:val="21"/>
                      <w:szCs w:val="21"/>
                      <w:lang w:val="en-US" w:eastAsia="zh-CN" w:bidi="ar"/>
                    </w:rPr>
                  </w:pPr>
                  <w:r>
                    <w:rPr>
                      <w:rFonts w:hint="eastAsia" w:cs="宋体"/>
                      <w:bCs/>
                      <w:sz w:val="21"/>
                      <w:szCs w:val="21"/>
                      <w:lang w:val="en-US" w:eastAsia="zh-CN" w:bidi="ar"/>
                    </w:rPr>
                    <w:t>0.0297</w:t>
                  </w:r>
                </w:p>
              </w:tc>
              <w:tc>
                <w:tcPr>
                  <w:tcW w:w="794" w:type="pct"/>
                  <w:noWrap w:val="0"/>
                  <w:vAlign w:val="center"/>
                </w:tcPr>
                <w:p w14:paraId="347A6150">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bCs/>
                      <w:sz w:val="21"/>
                      <w:szCs w:val="21"/>
                      <w:lang w:val="en-US" w:eastAsia="zh-CN" w:bidi="ar"/>
                    </w:rPr>
                  </w:pPr>
                  <w:r>
                    <w:rPr>
                      <w:rFonts w:hint="eastAsia"/>
                      <w:bCs/>
                      <w:sz w:val="21"/>
                      <w:szCs w:val="21"/>
                      <w:lang w:val="en-US" w:eastAsia="zh-CN" w:bidi="ar"/>
                    </w:rPr>
                    <w:t>0.0760</w:t>
                  </w:r>
                </w:p>
              </w:tc>
            </w:tr>
            <w:tr w14:paraId="5D1A44EC">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687" w:type="pct"/>
                  <w:shd w:val="clear" w:color="auto" w:fill="auto"/>
                  <w:noWrap w:val="0"/>
                  <w:vAlign w:val="center"/>
                </w:tcPr>
                <w:p w14:paraId="6B2B3C24">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DA00</w:t>
                  </w:r>
                  <w:r>
                    <w:rPr>
                      <w:rFonts w:hint="eastAsia" w:ascii="Times New Roman" w:hAnsi="Times New Roman" w:eastAsia="宋体" w:cs="Times New Roman"/>
                      <w:color w:val="auto"/>
                      <w:sz w:val="21"/>
                      <w:szCs w:val="21"/>
                      <w:lang w:val="en-US" w:eastAsia="zh-CN"/>
                    </w:rPr>
                    <w:t>3</w:t>
                  </w:r>
                </w:p>
              </w:tc>
              <w:tc>
                <w:tcPr>
                  <w:tcW w:w="1037" w:type="pct"/>
                  <w:shd w:val="clear" w:color="auto" w:fill="auto"/>
                  <w:noWrap w:val="0"/>
                  <w:vAlign w:val="center"/>
                </w:tcPr>
                <w:p w14:paraId="456172AA">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毒性</w:t>
                  </w:r>
                  <w:r>
                    <w:rPr>
                      <w:rFonts w:hint="eastAsia" w:ascii="Times New Roman" w:hAnsi="Times New Roman" w:eastAsia="宋体" w:cs="Times New Roman"/>
                      <w:color w:val="auto"/>
                      <w:sz w:val="21"/>
                      <w:szCs w:val="21"/>
                    </w:rPr>
                    <w:t>中药饮片车间干燥、</w:t>
                  </w:r>
                  <w:r>
                    <w:rPr>
                      <w:rFonts w:hint="eastAsia" w:ascii="Times New Roman" w:hAnsi="Times New Roman" w:eastAsia="宋体" w:cs="Times New Roman"/>
                      <w:color w:val="auto"/>
                      <w:sz w:val="21"/>
                      <w:szCs w:val="21"/>
                      <w:lang w:val="en-US" w:eastAsia="zh-CN"/>
                    </w:rPr>
                    <w:t>切制工序排气筒</w:t>
                  </w:r>
                </w:p>
              </w:tc>
              <w:tc>
                <w:tcPr>
                  <w:tcW w:w="615" w:type="pct"/>
                  <w:shd w:val="clear" w:color="auto" w:fill="auto"/>
                  <w:noWrap w:val="0"/>
                  <w:vAlign w:val="center"/>
                </w:tcPr>
                <w:p w14:paraId="3D18F108">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颗粒物</w:t>
                  </w:r>
                </w:p>
              </w:tc>
              <w:tc>
                <w:tcPr>
                  <w:tcW w:w="981" w:type="pct"/>
                  <w:shd w:val="clear" w:color="auto" w:fill="auto"/>
                  <w:noWrap w:val="0"/>
                  <w:vAlign w:val="center"/>
                </w:tcPr>
                <w:p w14:paraId="465485B8">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kern w:val="2"/>
                      <w:sz w:val="21"/>
                      <w:szCs w:val="21"/>
                      <w:lang w:val="en-US" w:eastAsia="zh-CN" w:bidi="ar"/>
                    </w:rPr>
                  </w:pPr>
                  <w:r>
                    <w:rPr>
                      <w:rFonts w:hint="eastAsia"/>
                      <w:bCs/>
                      <w:sz w:val="21"/>
                      <w:szCs w:val="21"/>
                      <w:lang w:val="en-US" w:eastAsia="zh-CN" w:bidi="ar"/>
                    </w:rPr>
                    <w:t>1.5</w:t>
                  </w:r>
                </w:p>
              </w:tc>
              <w:tc>
                <w:tcPr>
                  <w:tcW w:w="883" w:type="pct"/>
                  <w:shd w:val="clear" w:color="auto" w:fill="auto"/>
                  <w:noWrap w:val="0"/>
                  <w:vAlign w:val="center"/>
                </w:tcPr>
                <w:p w14:paraId="1D6DCC8A">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bCs/>
                      <w:kern w:val="2"/>
                      <w:sz w:val="21"/>
                      <w:szCs w:val="21"/>
                      <w:lang w:val="en-US" w:eastAsia="zh-CN" w:bidi="ar"/>
                    </w:rPr>
                  </w:pPr>
                  <w:r>
                    <w:rPr>
                      <w:rFonts w:hint="eastAsia" w:cs="宋体"/>
                      <w:bCs/>
                      <w:sz w:val="21"/>
                      <w:szCs w:val="21"/>
                      <w:lang w:val="en-US" w:eastAsia="zh-CN" w:bidi="ar"/>
                    </w:rPr>
                    <w:t>0.0030</w:t>
                  </w:r>
                </w:p>
              </w:tc>
              <w:tc>
                <w:tcPr>
                  <w:tcW w:w="794" w:type="pct"/>
                  <w:shd w:val="clear" w:color="auto" w:fill="auto"/>
                  <w:noWrap w:val="0"/>
                  <w:vAlign w:val="center"/>
                </w:tcPr>
                <w:p w14:paraId="674CB552">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kern w:val="2"/>
                      <w:sz w:val="21"/>
                      <w:szCs w:val="21"/>
                      <w:lang w:val="en-US" w:eastAsia="zh-CN" w:bidi="ar"/>
                    </w:rPr>
                  </w:pPr>
                  <w:r>
                    <w:rPr>
                      <w:rFonts w:hint="eastAsia"/>
                      <w:bCs/>
                      <w:sz w:val="21"/>
                      <w:szCs w:val="21"/>
                      <w:lang w:val="en-US" w:eastAsia="zh-CN" w:bidi="ar"/>
                    </w:rPr>
                    <w:t>0.0076</w:t>
                  </w:r>
                </w:p>
              </w:tc>
            </w:tr>
            <w:tr w14:paraId="14FB19DE">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687" w:type="pct"/>
                  <w:shd w:val="clear" w:color="auto" w:fill="auto"/>
                  <w:noWrap w:val="0"/>
                  <w:vAlign w:val="center"/>
                </w:tcPr>
                <w:p w14:paraId="48596BA2">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DA00</w:t>
                  </w:r>
                  <w:r>
                    <w:rPr>
                      <w:rFonts w:hint="eastAsia" w:ascii="Times New Roman" w:hAnsi="Times New Roman" w:eastAsia="宋体" w:cs="Times New Roman"/>
                      <w:color w:val="auto"/>
                      <w:sz w:val="21"/>
                      <w:szCs w:val="21"/>
                      <w:lang w:val="en-US" w:eastAsia="zh-CN"/>
                    </w:rPr>
                    <w:t>4</w:t>
                  </w:r>
                </w:p>
              </w:tc>
              <w:tc>
                <w:tcPr>
                  <w:tcW w:w="1037" w:type="pct"/>
                  <w:shd w:val="clear" w:color="auto" w:fill="auto"/>
                  <w:noWrap w:val="0"/>
                  <w:vAlign w:val="center"/>
                </w:tcPr>
                <w:p w14:paraId="25F7B9B6">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口服饮片车间、颗粒剂车间及制丸车间排气筒</w:t>
                  </w:r>
                </w:p>
              </w:tc>
              <w:tc>
                <w:tcPr>
                  <w:tcW w:w="615" w:type="pct"/>
                  <w:shd w:val="clear" w:color="auto" w:fill="auto"/>
                  <w:noWrap w:val="0"/>
                  <w:vAlign w:val="center"/>
                </w:tcPr>
                <w:p w14:paraId="3BD2F2C1">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颗粒物</w:t>
                  </w:r>
                </w:p>
              </w:tc>
              <w:tc>
                <w:tcPr>
                  <w:tcW w:w="981" w:type="pct"/>
                  <w:shd w:val="clear" w:color="auto" w:fill="auto"/>
                  <w:noWrap w:val="0"/>
                  <w:vAlign w:val="center"/>
                </w:tcPr>
                <w:p w14:paraId="7657DD0F">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bCs/>
                      <w:sz w:val="21"/>
                      <w:szCs w:val="21"/>
                      <w:lang w:val="en-US" w:eastAsia="zh-CN" w:bidi="ar"/>
                    </w:rPr>
                    <w:t>7</w:t>
                  </w:r>
                </w:p>
              </w:tc>
              <w:tc>
                <w:tcPr>
                  <w:tcW w:w="883" w:type="pct"/>
                  <w:shd w:val="clear" w:color="auto" w:fill="auto"/>
                  <w:noWrap w:val="0"/>
                  <w:vAlign w:val="center"/>
                </w:tcPr>
                <w:p w14:paraId="1810328E">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bCs/>
                      <w:kern w:val="2"/>
                      <w:sz w:val="21"/>
                      <w:szCs w:val="21"/>
                      <w:lang w:val="en-US" w:eastAsia="zh-CN" w:bidi="ar"/>
                    </w:rPr>
                  </w:pPr>
                  <w:r>
                    <w:rPr>
                      <w:rFonts w:hint="eastAsia" w:cs="宋体"/>
                      <w:bCs/>
                      <w:sz w:val="21"/>
                      <w:szCs w:val="21"/>
                      <w:lang w:val="en-US" w:eastAsia="zh-CN" w:bidi="ar"/>
                    </w:rPr>
                    <w:t>0.035</w:t>
                  </w:r>
                </w:p>
              </w:tc>
              <w:tc>
                <w:tcPr>
                  <w:tcW w:w="794" w:type="pct"/>
                  <w:shd w:val="clear" w:color="auto" w:fill="auto"/>
                  <w:noWrap w:val="0"/>
                  <w:vAlign w:val="center"/>
                </w:tcPr>
                <w:p w14:paraId="53074131">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kern w:val="2"/>
                      <w:sz w:val="21"/>
                      <w:szCs w:val="21"/>
                      <w:lang w:val="en-US" w:eastAsia="zh-CN" w:bidi="ar"/>
                    </w:rPr>
                  </w:pPr>
                  <w:r>
                    <w:rPr>
                      <w:rFonts w:hint="eastAsia"/>
                      <w:bCs/>
                      <w:sz w:val="21"/>
                      <w:szCs w:val="21"/>
                      <w:lang w:val="en-US" w:eastAsia="zh-CN" w:bidi="ar"/>
                    </w:rPr>
                    <w:t>0.0525</w:t>
                  </w:r>
                </w:p>
              </w:tc>
            </w:tr>
            <w:tr w14:paraId="7A947753">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687" w:type="pct"/>
                  <w:vMerge w:val="restart"/>
                  <w:shd w:val="clear" w:color="auto" w:fill="auto"/>
                  <w:noWrap w:val="0"/>
                  <w:vAlign w:val="center"/>
                </w:tcPr>
                <w:p w14:paraId="668C3836">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DA00</w:t>
                  </w:r>
                  <w:r>
                    <w:rPr>
                      <w:rFonts w:hint="eastAsia" w:ascii="Times New Roman" w:hAnsi="Times New Roman" w:eastAsia="宋体" w:cs="Times New Roman"/>
                      <w:color w:val="auto"/>
                      <w:sz w:val="21"/>
                      <w:szCs w:val="21"/>
                      <w:lang w:val="en-US" w:eastAsia="zh-CN"/>
                    </w:rPr>
                    <w:t>5</w:t>
                  </w:r>
                </w:p>
              </w:tc>
              <w:tc>
                <w:tcPr>
                  <w:tcW w:w="1037" w:type="pct"/>
                  <w:vMerge w:val="restart"/>
                  <w:shd w:val="clear" w:color="auto" w:fill="auto"/>
                  <w:noWrap w:val="0"/>
                  <w:vAlign w:val="center"/>
                </w:tcPr>
                <w:p w14:paraId="43E1110F">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污水处理站</w:t>
                  </w:r>
                  <w:r>
                    <w:rPr>
                      <w:rFonts w:hint="eastAsia" w:ascii="Times New Roman" w:hAnsi="Times New Roman" w:eastAsia="宋体" w:cs="Times New Roman"/>
                      <w:color w:val="auto"/>
                      <w:sz w:val="21"/>
                      <w:szCs w:val="21"/>
                      <w:lang w:val="en-US" w:eastAsia="zh-CN"/>
                    </w:rPr>
                    <w:t>除臭装置排气筒</w:t>
                  </w:r>
                </w:p>
              </w:tc>
              <w:tc>
                <w:tcPr>
                  <w:tcW w:w="615" w:type="pct"/>
                  <w:shd w:val="clear" w:color="auto" w:fill="auto"/>
                  <w:noWrap w:val="0"/>
                  <w:vAlign w:val="center"/>
                </w:tcPr>
                <w:p w14:paraId="118E8ABA">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NH</w:t>
                  </w:r>
                  <w:r>
                    <w:rPr>
                      <w:rFonts w:hint="eastAsia" w:ascii="Times New Roman" w:hAnsi="Times New Roman" w:eastAsia="宋体" w:cs="Times New Roman"/>
                      <w:color w:val="auto"/>
                      <w:sz w:val="21"/>
                      <w:szCs w:val="21"/>
                      <w:vertAlign w:val="subscript"/>
                      <w:lang w:val="en-US" w:eastAsia="zh-CN"/>
                    </w:rPr>
                    <w:t>3</w:t>
                  </w:r>
                </w:p>
              </w:tc>
              <w:tc>
                <w:tcPr>
                  <w:tcW w:w="981" w:type="pct"/>
                  <w:shd w:val="clear" w:color="auto" w:fill="auto"/>
                  <w:noWrap w:val="0"/>
                  <w:vAlign w:val="center"/>
                </w:tcPr>
                <w:p w14:paraId="24F54D92">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kern w:val="2"/>
                      <w:sz w:val="21"/>
                      <w:szCs w:val="21"/>
                      <w:lang w:val="en-US" w:eastAsia="zh-CN" w:bidi="ar"/>
                    </w:rPr>
                  </w:pPr>
                  <w:r>
                    <w:rPr>
                      <w:rFonts w:hint="eastAsia"/>
                      <w:color w:val="auto"/>
                      <w:sz w:val="21"/>
                      <w:szCs w:val="21"/>
                    </w:rPr>
                    <w:t>0.0</w:t>
                  </w:r>
                  <w:r>
                    <w:rPr>
                      <w:rFonts w:hint="eastAsia"/>
                      <w:color w:val="auto"/>
                      <w:sz w:val="21"/>
                      <w:szCs w:val="21"/>
                      <w:lang w:val="en-US" w:eastAsia="zh-CN"/>
                    </w:rPr>
                    <w:t>825</w:t>
                  </w:r>
                </w:p>
              </w:tc>
              <w:tc>
                <w:tcPr>
                  <w:tcW w:w="883" w:type="pct"/>
                  <w:shd w:val="clear" w:color="auto" w:fill="auto"/>
                  <w:noWrap w:val="0"/>
                  <w:vAlign w:val="center"/>
                </w:tcPr>
                <w:p w14:paraId="70B37834">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bCs/>
                      <w:kern w:val="2"/>
                      <w:sz w:val="21"/>
                      <w:szCs w:val="21"/>
                      <w:lang w:val="en-US" w:eastAsia="zh-CN" w:bidi="ar"/>
                    </w:rPr>
                  </w:pPr>
                  <w:r>
                    <w:rPr>
                      <w:rFonts w:hint="eastAsia"/>
                      <w:color w:val="auto"/>
                      <w:sz w:val="21"/>
                      <w:szCs w:val="21"/>
                      <w:lang w:val="en-US" w:eastAsia="zh-CN"/>
                    </w:rPr>
                    <w:t>0017</w:t>
                  </w:r>
                </w:p>
              </w:tc>
              <w:tc>
                <w:tcPr>
                  <w:tcW w:w="794" w:type="pct"/>
                  <w:shd w:val="clear" w:color="auto" w:fill="auto"/>
                  <w:noWrap w:val="0"/>
                  <w:vAlign w:val="center"/>
                </w:tcPr>
                <w:p w14:paraId="5D89D58B">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kern w:val="2"/>
                      <w:sz w:val="21"/>
                      <w:szCs w:val="21"/>
                      <w:lang w:val="en-US" w:eastAsia="zh-CN" w:bidi="ar"/>
                    </w:rPr>
                  </w:pPr>
                  <w:r>
                    <w:rPr>
                      <w:rFonts w:hint="eastAsia"/>
                      <w:color w:val="auto"/>
                      <w:sz w:val="21"/>
                      <w:szCs w:val="21"/>
                    </w:rPr>
                    <w:t>0</w:t>
                  </w:r>
                  <w:r>
                    <w:rPr>
                      <w:rFonts w:hint="eastAsia"/>
                      <w:color w:val="auto"/>
                      <w:sz w:val="21"/>
                      <w:szCs w:val="21"/>
                      <w:lang w:val="en-US" w:eastAsia="zh-CN"/>
                    </w:rPr>
                    <w:t>.0126</w:t>
                  </w:r>
                </w:p>
              </w:tc>
            </w:tr>
            <w:tr w14:paraId="0E925167">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687" w:type="pct"/>
                  <w:vMerge w:val="continue"/>
                  <w:shd w:val="clear" w:color="auto" w:fill="auto"/>
                  <w:noWrap w:val="0"/>
                  <w:vAlign w:val="center"/>
                </w:tcPr>
                <w:p w14:paraId="7210D9FE">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21"/>
                      <w:szCs w:val="21"/>
                    </w:rPr>
                  </w:pPr>
                </w:p>
              </w:tc>
              <w:tc>
                <w:tcPr>
                  <w:tcW w:w="1037" w:type="pct"/>
                  <w:vMerge w:val="continue"/>
                  <w:shd w:val="clear" w:color="auto" w:fill="auto"/>
                  <w:noWrap w:val="0"/>
                  <w:vAlign w:val="center"/>
                </w:tcPr>
                <w:p w14:paraId="1C452032">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21"/>
                      <w:szCs w:val="21"/>
                    </w:rPr>
                  </w:pPr>
                </w:p>
              </w:tc>
              <w:tc>
                <w:tcPr>
                  <w:tcW w:w="615" w:type="pct"/>
                  <w:shd w:val="clear" w:color="auto" w:fill="auto"/>
                  <w:noWrap w:val="0"/>
                  <w:vAlign w:val="center"/>
                </w:tcPr>
                <w:p w14:paraId="10653E5F">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H</w:t>
                  </w:r>
                  <w:r>
                    <w:rPr>
                      <w:rFonts w:hint="eastAsia" w:ascii="Times New Roman" w:hAnsi="Times New Roman" w:eastAsia="宋体" w:cs="Times New Roman"/>
                      <w:color w:val="auto"/>
                      <w:sz w:val="21"/>
                      <w:szCs w:val="21"/>
                      <w:vertAlign w:val="subscript"/>
                      <w:lang w:val="en-US" w:eastAsia="zh-CN"/>
                    </w:rPr>
                    <w:t>2</w:t>
                  </w:r>
                  <w:r>
                    <w:rPr>
                      <w:rFonts w:hint="eastAsia" w:ascii="Times New Roman" w:hAnsi="Times New Roman" w:eastAsia="宋体" w:cs="Times New Roman"/>
                      <w:color w:val="auto"/>
                      <w:sz w:val="21"/>
                      <w:szCs w:val="21"/>
                      <w:lang w:val="en-US" w:eastAsia="zh-CN"/>
                    </w:rPr>
                    <w:t>S</w:t>
                  </w:r>
                </w:p>
              </w:tc>
              <w:tc>
                <w:tcPr>
                  <w:tcW w:w="981" w:type="pct"/>
                  <w:shd w:val="clear" w:color="auto" w:fill="auto"/>
                  <w:noWrap w:val="0"/>
                  <w:vAlign w:val="center"/>
                </w:tcPr>
                <w:p w14:paraId="1DF3E7DF">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kern w:val="2"/>
                      <w:sz w:val="21"/>
                      <w:szCs w:val="21"/>
                      <w:lang w:val="en-US" w:eastAsia="zh-CN" w:bidi="ar"/>
                    </w:rPr>
                  </w:pPr>
                  <w:r>
                    <w:rPr>
                      <w:rFonts w:hint="eastAsia"/>
                      <w:color w:val="auto"/>
                      <w:sz w:val="21"/>
                      <w:szCs w:val="21"/>
                    </w:rPr>
                    <w:t>0.00</w:t>
                  </w:r>
                  <w:r>
                    <w:rPr>
                      <w:rFonts w:hint="eastAsia"/>
                      <w:color w:val="auto"/>
                      <w:sz w:val="21"/>
                      <w:szCs w:val="21"/>
                      <w:lang w:val="en-US" w:eastAsia="zh-CN"/>
                    </w:rPr>
                    <w:t>3</w:t>
                  </w:r>
                </w:p>
              </w:tc>
              <w:tc>
                <w:tcPr>
                  <w:tcW w:w="883" w:type="pct"/>
                  <w:shd w:val="clear" w:color="auto" w:fill="auto"/>
                  <w:noWrap w:val="0"/>
                  <w:vAlign w:val="center"/>
                </w:tcPr>
                <w:p w14:paraId="310A9171">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bCs/>
                      <w:kern w:val="2"/>
                      <w:sz w:val="21"/>
                      <w:szCs w:val="21"/>
                      <w:lang w:val="en-US" w:eastAsia="zh-CN" w:bidi="ar"/>
                    </w:rPr>
                  </w:pPr>
                  <w:r>
                    <w:rPr>
                      <w:rFonts w:hint="eastAsia"/>
                      <w:color w:val="auto"/>
                      <w:sz w:val="21"/>
                      <w:szCs w:val="21"/>
                      <w:lang w:val="en-US" w:eastAsia="zh-CN"/>
                    </w:rPr>
                    <w:t>0.0002</w:t>
                  </w:r>
                </w:p>
              </w:tc>
              <w:tc>
                <w:tcPr>
                  <w:tcW w:w="794" w:type="pct"/>
                  <w:shd w:val="clear" w:color="auto" w:fill="auto"/>
                  <w:noWrap w:val="0"/>
                  <w:vAlign w:val="center"/>
                </w:tcPr>
                <w:p w14:paraId="45EC5316">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kern w:val="2"/>
                      <w:sz w:val="21"/>
                      <w:szCs w:val="21"/>
                      <w:lang w:val="en-US" w:eastAsia="zh-CN" w:bidi="ar"/>
                    </w:rPr>
                  </w:pPr>
                  <w:r>
                    <w:rPr>
                      <w:rFonts w:hint="eastAsia"/>
                      <w:color w:val="auto"/>
                      <w:sz w:val="21"/>
                      <w:szCs w:val="21"/>
                    </w:rPr>
                    <w:t>0</w:t>
                  </w:r>
                  <w:r>
                    <w:rPr>
                      <w:rFonts w:hint="eastAsia"/>
                      <w:color w:val="auto"/>
                      <w:sz w:val="21"/>
                      <w:szCs w:val="21"/>
                      <w:lang w:val="en-US" w:eastAsia="zh-CN"/>
                    </w:rPr>
                    <w:t>.0013</w:t>
                  </w:r>
                </w:p>
              </w:tc>
            </w:tr>
            <w:tr w14:paraId="1FD9D051">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687" w:type="pct"/>
                  <w:shd w:val="clear" w:color="auto" w:fill="auto"/>
                  <w:noWrap w:val="0"/>
                  <w:vAlign w:val="center"/>
                </w:tcPr>
                <w:p w14:paraId="0907B865">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DA00</w:t>
                  </w:r>
                  <w:r>
                    <w:rPr>
                      <w:rFonts w:hint="eastAsia" w:ascii="Times New Roman" w:hAnsi="Times New Roman" w:eastAsia="宋体" w:cs="Times New Roman"/>
                      <w:color w:val="auto"/>
                      <w:sz w:val="21"/>
                      <w:szCs w:val="21"/>
                      <w:lang w:val="en-US" w:eastAsia="zh-CN"/>
                    </w:rPr>
                    <w:t>6</w:t>
                  </w:r>
                </w:p>
              </w:tc>
              <w:tc>
                <w:tcPr>
                  <w:tcW w:w="1037" w:type="pct"/>
                  <w:shd w:val="clear" w:color="auto" w:fill="auto"/>
                  <w:noWrap w:val="0"/>
                  <w:vAlign w:val="center"/>
                </w:tcPr>
                <w:p w14:paraId="6BCBDD4B">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实验废气</w:t>
                  </w:r>
                </w:p>
              </w:tc>
              <w:tc>
                <w:tcPr>
                  <w:tcW w:w="615" w:type="pct"/>
                  <w:shd w:val="clear" w:color="auto" w:fill="auto"/>
                  <w:noWrap w:val="0"/>
                  <w:vAlign w:val="center"/>
                </w:tcPr>
                <w:p w14:paraId="753AE0A2">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VOCs</w:t>
                  </w:r>
                </w:p>
              </w:tc>
              <w:tc>
                <w:tcPr>
                  <w:tcW w:w="981" w:type="pct"/>
                  <w:shd w:val="clear" w:color="auto" w:fill="auto"/>
                  <w:noWrap w:val="0"/>
                  <w:vAlign w:val="center"/>
                </w:tcPr>
                <w:p w14:paraId="0688D1C6">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kern w:val="2"/>
                      <w:sz w:val="21"/>
                      <w:szCs w:val="21"/>
                      <w:lang w:val="en-US" w:eastAsia="zh-CN" w:bidi="ar"/>
                    </w:rPr>
                  </w:pPr>
                  <w:r>
                    <w:rPr>
                      <w:rFonts w:hint="eastAsia"/>
                      <w:color w:val="auto"/>
                      <w:sz w:val="21"/>
                      <w:szCs w:val="21"/>
                      <w:lang w:val="en-US" w:eastAsia="zh-CN"/>
                    </w:rPr>
                    <w:t>0.67</w:t>
                  </w:r>
                </w:p>
              </w:tc>
              <w:tc>
                <w:tcPr>
                  <w:tcW w:w="883" w:type="pct"/>
                  <w:shd w:val="clear" w:color="auto" w:fill="auto"/>
                  <w:noWrap w:val="0"/>
                  <w:vAlign w:val="center"/>
                </w:tcPr>
                <w:p w14:paraId="716DB93E">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bCs/>
                      <w:kern w:val="2"/>
                      <w:sz w:val="21"/>
                      <w:szCs w:val="21"/>
                      <w:lang w:val="en-US" w:eastAsia="zh-CN" w:bidi="ar"/>
                    </w:rPr>
                  </w:pPr>
                  <w:r>
                    <w:rPr>
                      <w:rFonts w:hint="eastAsia"/>
                      <w:color w:val="auto"/>
                      <w:sz w:val="21"/>
                      <w:szCs w:val="21"/>
                    </w:rPr>
                    <w:t>0.0</w:t>
                  </w:r>
                  <w:r>
                    <w:rPr>
                      <w:rFonts w:hint="eastAsia"/>
                      <w:color w:val="auto"/>
                      <w:sz w:val="21"/>
                      <w:szCs w:val="21"/>
                      <w:lang w:val="en-US" w:eastAsia="zh-CN"/>
                    </w:rPr>
                    <w:t>02</w:t>
                  </w:r>
                </w:p>
              </w:tc>
              <w:tc>
                <w:tcPr>
                  <w:tcW w:w="794" w:type="pct"/>
                  <w:shd w:val="clear" w:color="auto" w:fill="auto"/>
                  <w:noWrap w:val="0"/>
                  <w:vAlign w:val="center"/>
                </w:tcPr>
                <w:p w14:paraId="343A59A8">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kern w:val="2"/>
                      <w:sz w:val="21"/>
                      <w:szCs w:val="21"/>
                      <w:lang w:val="en-US" w:eastAsia="zh-CN" w:bidi="ar"/>
                    </w:rPr>
                  </w:pPr>
                  <w:r>
                    <w:rPr>
                      <w:rFonts w:hint="eastAsia"/>
                      <w:color w:val="auto"/>
                      <w:sz w:val="21"/>
                      <w:szCs w:val="21"/>
                    </w:rPr>
                    <w:t>0.00</w:t>
                  </w:r>
                  <w:r>
                    <w:rPr>
                      <w:rFonts w:hint="eastAsia"/>
                      <w:color w:val="auto"/>
                      <w:sz w:val="21"/>
                      <w:szCs w:val="21"/>
                      <w:lang w:val="en-US" w:eastAsia="zh-CN"/>
                    </w:rPr>
                    <w:t>18</w:t>
                  </w:r>
                </w:p>
              </w:tc>
            </w:tr>
            <w:tr w14:paraId="780EC761">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687" w:type="pct"/>
                  <w:shd w:val="clear" w:color="auto" w:fill="auto"/>
                  <w:noWrap w:val="0"/>
                  <w:vAlign w:val="center"/>
                </w:tcPr>
                <w:p w14:paraId="784CC53A">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DA00</w:t>
                  </w:r>
                  <w:r>
                    <w:rPr>
                      <w:rFonts w:hint="eastAsia" w:ascii="Times New Roman" w:hAnsi="Times New Roman" w:eastAsia="宋体" w:cs="Times New Roman"/>
                      <w:color w:val="auto"/>
                      <w:sz w:val="21"/>
                      <w:szCs w:val="21"/>
                      <w:lang w:val="en-US" w:eastAsia="zh-CN"/>
                    </w:rPr>
                    <w:t>7</w:t>
                  </w:r>
                </w:p>
              </w:tc>
              <w:tc>
                <w:tcPr>
                  <w:tcW w:w="1037" w:type="pct"/>
                  <w:shd w:val="clear" w:color="auto" w:fill="auto"/>
                  <w:noWrap w:val="0"/>
                  <w:vAlign w:val="center"/>
                </w:tcPr>
                <w:p w14:paraId="7598C5CE">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食堂油烟</w:t>
                  </w:r>
                </w:p>
              </w:tc>
              <w:tc>
                <w:tcPr>
                  <w:tcW w:w="615" w:type="pct"/>
                  <w:shd w:val="clear" w:color="auto" w:fill="auto"/>
                  <w:noWrap w:val="0"/>
                  <w:vAlign w:val="center"/>
                </w:tcPr>
                <w:p w14:paraId="0859EECA">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油烟</w:t>
                  </w:r>
                </w:p>
              </w:tc>
              <w:tc>
                <w:tcPr>
                  <w:tcW w:w="981" w:type="pct"/>
                  <w:shd w:val="clear" w:color="auto" w:fill="auto"/>
                  <w:noWrap w:val="0"/>
                  <w:vAlign w:val="center"/>
                </w:tcPr>
                <w:p w14:paraId="57B2E7A0">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kern w:val="2"/>
                      <w:sz w:val="21"/>
                      <w:szCs w:val="21"/>
                      <w:lang w:val="en-US" w:eastAsia="zh-CN" w:bidi="ar"/>
                    </w:rPr>
                  </w:pPr>
                  <w:r>
                    <w:rPr>
                      <w:rFonts w:hint="eastAsia"/>
                      <w:color w:val="auto"/>
                      <w:sz w:val="21"/>
                      <w:szCs w:val="21"/>
                      <w:lang w:val="en-US" w:eastAsia="zh-CN"/>
                    </w:rPr>
                    <w:t>0.8</w:t>
                  </w:r>
                </w:p>
              </w:tc>
              <w:tc>
                <w:tcPr>
                  <w:tcW w:w="883" w:type="pct"/>
                  <w:shd w:val="clear" w:color="auto" w:fill="auto"/>
                  <w:noWrap w:val="0"/>
                  <w:vAlign w:val="center"/>
                </w:tcPr>
                <w:p w14:paraId="70DEEFD1">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bCs/>
                      <w:kern w:val="2"/>
                      <w:sz w:val="21"/>
                      <w:szCs w:val="21"/>
                      <w:lang w:val="en-US" w:eastAsia="zh-CN" w:bidi="ar"/>
                    </w:rPr>
                  </w:pPr>
                  <w:r>
                    <w:rPr>
                      <w:rFonts w:hint="eastAsia"/>
                      <w:color w:val="auto"/>
                      <w:sz w:val="21"/>
                      <w:szCs w:val="21"/>
                    </w:rPr>
                    <w:t>0.0</w:t>
                  </w:r>
                  <w:r>
                    <w:rPr>
                      <w:rFonts w:hint="eastAsia"/>
                      <w:color w:val="auto"/>
                      <w:sz w:val="21"/>
                      <w:szCs w:val="21"/>
                      <w:lang w:val="en-US" w:eastAsia="zh-CN"/>
                    </w:rPr>
                    <w:t>025</w:t>
                  </w:r>
                </w:p>
              </w:tc>
              <w:tc>
                <w:tcPr>
                  <w:tcW w:w="794" w:type="pct"/>
                  <w:shd w:val="clear" w:color="auto" w:fill="auto"/>
                  <w:noWrap w:val="0"/>
                  <w:vAlign w:val="center"/>
                </w:tcPr>
                <w:p w14:paraId="2789C4DA">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kern w:val="2"/>
                      <w:sz w:val="21"/>
                      <w:szCs w:val="21"/>
                      <w:lang w:val="en-US" w:eastAsia="zh-CN" w:bidi="ar"/>
                    </w:rPr>
                  </w:pPr>
                  <w:r>
                    <w:rPr>
                      <w:rFonts w:hint="eastAsia"/>
                      <w:color w:val="auto"/>
                      <w:sz w:val="21"/>
                      <w:szCs w:val="21"/>
                    </w:rPr>
                    <w:t>0.00</w:t>
                  </w:r>
                  <w:r>
                    <w:rPr>
                      <w:rFonts w:hint="eastAsia"/>
                      <w:color w:val="auto"/>
                      <w:sz w:val="21"/>
                      <w:szCs w:val="21"/>
                      <w:lang w:val="en-US" w:eastAsia="zh-CN"/>
                    </w:rPr>
                    <w:t>24</w:t>
                  </w:r>
                </w:p>
              </w:tc>
            </w:tr>
            <w:tr w14:paraId="29881A4A">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1724" w:type="pct"/>
                  <w:gridSpan w:val="2"/>
                  <w:vMerge w:val="restart"/>
                  <w:noWrap w:val="0"/>
                  <w:vAlign w:val="center"/>
                </w:tcPr>
                <w:p w14:paraId="355E2E12">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bCs/>
                      <w:sz w:val="21"/>
                      <w:szCs w:val="21"/>
                      <w:lang w:val="en-US" w:eastAsia="zh-CN" w:bidi="ar"/>
                    </w:rPr>
                  </w:pPr>
                  <w:r>
                    <w:rPr>
                      <w:rFonts w:hint="eastAsia"/>
                      <w:bCs/>
                      <w:sz w:val="21"/>
                      <w:szCs w:val="21"/>
                      <w:lang w:val="en-US" w:eastAsia="zh-CN" w:bidi="ar"/>
                    </w:rPr>
                    <w:t>有组织排放合计</w:t>
                  </w:r>
                </w:p>
              </w:tc>
              <w:tc>
                <w:tcPr>
                  <w:tcW w:w="615" w:type="pct"/>
                  <w:noWrap w:val="0"/>
                  <w:vAlign w:val="center"/>
                </w:tcPr>
                <w:p w14:paraId="4B804F2A">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bCs/>
                      <w:sz w:val="21"/>
                      <w:szCs w:val="21"/>
                      <w:lang w:val="en-US" w:eastAsia="zh-CN" w:bidi="ar"/>
                    </w:rPr>
                  </w:pPr>
                  <w:r>
                    <w:rPr>
                      <w:rFonts w:hint="eastAsia"/>
                      <w:bCs/>
                      <w:sz w:val="21"/>
                      <w:szCs w:val="21"/>
                      <w:lang w:val="en-US" w:eastAsia="zh-CN" w:bidi="ar"/>
                    </w:rPr>
                    <w:t>颗粒物</w:t>
                  </w:r>
                </w:p>
              </w:tc>
              <w:tc>
                <w:tcPr>
                  <w:tcW w:w="981" w:type="pct"/>
                  <w:shd w:val="clear" w:color="auto" w:fill="auto"/>
                  <w:noWrap w:val="0"/>
                  <w:vAlign w:val="center"/>
                </w:tcPr>
                <w:p w14:paraId="750DFE1D">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kern w:val="2"/>
                      <w:sz w:val="21"/>
                      <w:szCs w:val="21"/>
                      <w:lang w:val="en-US" w:eastAsia="zh-CN" w:bidi="ar"/>
                    </w:rPr>
                  </w:pPr>
                  <w:r>
                    <w:rPr>
                      <w:rFonts w:hint="eastAsia"/>
                      <w:bCs/>
                      <w:sz w:val="21"/>
                      <w:szCs w:val="21"/>
                      <w:lang w:val="en-US" w:eastAsia="zh-CN" w:bidi="ar"/>
                    </w:rPr>
                    <w:t>/</w:t>
                  </w:r>
                </w:p>
              </w:tc>
              <w:tc>
                <w:tcPr>
                  <w:tcW w:w="883" w:type="pct"/>
                  <w:shd w:val="clear" w:color="auto" w:fill="auto"/>
                  <w:noWrap w:val="0"/>
                  <w:vAlign w:val="center"/>
                </w:tcPr>
                <w:p w14:paraId="03E391AC">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bCs/>
                      <w:kern w:val="2"/>
                      <w:sz w:val="21"/>
                      <w:szCs w:val="21"/>
                      <w:lang w:val="en-US" w:eastAsia="zh-CN" w:bidi="ar"/>
                    </w:rPr>
                  </w:pPr>
                  <w:r>
                    <w:rPr>
                      <w:rFonts w:hint="eastAsia"/>
                      <w:bCs/>
                      <w:sz w:val="21"/>
                      <w:szCs w:val="21"/>
                      <w:lang w:val="en-US" w:eastAsia="zh-CN" w:bidi="ar"/>
                    </w:rPr>
                    <w:t>/</w:t>
                  </w:r>
                </w:p>
              </w:tc>
              <w:tc>
                <w:tcPr>
                  <w:tcW w:w="794" w:type="pct"/>
                  <w:shd w:val="clear" w:color="auto" w:fill="auto"/>
                  <w:noWrap w:val="0"/>
                  <w:vAlign w:val="center"/>
                </w:tcPr>
                <w:p w14:paraId="57D349A1">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kern w:val="2"/>
                      <w:sz w:val="21"/>
                      <w:szCs w:val="21"/>
                      <w:lang w:val="en-US" w:eastAsia="zh-CN" w:bidi="ar"/>
                    </w:rPr>
                  </w:pPr>
                  <w:r>
                    <w:rPr>
                      <w:rFonts w:hint="eastAsia"/>
                      <w:bCs/>
                      <w:sz w:val="21"/>
                      <w:szCs w:val="21"/>
                      <w:lang w:val="en-US" w:eastAsia="zh-CN" w:bidi="ar"/>
                    </w:rPr>
                    <w:t>0.1361</w:t>
                  </w:r>
                </w:p>
              </w:tc>
            </w:tr>
            <w:tr w14:paraId="2D6BB630">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1724" w:type="pct"/>
                  <w:gridSpan w:val="2"/>
                  <w:vMerge w:val="continue"/>
                  <w:noWrap w:val="0"/>
                  <w:vAlign w:val="center"/>
                </w:tcPr>
                <w:p w14:paraId="683E63BF">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bCs/>
                      <w:sz w:val="21"/>
                      <w:szCs w:val="21"/>
                      <w:lang w:val="en-US" w:eastAsia="zh-CN" w:bidi="ar"/>
                    </w:rPr>
                  </w:pPr>
                </w:p>
              </w:tc>
              <w:tc>
                <w:tcPr>
                  <w:tcW w:w="615" w:type="pct"/>
                  <w:shd w:val="clear" w:color="auto" w:fill="auto"/>
                  <w:noWrap w:val="0"/>
                  <w:vAlign w:val="center"/>
                </w:tcPr>
                <w:p w14:paraId="2355E425">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NH</w:t>
                  </w:r>
                  <w:r>
                    <w:rPr>
                      <w:rFonts w:hint="eastAsia" w:ascii="Times New Roman" w:hAnsi="Times New Roman" w:eastAsia="宋体" w:cs="Times New Roman"/>
                      <w:color w:val="auto"/>
                      <w:sz w:val="21"/>
                      <w:szCs w:val="21"/>
                      <w:vertAlign w:val="subscript"/>
                      <w:lang w:val="en-US" w:eastAsia="zh-CN"/>
                    </w:rPr>
                    <w:t>3</w:t>
                  </w:r>
                </w:p>
              </w:tc>
              <w:tc>
                <w:tcPr>
                  <w:tcW w:w="981" w:type="pct"/>
                  <w:shd w:val="clear" w:color="auto" w:fill="auto"/>
                  <w:noWrap w:val="0"/>
                  <w:vAlign w:val="center"/>
                </w:tcPr>
                <w:p w14:paraId="4C41863B">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kern w:val="2"/>
                      <w:sz w:val="21"/>
                      <w:szCs w:val="21"/>
                      <w:lang w:val="en-US" w:eastAsia="zh-CN" w:bidi="ar"/>
                    </w:rPr>
                  </w:pPr>
                  <w:r>
                    <w:rPr>
                      <w:rFonts w:hint="eastAsia"/>
                      <w:bCs/>
                      <w:sz w:val="21"/>
                      <w:szCs w:val="21"/>
                      <w:lang w:val="en-US" w:eastAsia="zh-CN" w:bidi="ar"/>
                    </w:rPr>
                    <w:t>/</w:t>
                  </w:r>
                </w:p>
              </w:tc>
              <w:tc>
                <w:tcPr>
                  <w:tcW w:w="883" w:type="pct"/>
                  <w:shd w:val="clear" w:color="auto" w:fill="auto"/>
                  <w:noWrap w:val="0"/>
                  <w:vAlign w:val="center"/>
                </w:tcPr>
                <w:p w14:paraId="7F903BF0">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bCs/>
                      <w:kern w:val="2"/>
                      <w:sz w:val="21"/>
                      <w:szCs w:val="21"/>
                      <w:lang w:val="en-US" w:eastAsia="zh-CN" w:bidi="ar"/>
                    </w:rPr>
                  </w:pPr>
                  <w:r>
                    <w:rPr>
                      <w:rFonts w:hint="eastAsia"/>
                      <w:bCs/>
                      <w:sz w:val="21"/>
                      <w:szCs w:val="21"/>
                      <w:lang w:val="en-US" w:eastAsia="zh-CN" w:bidi="ar"/>
                    </w:rPr>
                    <w:t>/</w:t>
                  </w:r>
                </w:p>
              </w:tc>
              <w:tc>
                <w:tcPr>
                  <w:tcW w:w="794" w:type="pct"/>
                  <w:shd w:val="clear" w:color="auto" w:fill="auto"/>
                  <w:noWrap w:val="0"/>
                  <w:vAlign w:val="center"/>
                </w:tcPr>
                <w:p w14:paraId="44A0626C">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kern w:val="2"/>
                      <w:sz w:val="21"/>
                      <w:szCs w:val="21"/>
                      <w:lang w:val="en-US" w:eastAsia="zh-CN" w:bidi="ar"/>
                    </w:rPr>
                  </w:pPr>
                  <w:r>
                    <w:rPr>
                      <w:rFonts w:hint="eastAsia"/>
                      <w:color w:val="auto"/>
                      <w:sz w:val="21"/>
                      <w:szCs w:val="21"/>
                    </w:rPr>
                    <w:t>0</w:t>
                  </w:r>
                  <w:r>
                    <w:rPr>
                      <w:rFonts w:hint="eastAsia"/>
                      <w:color w:val="auto"/>
                      <w:sz w:val="21"/>
                      <w:szCs w:val="21"/>
                      <w:lang w:val="en-US" w:eastAsia="zh-CN"/>
                    </w:rPr>
                    <w:t>.0126</w:t>
                  </w:r>
                </w:p>
              </w:tc>
            </w:tr>
            <w:tr w14:paraId="0D9FBF90">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1724" w:type="pct"/>
                  <w:gridSpan w:val="2"/>
                  <w:vMerge w:val="continue"/>
                  <w:noWrap w:val="0"/>
                  <w:vAlign w:val="center"/>
                </w:tcPr>
                <w:p w14:paraId="7A8B06B7">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bCs/>
                      <w:sz w:val="21"/>
                      <w:szCs w:val="21"/>
                      <w:lang w:val="en-US" w:eastAsia="zh-CN" w:bidi="ar"/>
                    </w:rPr>
                  </w:pPr>
                </w:p>
              </w:tc>
              <w:tc>
                <w:tcPr>
                  <w:tcW w:w="615" w:type="pct"/>
                  <w:shd w:val="clear" w:color="auto" w:fill="auto"/>
                  <w:noWrap w:val="0"/>
                  <w:vAlign w:val="center"/>
                </w:tcPr>
                <w:p w14:paraId="27B91C5A">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H</w:t>
                  </w:r>
                  <w:r>
                    <w:rPr>
                      <w:rFonts w:hint="eastAsia" w:ascii="Times New Roman" w:hAnsi="Times New Roman" w:eastAsia="宋体" w:cs="Times New Roman"/>
                      <w:color w:val="auto"/>
                      <w:sz w:val="21"/>
                      <w:szCs w:val="21"/>
                      <w:vertAlign w:val="subscript"/>
                      <w:lang w:val="en-US" w:eastAsia="zh-CN"/>
                    </w:rPr>
                    <w:t>2</w:t>
                  </w:r>
                  <w:r>
                    <w:rPr>
                      <w:rFonts w:hint="eastAsia" w:ascii="Times New Roman" w:hAnsi="Times New Roman" w:eastAsia="宋体" w:cs="Times New Roman"/>
                      <w:color w:val="auto"/>
                      <w:sz w:val="21"/>
                      <w:szCs w:val="21"/>
                      <w:lang w:val="en-US" w:eastAsia="zh-CN"/>
                    </w:rPr>
                    <w:t>S</w:t>
                  </w:r>
                </w:p>
              </w:tc>
              <w:tc>
                <w:tcPr>
                  <w:tcW w:w="981" w:type="pct"/>
                  <w:shd w:val="clear" w:color="auto" w:fill="auto"/>
                  <w:noWrap w:val="0"/>
                  <w:vAlign w:val="center"/>
                </w:tcPr>
                <w:p w14:paraId="3A0636C4">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kern w:val="2"/>
                      <w:sz w:val="21"/>
                      <w:szCs w:val="21"/>
                      <w:lang w:val="en-US" w:eastAsia="zh-CN" w:bidi="ar"/>
                    </w:rPr>
                  </w:pPr>
                  <w:r>
                    <w:rPr>
                      <w:rFonts w:hint="eastAsia"/>
                      <w:bCs/>
                      <w:sz w:val="21"/>
                      <w:szCs w:val="21"/>
                      <w:lang w:val="en-US" w:eastAsia="zh-CN" w:bidi="ar"/>
                    </w:rPr>
                    <w:t>/</w:t>
                  </w:r>
                </w:p>
              </w:tc>
              <w:tc>
                <w:tcPr>
                  <w:tcW w:w="883" w:type="pct"/>
                  <w:shd w:val="clear" w:color="auto" w:fill="auto"/>
                  <w:noWrap w:val="0"/>
                  <w:vAlign w:val="center"/>
                </w:tcPr>
                <w:p w14:paraId="0EE09154">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bCs/>
                      <w:kern w:val="2"/>
                      <w:sz w:val="21"/>
                      <w:szCs w:val="21"/>
                      <w:lang w:val="en-US" w:eastAsia="zh-CN" w:bidi="ar"/>
                    </w:rPr>
                  </w:pPr>
                  <w:r>
                    <w:rPr>
                      <w:rFonts w:hint="eastAsia"/>
                      <w:bCs/>
                      <w:sz w:val="21"/>
                      <w:szCs w:val="21"/>
                      <w:lang w:val="en-US" w:eastAsia="zh-CN" w:bidi="ar"/>
                    </w:rPr>
                    <w:t>/</w:t>
                  </w:r>
                </w:p>
              </w:tc>
              <w:tc>
                <w:tcPr>
                  <w:tcW w:w="794" w:type="pct"/>
                  <w:shd w:val="clear" w:color="auto" w:fill="auto"/>
                  <w:noWrap w:val="0"/>
                  <w:vAlign w:val="center"/>
                </w:tcPr>
                <w:p w14:paraId="14B9884F">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kern w:val="2"/>
                      <w:sz w:val="21"/>
                      <w:szCs w:val="21"/>
                      <w:lang w:val="en-US" w:eastAsia="zh-CN" w:bidi="ar"/>
                    </w:rPr>
                  </w:pPr>
                  <w:r>
                    <w:rPr>
                      <w:rFonts w:hint="eastAsia"/>
                      <w:color w:val="auto"/>
                      <w:sz w:val="21"/>
                      <w:szCs w:val="21"/>
                    </w:rPr>
                    <w:t>0</w:t>
                  </w:r>
                  <w:r>
                    <w:rPr>
                      <w:rFonts w:hint="eastAsia"/>
                      <w:color w:val="auto"/>
                      <w:sz w:val="21"/>
                      <w:szCs w:val="21"/>
                      <w:lang w:val="en-US" w:eastAsia="zh-CN"/>
                    </w:rPr>
                    <w:t>.0013</w:t>
                  </w:r>
                </w:p>
              </w:tc>
            </w:tr>
            <w:tr w14:paraId="2E589B9A">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1724" w:type="pct"/>
                  <w:gridSpan w:val="2"/>
                  <w:vMerge w:val="continue"/>
                  <w:noWrap w:val="0"/>
                  <w:vAlign w:val="center"/>
                </w:tcPr>
                <w:p w14:paraId="5D13068E">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bCs/>
                      <w:sz w:val="21"/>
                      <w:szCs w:val="21"/>
                      <w:lang w:val="en-US" w:eastAsia="zh-CN" w:bidi="ar"/>
                    </w:rPr>
                  </w:pPr>
                </w:p>
              </w:tc>
              <w:tc>
                <w:tcPr>
                  <w:tcW w:w="615" w:type="pct"/>
                  <w:shd w:val="clear" w:color="auto" w:fill="auto"/>
                  <w:noWrap w:val="0"/>
                  <w:vAlign w:val="center"/>
                </w:tcPr>
                <w:p w14:paraId="07915398">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VOCs</w:t>
                  </w:r>
                </w:p>
              </w:tc>
              <w:tc>
                <w:tcPr>
                  <w:tcW w:w="981" w:type="pct"/>
                  <w:shd w:val="clear" w:color="auto" w:fill="auto"/>
                  <w:noWrap w:val="0"/>
                  <w:vAlign w:val="center"/>
                </w:tcPr>
                <w:p w14:paraId="7F163124">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kern w:val="2"/>
                      <w:sz w:val="21"/>
                      <w:szCs w:val="21"/>
                      <w:lang w:val="en-US" w:eastAsia="zh-CN" w:bidi="ar"/>
                    </w:rPr>
                  </w:pPr>
                  <w:r>
                    <w:rPr>
                      <w:rFonts w:hint="eastAsia"/>
                      <w:bCs/>
                      <w:sz w:val="21"/>
                      <w:szCs w:val="21"/>
                      <w:lang w:val="en-US" w:eastAsia="zh-CN" w:bidi="ar"/>
                    </w:rPr>
                    <w:t>/</w:t>
                  </w:r>
                </w:p>
              </w:tc>
              <w:tc>
                <w:tcPr>
                  <w:tcW w:w="883" w:type="pct"/>
                  <w:shd w:val="clear" w:color="auto" w:fill="auto"/>
                  <w:noWrap w:val="0"/>
                  <w:vAlign w:val="center"/>
                </w:tcPr>
                <w:p w14:paraId="408D903D">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bCs/>
                      <w:kern w:val="2"/>
                      <w:sz w:val="21"/>
                      <w:szCs w:val="21"/>
                      <w:lang w:val="en-US" w:eastAsia="zh-CN" w:bidi="ar"/>
                    </w:rPr>
                  </w:pPr>
                  <w:r>
                    <w:rPr>
                      <w:rFonts w:hint="eastAsia"/>
                      <w:bCs/>
                      <w:sz w:val="21"/>
                      <w:szCs w:val="21"/>
                      <w:lang w:val="en-US" w:eastAsia="zh-CN" w:bidi="ar"/>
                    </w:rPr>
                    <w:t>/</w:t>
                  </w:r>
                </w:p>
              </w:tc>
              <w:tc>
                <w:tcPr>
                  <w:tcW w:w="794" w:type="pct"/>
                  <w:shd w:val="clear" w:color="auto" w:fill="auto"/>
                  <w:noWrap w:val="0"/>
                  <w:vAlign w:val="center"/>
                </w:tcPr>
                <w:p w14:paraId="1AA4F14A">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kern w:val="2"/>
                      <w:sz w:val="21"/>
                      <w:szCs w:val="21"/>
                      <w:lang w:val="en-US" w:eastAsia="zh-CN" w:bidi="ar"/>
                    </w:rPr>
                  </w:pPr>
                  <w:r>
                    <w:rPr>
                      <w:rFonts w:hint="eastAsia"/>
                      <w:color w:val="auto"/>
                      <w:sz w:val="21"/>
                      <w:szCs w:val="21"/>
                    </w:rPr>
                    <w:t>0.00</w:t>
                  </w:r>
                  <w:r>
                    <w:rPr>
                      <w:rFonts w:hint="eastAsia"/>
                      <w:color w:val="auto"/>
                      <w:sz w:val="21"/>
                      <w:szCs w:val="21"/>
                      <w:lang w:val="en-US" w:eastAsia="zh-CN"/>
                    </w:rPr>
                    <w:t>18</w:t>
                  </w:r>
                </w:p>
              </w:tc>
            </w:tr>
            <w:tr w14:paraId="188364AA">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1724" w:type="pct"/>
                  <w:gridSpan w:val="2"/>
                  <w:vMerge w:val="continue"/>
                </w:tcPr>
                <w:p w14:paraId="4DF552D6">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bCs/>
                      <w:sz w:val="21"/>
                      <w:szCs w:val="21"/>
                      <w:lang w:val="en-US" w:eastAsia="zh-CN" w:bidi="ar"/>
                    </w:rPr>
                  </w:pPr>
                </w:p>
              </w:tc>
              <w:tc>
                <w:tcPr>
                  <w:tcW w:w="615" w:type="pct"/>
                  <w:shd w:val="clear" w:color="auto" w:fill="auto"/>
                  <w:vAlign w:val="center"/>
                </w:tcPr>
                <w:p w14:paraId="68A76458">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油烟</w:t>
                  </w:r>
                </w:p>
              </w:tc>
              <w:tc>
                <w:tcPr>
                  <w:tcW w:w="981" w:type="pct"/>
                  <w:shd w:val="clear" w:color="auto" w:fill="auto"/>
                  <w:vAlign w:val="center"/>
                </w:tcPr>
                <w:p w14:paraId="7D9ADE94">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kern w:val="2"/>
                      <w:sz w:val="21"/>
                      <w:szCs w:val="21"/>
                      <w:lang w:val="en-US" w:eastAsia="zh-CN" w:bidi="ar"/>
                    </w:rPr>
                  </w:pPr>
                  <w:r>
                    <w:rPr>
                      <w:rFonts w:hint="eastAsia"/>
                      <w:bCs/>
                      <w:sz w:val="21"/>
                      <w:szCs w:val="21"/>
                      <w:lang w:val="en-US" w:eastAsia="zh-CN" w:bidi="ar"/>
                    </w:rPr>
                    <w:t>/</w:t>
                  </w:r>
                </w:p>
              </w:tc>
              <w:tc>
                <w:tcPr>
                  <w:tcW w:w="883" w:type="pct"/>
                  <w:shd w:val="clear" w:color="auto" w:fill="auto"/>
                  <w:vAlign w:val="center"/>
                </w:tcPr>
                <w:p w14:paraId="1458ACF2">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bCs/>
                      <w:kern w:val="2"/>
                      <w:sz w:val="21"/>
                      <w:szCs w:val="21"/>
                      <w:lang w:val="en-US" w:eastAsia="zh-CN" w:bidi="ar"/>
                    </w:rPr>
                  </w:pPr>
                  <w:r>
                    <w:rPr>
                      <w:rFonts w:hint="eastAsia"/>
                      <w:bCs/>
                      <w:sz w:val="21"/>
                      <w:szCs w:val="21"/>
                      <w:lang w:val="en-US" w:eastAsia="zh-CN" w:bidi="ar"/>
                    </w:rPr>
                    <w:t>/</w:t>
                  </w:r>
                </w:p>
              </w:tc>
              <w:tc>
                <w:tcPr>
                  <w:tcW w:w="794" w:type="pct"/>
                  <w:shd w:val="clear" w:color="auto" w:fill="auto"/>
                  <w:vAlign w:val="center"/>
                </w:tcPr>
                <w:p w14:paraId="7960B722">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kern w:val="2"/>
                      <w:sz w:val="21"/>
                      <w:szCs w:val="21"/>
                      <w:lang w:val="en-US" w:eastAsia="zh-CN" w:bidi="ar"/>
                    </w:rPr>
                  </w:pPr>
                  <w:r>
                    <w:rPr>
                      <w:rFonts w:hint="eastAsia"/>
                      <w:color w:val="auto"/>
                      <w:sz w:val="21"/>
                      <w:szCs w:val="21"/>
                    </w:rPr>
                    <w:t>0.00</w:t>
                  </w:r>
                  <w:r>
                    <w:rPr>
                      <w:rFonts w:hint="eastAsia"/>
                      <w:color w:val="auto"/>
                      <w:sz w:val="21"/>
                      <w:szCs w:val="21"/>
                      <w:lang w:val="en-US" w:eastAsia="zh-CN"/>
                    </w:rPr>
                    <w:t>24</w:t>
                  </w:r>
                </w:p>
              </w:tc>
            </w:tr>
          </w:tbl>
          <w:p w14:paraId="6C46A1B7">
            <w:pPr>
              <w:keepNext w:val="0"/>
              <w:keepLines w:val="0"/>
              <w:pageBreakBefore w:val="0"/>
              <w:widowControl w:val="0"/>
              <w:numPr>
                <w:ilvl w:val="0"/>
                <w:numId w:val="9"/>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大气污染物无组织排放量核算表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autofit"/>
              <w:tblCellMar>
                <w:top w:w="0" w:type="dxa"/>
                <w:left w:w="108" w:type="dxa"/>
                <w:bottom w:w="0" w:type="dxa"/>
                <w:right w:w="108" w:type="dxa"/>
              </w:tblCellMar>
            </w:tblPr>
            <w:tblGrid>
              <w:gridCol w:w="681"/>
              <w:gridCol w:w="1029"/>
              <w:gridCol w:w="696"/>
              <w:gridCol w:w="1508"/>
              <w:gridCol w:w="1710"/>
              <w:gridCol w:w="1552"/>
              <w:gridCol w:w="911"/>
            </w:tblGrid>
            <w:tr w14:paraId="3079D34C">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421" w:type="pct"/>
                  <w:vMerge w:val="restart"/>
                  <w:noWrap w:val="0"/>
                  <w:vAlign w:val="center"/>
                </w:tcPr>
                <w:p w14:paraId="5A020F71">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eastAsia="宋体"/>
                      <w:bCs/>
                      <w:sz w:val="21"/>
                      <w:szCs w:val="21"/>
                      <w:lang w:val="en-US" w:eastAsia="zh-CN"/>
                    </w:rPr>
                  </w:pPr>
                  <w:r>
                    <w:rPr>
                      <w:rFonts w:hint="eastAsia" w:eastAsia="宋体"/>
                      <w:bCs/>
                      <w:sz w:val="21"/>
                      <w:szCs w:val="21"/>
                      <w:lang w:val="en-US" w:eastAsia="zh-CN"/>
                    </w:rPr>
                    <w:t>排放口编号</w:t>
                  </w:r>
                </w:p>
              </w:tc>
              <w:tc>
                <w:tcPr>
                  <w:tcW w:w="636" w:type="pct"/>
                  <w:vMerge w:val="restart"/>
                  <w:noWrap w:val="0"/>
                  <w:vAlign w:val="center"/>
                </w:tcPr>
                <w:p w14:paraId="3F146083">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bCs/>
                      <w:sz w:val="21"/>
                      <w:szCs w:val="21"/>
                      <w:lang w:val="en-US" w:eastAsia="zh-CN"/>
                    </w:rPr>
                  </w:pPr>
                  <w:r>
                    <w:rPr>
                      <w:rFonts w:hint="eastAsia"/>
                      <w:bCs/>
                      <w:sz w:val="21"/>
                      <w:szCs w:val="21"/>
                      <w:lang w:val="en-US" w:eastAsia="zh-CN"/>
                    </w:rPr>
                    <w:t>产污环节</w:t>
                  </w:r>
                </w:p>
              </w:tc>
              <w:tc>
                <w:tcPr>
                  <w:tcW w:w="430" w:type="pct"/>
                  <w:vMerge w:val="restart"/>
                  <w:noWrap w:val="0"/>
                  <w:vAlign w:val="center"/>
                </w:tcPr>
                <w:p w14:paraId="583271A6">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eastAsia="宋体"/>
                      <w:bCs/>
                      <w:sz w:val="21"/>
                      <w:szCs w:val="21"/>
                      <w:lang w:val="en-US" w:eastAsia="zh-CN"/>
                    </w:rPr>
                  </w:pPr>
                  <w:r>
                    <w:rPr>
                      <w:rFonts w:hint="eastAsia"/>
                      <w:bCs/>
                      <w:sz w:val="21"/>
                      <w:szCs w:val="21"/>
                      <w:lang w:val="en-US" w:eastAsia="zh-CN"/>
                    </w:rPr>
                    <w:t>污染物</w:t>
                  </w:r>
                </w:p>
              </w:tc>
              <w:tc>
                <w:tcPr>
                  <w:tcW w:w="932" w:type="pct"/>
                  <w:vMerge w:val="restart"/>
                  <w:noWrap w:val="0"/>
                  <w:vAlign w:val="center"/>
                </w:tcPr>
                <w:p w14:paraId="66FC9384">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bCs/>
                      <w:sz w:val="21"/>
                      <w:szCs w:val="21"/>
                      <w:lang w:val="en-US" w:eastAsia="zh-CN"/>
                    </w:rPr>
                  </w:pPr>
                  <w:r>
                    <w:rPr>
                      <w:rFonts w:hint="eastAsia"/>
                      <w:bCs/>
                      <w:sz w:val="21"/>
                      <w:szCs w:val="21"/>
                      <w:lang w:val="en-US" w:eastAsia="zh-CN"/>
                    </w:rPr>
                    <w:t>主要污染防治措施</w:t>
                  </w:r>
                </w:p>
              </w:tc>
              <w:tc>
                <w:tcPr>
                  <w:tcW w:w="2016" w:type="pct"/>
                  <w:gridSpan w:val="2"/>
                  <w:noWrap w:val="0"/>
                  <w:vAlign w:val="center"/>
                </w:tcPr>
                <w:p w14:paraId="4EE36346">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eastAsia="宋体"/>
                      <w:bCs/>
                      <w:sz w:val="21"/>
                      <w:szCs w:val="21"/>
                      <w:lang w:val="en-US" w:eastAsia="zh-CN"/>
                    </w:rPr>
                  </w:pPr>
                  <w:r>
                    <w:rPr>
                      <w:rFonts w:hint="eastAsia" w:eastAsia="宋体"/>
                      <w:bCs/>
                      <w:sz w:val="21"/>
                      <w:szCs w:val="21"/>
                      <w:lang w:val="en-US" w:eastAsia="zh-CN"/>
                    </w:rPr>
                    <w:t>污染物排放标准</w:t>
                  </w:r>
                </w:p>
              </w:tc>
              <w:tc>
                <w:tcPr>
                  <w:tcW w:w="563" w:type="pct"/>
                  <w:vMerge w:val="restart"/>
                  <w:noWrap w:val="0"/>
                  <w:vAlign w:val="center"/>
                </w:tcPr>
                <w:p w14:paraId="738BEDB2">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eastAsia="宋体"/>
                      <w:bCs/>
                      <w:sz w:val="21"/>
                      <w:szCs w:val="21"/>
                      <w:lang w:val="en-US" w:eastAsia="zh-CN" w:bidi="ar"/>
                    </w:rPr>
                  </w:pPr>
                  <w:r>
                    <w:rPr>
                      <w:rFonts w:hint="eastAsia"/>
                      <w:bCs/>
                      <w:sz w:val="21"/>
                      <w:szCs w:val="21"/>
                      <w:lang w:val="en-US" w:eastAsia="zh-CN" w:bidi="ar"/>
                    </w:rPr>
                    <w:t>核算年排放量（t/a）</w:t>
                  </w:r>
                </w:p>
              </w:tc>
            </w:tr>
            <w:tr w14:paraId="07A7A062">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421" w:type="pct"/>
                  <w:vMerge w:val="continue"/>
                  <w:noWrap w:val="0"/>
                  <w:vAlign w:val="center"/>
                </w:tcPr>
                <w:p w14:paraId="640FF59D">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eastAsia="宋体"/>
                      <w:bCs/>
                      <w:kern w:val="2"/>
                      <w:sz w:val="21"/>
                      <w:szCs w:val="21"/>
                      <w:lang w:val="en-US" w:eastAsia="zh-CN" w:bidi="ar"/>
                    </w:rPr>
                  </w:pPr>
                </w:p>
              </w:tc>
              <w:tc>
                <w:tcPr>
                  <w:tcW w:w="636" w:type="pct"/>
                  <w:vMerge w:val="continue"/>
                  <w:noWrap w:val="0"/>
                  <w:vAlign w:val="center"/>
                </w:tcPr>
                <w:p w14:paraId="33A78105">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bCs/>
                      <w:sz w:val="21"/>
                      <w:szCs w:val="21"/>
                      <w:lang w:val="en-US" w:eastAsia="zh-CN" w:bidi="ar"/>
                    </w:rPr>
                  </w:pPr>
                </w:p>
              </w:tc>
              <w:tc>
                <w:tcPr>
                  <w:tcW w:w="430" w:type="pct"/>
                  <w:vMerge w:val="continue"/>
                  <w:noWrap w:val="0"/>
                  <w:vAlign w:val="center"/>
                </w:tcPr>
                <w:p w14:paraId="17FE8331">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eastAsia="宋体"/>
                      <w:bCs/>
                      <w:kern w:val="2"/>
                      <w:sz w:val="21"/>
                      <w:szCs w:val="21"/>
                      <w:lang w:val="en-US" w:eastAsia="zh-CN" w:bidi="ar"/>
                    </w:rPr>
                  </w:pPr>
                </w:p>
              </w:tc>
              <w:tc>
                <w:tcPr>
                  <w:tcW w:w="932" w:type="pct"/>
                  <w:vMerge w:val="continue"/>
                  <w:noWrap w:val="0"/>
                  <w:vAlign w:val="center"/>
                </w:tcPr>
                <w:p w14:paraId="6913A103">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bCs/>
                      <w:sz w:val="21"/>
                      <w:szCs w:val="21"/>
                      <w:lang w:val="en-US" w:eastAsia="zh-CN" w:bidi="ar"/>
                    </w:rPr>
                  </w:pPr>
                </w:p>
              </w:tc>
              <w:tc>
                <w:tcPr>
                  <w:tcW w:w="1057" w:type="pct"/>
                  <w:noWrap w:val="0"/>
                  <w:vAlign w:val="center"/>
                </w:tcPr>
                <w:p w14:paraId="764FAAF3">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bCs/>
                      <w:sz w:val="21"/>
                      <w:szCs w:val="21"/>
                      <w:lang w:val="en-US" w:eastAsia="zh-CN" w:bidi="ar"/>
                    </w:rPr>
                  </w:pPr>
                  <w:r>
                    <w:rPr>
                      <w:rFonts w:hint="eastAsia"/>
                      <w:bCs/>
                      <w:sz w:val="21"/>
                      <w:szCs w:val="21"/>
                      <w:lang w:val="en-US" w:eastAsia="zh-CN" w:bidi="ar"/>
                    </w:rPr>
                    <w:t>标准名称</w:t>
                  </w:r>
                </w:p>
              </w:tc>
              <w:tc>
                <w:tcPr>
                  <w:tcW w:w="958" w:type="pct"/>
                  <w:noWrap w:val="0"/>
                  <w:vAlign w:val="center"/>
                </w:tcPr>
                <w:p w14:paraId="627FB265">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eastAsia="宋体" w:cs="宋体"/>
                      <w:bCs/>
                      <w:sz w:val="21"/>
                      <w:szCs w:val="21"/>
                      <w:lang w:val="en-US" w:eastAsia="zh-CN" w:bidi="ar"/>
                    </w:rPr>
                  </w:pPr>
                  <w:r>
                    <w:rPr>
                      <w:rFonts w:hint="eastAsia" w:cs="宋体"/>
                      <w:bCs/>
                      <w:sz w:val="21"/>
                      <w:szCs w:val="21"/>
                      <w:lang w:val="en-US" w:eastAsia="zh-CN" w:bidi="ar"/>
                    </w:rPr>
                    <w:t>浓度限值</w:t>
                  </w:r>
                  <w:r>
                    <w:rPr>
                      <w:rFonts w:hint="eastAsia" w:eastAsia="宋体"/>
                      <w:bCs/>
                      <w:sz w:val="21"/>
                      <w:szCs w:val="21"/>
                      <w:lang w:val="en-US" w:eastAsia="zh-CN"/>
                    </w:rPr>
                    <w:t>（mg/m</w:t>
                  </w:r>
                  <w:r>
                    <w:rPr>
                      <w:rFonts w:hint="eastAsia" w:eastAsia="宋体"/>
                      <w:bCs/>
                      <w:sz w:val="21"/>
                      <w:szCs w:val="21"/>
                      <w:vertAlign w:val="superscript"/>
                      <w:lang w:val="en-US" w:eastAsia="zh-CN"/>
                    </w:rPr>
                    <w:t>3</w:t>
                  </w:r>
                  <w:r>
                    <w:rPr>
                      <w:rFonts w:hint="eastAsia" w:eastAsia="宋体"/>
                      <w:bCs/>
                      <w:sz w:val="21"/>
                      <w:szCs w:val="21"/>
                      <w:lang w:val="en-US" w:eastAsia="zh-CN"/>
                    </w:rPr>
                    <w:t>）</w:t>
                  </w:r>
                </w:p>
              </w:tc>
              <w:tc>
                <w:tcPr>
                  <w:tcW w:w="563" w:type="pct"/>
                  <w:vMerge w:val="continue"/>
                  <w:noWrap w:val="0"/>
                  <w:vAlign w:val="center"/>
                </w:tcPr>
                <w:p w14:paraId="48D4CC1D">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bCs/>
                      <w:sz w:val="21"/>
                      <w:szCs w:val="21"/>
                      <w:lang w:bidi="ar"/>
                    </w:rPr>
                  </w:pPr>
                </w:p>
              </w:tc>
            </w:tr>
            <w:tr w14:paraId="0DEA3DAB">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421" w:type="pct"/>
                  <w:vMerge w:val="restart"/>
                  <w:noWrap w:val="0"/>
                  <w:vAlign w:val="center"/>
                </w:tcPr>
                <w:p w14:paraId="3159C837">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bCs/>
                      <w:sz w:val="21"/>
                      <w:szCs w:val="21"/>
                      <w:lang w:val="en-US" w:eastAsia="zh-CN" w:bidi="ar"/>
                    </w:rPr>
                  </w:pPr>
                  <w:r>
                    <w:rPr>
                      <w:rFonts w:hint="eastAsia"/>
                      <w:bCs/>
                      <w:sz w:val="21"/>
                      <w:szCs w:val="21"/>
                      <w:lang w:val="en-US" w:eastAsia="zh-CN" w:bidi="ar"/>
                    </w:rPr>
                    <w:t>面源</w:t>
                  </w:r>
                </w:p>
              </w:tc>
              <w:tc>
                <w:tcPr>
                  <w:tcW w:w="636" w:type="pct"/>
                  <w:noWrap w:val="0"/>
                  <w:vAlign w:val="center"/>
                </w:tcPr>
                <w:p w14:paraId="298CBBD6">
                  <w:pPr>
                    <w:spacing w:line="240" w:lineRule="auto"/>
                    <w:ind w:firstLine="0" w:firstLineChars="0"/>
                    <w:jc w:val="center"/>
                    <w:rPr>
                      <w:rFonts w:hint="default"/>
                      <w:bCs/>
                      <w:kern w:val="2"/>
                      <w:sz w:val="21"/>
                      <w:szCs w:val="21"/>
                      <w:lang w:val="en-US" w:eastAsia="zh-CN" w:bidi="ar"/>
                    </w:rPr>
                  </w:pPr>
                  <w:r>
                    <w:rPr>
                      <w:rFonts w:hint="eastAsia" w:ascii="Times New Roman" w:hAnsi="Times New Roman" w:eastAsia="宋体" w:cs="Times New Roman"/>
                      <w:color w:val="auto"/>
                      <w:sz w:val="21"/>
                      <w:szCs w:val="21"/>
                      <w:lang w:val="en-US" w:eastAsia="zh-CN"/>
                    </w:rPr>
                    <w:t>中药材</w:t>
                  </w:r>
                  <w:r>
                    <w:rPr>
                      <w:rFonts w:hint="eastAsia" w:cs="Times New Roman"/>
                      <w:color w:val="auto"/>
                      <w:sz w:val="21"/>
                      <w:szCs w:val="21"/>
                      <w:lang w:val="en-US" w:eastAsia="zh-CN"/>
                    </w:rPr>
                    <w:t>生产及药渣暂存</w:t>
                  </w:r>
                </w:p>
              </w:tc>
              <w:tc>
                <w:tcPr>
                  <w:tcW w:w="430" w:type="pct"/>
                  <w:noWrap w:val="0"/>
                  <w:vAlign w:val="center"/>
                </w:tcPr>
                <w:p w14:paraId="4BBF6048">
                  <w:pPr>
                    <w:spacing w:line="240" w:lineRule="auto"/>
                    <w:ind w:firstLine="0" w:firstLineChars="0"/>
                    <w:jc w:val="center"/>
                    <w:rPr>
                      <w:rFonts w:hint="eastAsia" w:eastAsia="宋体"/>
                      <w:bCs/>
                      <w:kern w:val="2"/>
                      <w:sz w:val="21"/>
                      <w:szCs w:val="21"/>
                      <w:lang w:val="en-US" w:eastAsia="zh-CN" w:bidi="ar"/>
                    </w:rPr>
                  </w:pPr>
                  <w:r>
                    <w:rPr>
                      <w:rFonts w:hint="eastAsia" w:ascii="Times New Roman" w:hAnsi="Times New Roman" w:eastAsia="宋体" w:cs="Times New Roman"/>
                      <w:color w:val="auto"/>
                      <w:sz w:val="21"/>
                      <w:szCs w:val="21"/>
                      <w:lang w:val="en-US" w:eastAsia="zh-CN"/>
                    </w:rPr>
                    <w:t>臭气浓度</w:t>
                  </w:r>
                </w:p>
              </w:tc>
              <w:tc>
                <w:tcPr>
                  <w:tcW w:w="932" w:type="pct"/>
                  <w:noWrap w:val="0"/>
                  <w:vAlign w:val="center"/>
                </w:tcPr>
                <w:p w14:paraId="7C506C97">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bCs/>
                      <w:sz w:val="21"/>
                      <w:szCs w:val="21"/>
                      <w:lang w:val="en-US" w:eastAsia="zh-CN" w:bidi="ar"/>
                    </w:rPr>
                  </w:pPr>
                  <w:r>
                    <w:rPr>
                      <w:rFonts w:hint="default"/>
                      <w:bCs/>
                      <w:sz w:val="21"/>
                      <w:szCs w:val="21"/>
                      <w:lang w:val="en-US" w:eastAsia="zh-CN" w:bidi="ar"/>
                    </w:rPr>
                    <w:t>设置为密闭作业房</w:t>
                  </w:r>
                  <w:r>
                    <w:rPr>
                      <w:rFonts w:hint="eastAsia"/>
                      <w:bCs/>
                      <w:sz w:val="21"/>
                      <w:szCs w:val="21"/>
                      <w:lang w:val="en-US" w:eastAsia="zh-CN" w:bidi="ar"/>
                    </w:rPr>
                    <w:t>，</w:t>
                  </w:r>
                  <w:r>
                    <w:rPr>
                      <w:rFonts w:hint="default"/>
                      <w:bCs/>
                      <w:sz w:val="21"/>
                      <w:szCs w:val="21"/>
                      <w:lang w:val="en-US" w:eastAsia="zh-CN" w:bidi="ar"/>
                    </w:rPr>
                    <w:t>在产异味装置上方分别设置集气罩，整体密闭房设置负压抽风</w:t>
                  </w:r>
                </w:p>
              </w:tc>
              <w:tc>
                <w:tcPr>
                  <w:tcW w:w="1057" w:type="pct"/>
                  <w:noWrap w:val="0"/>
                  <w:vAlign w:val="center"/>
                </w:tcPr>
                <w:p w14:paraId="62CA083C">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bCs/>
                      <w:sz w:val="21"/>
                      <w:szCs w:val="21"/>
                      <w:lang w:val="en-US" w:eastAsia="zh-CN" w:bidi="ar"/>
                    </w:rPr>
                  </w:pPr>
                  <w:r>
                    <w:rPr>
                      <w:rFonts w:hint="eastAsia"/>
                      <w:color w:val="auto"/>
                      <w:sz w:val="21"/>
                      <w:szCs w:val="21"/>
                    </w:rPr>
                    <w:t>《恶臭污染物排放标准》（GB14554-93）</w:t>
                  </w:r>
                </w:p>
              </w:tc>
              <w:tc>
                <w:tcPr>
                  <w:tcW w:w="958" w:type="pct"/>
                  <w:noWrap w:val="0"/>
                  <w:vAlign w:val="center"/>
                </w:tcPr>
                <w:p w14:paraId="4E129EC6">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cs="宋体"/>
                      <w:bCs/>
                      <w:sz w:val="21"/>
                      <w:szCs w:val="21"/>
                      <w:lang w:val="en-US" w:eastAsia="zh-CN" w:bidi="ar"/>
                    </w:rPr>
                  </w:pPr>
                  <w:r>
                    <w:rPr>
                      <w:rFonts w:hint="eastAsia" w:cs="宋体"/>
                      <w:bCs/>
                      <w:sz w:val="21"/>
                      <w:szCs w:val="21"/>
                      <w:lang w:val="en-US" w:eastAsia="zh-CN" w:bidi="ar"/>
                    </w:rPr>
                    <w:t>&lt;20</w:t>
                  </w:r>
                  <w:r>
                    <w:rPr>
                      <w:rFonts w:hint="eastAsia" w:ascii="Times New Roman" w:hAnsi="Times New Roman" w:eastAsia="宋体" w:cs="Times New Roman"/>
                      <w:color w:val="auto"/>
                      <w:sz w:val="21"/>
                      <w:szCs w:val="21"/>
                      <w:lang w:val="en-US" w:eastAsia="zh-CN"/>
                    </w:rPr>
                    <w:t>（无量纲）</w:t>
                  </w:r>
                </w:p>
              </w:tc>
              <w:tc>
                <w:tcPr>
                  <w:tcW w:w="563" w:type="pct"/>
                  <w:noWrap w:val="0"/>
                  <w:vAlign w:val="center"/>
                </w:tcPr>
                <w:p w14:paraId="442E7CB6">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eastAsia="宋体"/>
                      <w:bCs/>
                      <w:sz w:val="21"/>
                      <w:szCs w:val="21"/>
                      <w:lang w:val="en-US" w:eastAsia="zh-CN" w:bidi="ar"/>
                    </w:rPr>
                  </w:pPr>
                  <w:r>
                    <w:rPr>
                      <w:rFonts w:hint="eastAsia"/>
                      <w:bCs/>
                      <w:sz w:val="21"/>
                      <w:szCs w:val="21"/>
                      <w:lang w:val="en-US" w:eastAsia="zh-CN" w:bidi="ar"/>
                    </w:rPr>
                    <w:t>/</w:t>
                  </w:r>
                </w:p>
              </w:tc>
            </w:tr>
            <w:tr w14:paraId="46ED275F">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421" w:type="pct"/>
                  <w:vMerge w:val="continue"/>
                  <w:noWrap w:val="0"/>
                  <w:vAlign w:val="center"/>
                </w:tcPr>
                <w:p w14:paraId="15DA5F8D">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bCs/>
                      <w:sz w:val="21"/>
                      <w:szCs w:val="21"/>
                      <w:lang w:val="en-US" w:eastAsia="zh-CN" w:bidi="ar"/>
                    </w:rPr>
                  </w:pPr>
                </w:p>
              </w:tc>
              <w:tc>
                <w:tcPr>
                  <w:tcW w:w="636" w:type="pct"/>
                  <w:noWrap w:val="0"/>
                  <w:vAlign w:val="center"/>
                </w:tcPr>
                <w:p w14:paraId="25FD1330">
                  <w:pPr>
                    <w:spacing w:line="240" w:lineRule="auto"/>
                    <w:ind w:firstLine="0" w:firstLineChars="0"/>
                    <w:jc w:val="center"/>
                    <w:rPr>
                      <w:rFonts w:hint="eastAsia"/>
                      <w:bCs/>
                      <w:sz w:val="21"/>
                      <w:szCs w:val="21"/>
                      <w:lang w:val="en-US" w:eastAsia="zh-CN" w:bidi="ar"/>
                    </w:rPr>
                  </w:pPr>
                  <w:r>
                    <w:rPr>
                      <w:rFonts w:hint="eastAsia" w:ascii="Times New Roman" w:hAnsi="Times New Roman" w:eastAsia="宋体" w:cs="Times New Roman"/>
                      <w:color w:val="auto"/>
                      <w:sz w:val="21"/>
                      <w:szCs w:val="21"/>
                      <w:lang w:val="en-US" w:eastAsia="zh-CN"/>
                    </w:rPr>
                    <w:t>中药饮片车间干燥、炒制、粉碎、筛分工序</w:t>
                  </w:r>
                </w:p>
              </w:tc>
              <w:tc>
                <w:tcPr>
                  <w:tcW w:w="430" w:type="pct"/>
                  <w:noWrap w:val="0"/>
                  <w:vAlign w:val="center"/>
                </w:tcPr>
                <w:p w14:paraId="3E4DCDB8">
                  <w:pPr>
                    <w:spacing w:line="240" w:lineRule="auto"/>
                    <w:ind w:firstLine="0" w:firstLineChars="0"/>
                    <w:jc w:val="center"/>
                    <w:rPr>
                      <w:rFonts w:hint="eastAsia"/>
                      <w:bCs/>
                      <w:sz w:val="21"/>
                      <w:szCs w:val="21"/>
                      <w:lang w:val="en-US" w:eastAsia="zh-CN" w:bidi="ar"/>
                    </w:rPr>
                  </w:pPr>
                  <w:r>
                    <w:rPr>
                      <w:rFonts w:hint="eastAsia" w:ascii="Times New Roman" w:hAnsi="Times New Roman" w:eastAsia="宋体" w:cs="Times New Roman"/>
                      <w:color w:val="auto"/>
                      <w:sz w:val="21"/>
                      <w:szCs w:val="21"/>
                      <w:lang w:val="en-US" w:eastAsia="zh-CN"/>
                    </w:rPr>
                    <w:t>颗粒物</w:t>
                  </w:r>
                </w:p>
              </w:tc>
              <w:tc>
                <w:tcPr>
                  <w:tcW w:w="932" w:type="pct"/>
                  <w:noWrap w:val="0"/>
                  <w:vAlign w:val="center"/>
                </w:tcPr>
                <w:p w14:paraId="6563C065">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bCs/>
                      <w:sz w:val="21"/>
                      <w:szCs w:val="21"/>
                      <w:lang w:val="en-US" w:eastAsia="zh-CN" w:bidi="ar"/>
                    </w:rPr>
                  </w:pPr>
                  <w:r>
                    <w:rPr>
                      <w:rFonts w:hint="default"/>
                      <w:bCs/>
                      <w:sz w:val="21"/>
                      <w:szCs w:val="21"/>
                      <w:lang w:val="en-US" w:eastAsia="zh-CN" w:bidi="ar"/>
                    </w:rPr>
                    <w:t>设置集尘罩，集气罩为三面包围结构</w:t>
                  </w:r>
                  <w:r>
                    <w:rPr>
                      <w:rFonts w:hint="eastAsia"/>
                      <w:bCs/>
                      <w:sz w:val="21"/>
                      <w:szCs w:val="21"/>
                      <w:lang w:val="en-US" w:eastAsia="zh-CN" w:bidi="ar"/>
                    </w:rPr>
                    <w:t>，</w:t>
                  </w:r>
                  <w:r>
                    <w:rPr>
                      <w:rFonts w:hint="default"/>
                      <w:bCs/>
                      <w:sz w:val="21"/>
                      <w:szCs w:val="21"/>
                      <w:lang w:val="en-US" w:eastAsia="zh-CN" w:bidi="ar"/>
                    </w:rPr>
                    <w:t>负压抽风</w:t>
                  </w:r>
                </w:p>
              </w:tc>
              <w:tc>
                <w:tcPr>
                  <w:tcW w:w="1057" w:type="pct"/>
                  <w:noWrap w:val="0"/>
                  <w:vAlign w:val="center"/>
                </w:tcPr>
                <w:p w14:paraId="476ADCEB">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bCs/>
                      <w:sz w:val="21"/>
                      <w:szCs w:val="21"/>
                      <w:lang w:val="en-US" w:eastAsia="zh-CN" w:bidi="ar"/>
                    </w:rPr>
                  </w:pPr>
                  <w:r>
                    <w:rPr>
                      <w:rFonts w:hint="eastAsia" w:ascii="Times New Roman" w:hAnsi="Times New Roman" w:eastAsia="宋体" w:cs="Times New Roman"/>
                      <w:bCs w:val="0"/>
                      <w:kern w:val="2"/>
                      <w:sz w:val="21"/>
                      <w:szCs w:val="21"/>
                      <w:lang w:val="en-US" w:eastAsia="zh-CN" w:bidi="ar-SA"/>
                    </w:rPr>
                    <w:t>《大气污染物综合排放标准》（GB16297-1996）中表2中无组织排放监控浓度限值</w:t>
                  </w:r>
                </w:p>
              </w:tc>
              <w:tc>
                <w:tcPr>
                  <w:tcW w:w="958" w:type="pct"/>
                  <w:noWrap w:val="0"/>
                  <w:vAlign w:val="center"/>
                </w:tcPr>
                <w:p w14:paraId="391145F1">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cs="宋体"/>
                      <w:bCs/>
                      <w:sz w:val="21"/>
                      <w:szCs w:val="21"/>
                      <w:lang w:val="en-US" w:eastAsia="zh-CN" w:bidi="ar"/>
                    </w:rPr>
                  </w:pPr>
                  <w:r>
                    <w:rPr>
                      <w:rFonts w:hint="eastAsia" w:cs="宋体"/>
                      <w:bCs/>
                      <w:sz w:val="21"/>
                      <w:szCs w:val="21"/>
                      <w:lang w:val="en-US" w:eastAsia="zh-CN" w:bidi="ar"/>
                    </w:rPr>
                    <w:t>1.0</w:t>
                  </w:r>
                </w:p>
              </w:tc>
              <w:tc>
                <w:tcPr>
                  <w:tcW w:w="563" w:type="pct"/>
                  <w:noWrap w:val="0"/>
                  <w:vAlign w:val="center"/>
                </w:tcPr>
                <w:p w14:paraId="4BF0780A">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bCs/>
                      <w:sz w:val="21"/>
                      <w:szCs w:val="21"/>
                      <w:lang w:val="en-US" w:eastAsia="zh-CN" w:bidi="ar"/>
                    </w:rPr>
                  </w:pPr>
                  <w:r>
                    <w:rPr>
                      <w:rFonts w:hint="eastAsia"/>
                      <w:bCs/>
                      <w:sz w:val="21"/>
                      <w:szCs w:val="21"/>
                      <w:lang w:val="en-US" w:eastAsia="zh-CN" w:bidi="ar"/>
                    </w:rPr>
                    <w:t>0.4400</w:t>
                  </w:r>
                </w:p>
              </w:tc>
            </w:tr>
            <w:tr w14:paraId="4833D7B6">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404" w:hRule="atLeast"/>
                <w:jc w:val="center"/>
              </w:trPr>
              <w:tc>
                <w:tcPr>
                  <w:tcW w:w="421" w:type="pct"/>
                  <w:vMerge w:val="continue"/>
                  <w:noWrap w:val="0"/>
                  <w:vAlign w:val="center"/>
                </w:tcPr>
                <w:p w14:paraId="1121FA23">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bCs/>
                      <w:sz w:val="21"/>
                      <w:szCs w:val="21"/>
                      <w:lang w:val="en-US" w:eastAsia="zh-CN" w:bidi="ar"/>
                    </w:rPr>
                  </w:pPr>
                </w:p>
              </w:tc>
              <w:tc>
                <w:tcPr>
                  <w:tcW w:w="636" w:type="pct"/>
                  <w:vMerge w:val="restart"/>
                  <w:noWrap w:val="0"/>
                  <w:vAlign w:val="center"/>
                </w:tcPr>
                <w:p w14:paraId="796CF8B7">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bCs/>
                      <w:sz w:val="21"/>
                      <w:szCs w:val="21"/>
                      <w:lang w:val="en-US" w:eastAsia="zh-CN" w:bidi="ar"/>
                    </w:rPr>
                  </w:pPr>
                  <w:r>
                    <w:rPr>
                      <w:rFonts w:hint="eastAsia" w:ascii="Times New Roman" w:hAnsi="Times New Roman" w:eastAsia="宋体" w:cs="Times New Roman"/>
                      <w:color w:val="auto"/>
                      <w:sz w:val="21"/>
                      <w:szCs w:val="21"/>
                      <w:lang w:val="en-US" w:eastAsia="zh-CN"/>
                    </w:rPr>
                    <w:t>污水处理站恶臭</w:t>
                  </w:r>
                </w:p>
              </w:tc>
              <w:tc>
                <w:tcPr>
                  <w:tcW w:w="430" w:type="pct"/>
                  <w:shd w:val="clear" w:color="auto" w:fill="auto"/>
                  <w:noWrap w:val="0"/>
                  <w:vAlign w:val="center"/>
                </w:tcPr>
                <w:p w14:paraId="574F1945">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NH</w:t>
                  </w:r>
                  <w:r>
                    <w:rPr>
                      <w:rFonts w:hint="eastAsia" w:ascii="Times New Roman" w:hAnsi="Times New Roman" w:eastAsia="宋体" w:cs="Times New Roman"/>
                      <w:color w:val="auto"/>
                      <w:sz w:val="21"/>
                      <w:szCs w:val="21"/>
                      <w:vertAlign w:val="subscript"/>
                      <w:lang w:val="en-US" w:eastAsia="zh-CN"/>
                    </w:rPr>
                    <w:t>3</w:t>
                  </w:r>
                </w:p>
              </w:tc>
              <w:tc>
                <w:tcPr>
                  <w:tcW w:w="932" w:type="pct"/>
                  <w:vMerge w:val="restart"/>
                  <w:noWrap w:val="0"/>
                  <w:vAlign w:val="center"/>
                </w:tcPr>
                <w:p w14:paraId="0DD83F70">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bCs/>
                      <w:sz w:val="21"/>
                      <w:szCs w:val="21"/>
                      <w:lang w:val="en-US" w:eastAsia="zh-CN" w:bidi="ar"/>
                    </w:rPr>
                  </w:pPr>
                  <w:r>
                    <w:rPr>
                      <w:rFonts w:hint="eastAsia"/>
                      <w:color w:val="auto"/>
                      <w:sz w:val="21"/>
                      <w:szCs w:val="21"/>
                    </w:rPr>
                    <w:t>加盖密闭</w:t>
                  </w:r>
                  <w:r>
                    <w:rPr>
                      <w:rFonts w:hint="eastAsia"/>
                      <w:color w:val="auto"/>
                      <w:sz w:val="21"/>
                      <w:szCs w:val="21"/>
                      <w:lang w:val="en-US" w:eastAsia="zh-CN"/>
                    </w:rPr>
                    <w:t>+绿化</w:t>
                  </w:r>
                </w:p>
              </w:tc>
              <w:tc>
                <w:tcPr>
                  <w:tcW w:w="1057" w:type="pct"/>
                  <w:vMerge w:val="restart"/>
                  <w:noWrap w:val="0"/>
                  <w:vAlign w:val="center"/>
                </w:tcPr>
                <w:p w14:paraId="16E12F92">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eastAsia="宋体"/>
                      <w:bCs/>
                      <w:sz w:val="21"/>
                      <w:szCs w:val="21"/>
                      <w:lang w:val="en-US" w:eastAsia="zh-CN" w:bidi="ar"/>
                    </w:rPr>
                  </w:pPr>
                  <w:r>
                    <w:rPr>
                      <w:rFonts w:hint="eastAsia"/>
                      <w:color w:val="auto"/>
                      <w:sz w:val="21"/>
                      <w:szCs w:val="21"/>
                    </w:rPr>
                    <w:t>《恶臭污染物排放标准》（GB14554-93）</w:t>
                  </w:r>
                  <w:r>
                    <w:rPr>
                      <w:rFonts w:hint="eastAsia"/>
                      <w:color w:val="auto"/>
                      <w:sz w:val="21"/>
                      <w:szCs w:val="21"/>
                      <w:lang w:val="en-US" w:eastAsia="zh-CN"/>
                    </w:rPr>
                    <w:t>表1二级标准</w:t>
                  </w:r>
                </w:p>
              </w:tc>
              <w:tc>
                <w:tcPr>
                  <w:tcW w:w="958" w:type="pct"/>
                  <w:noWrap w:val="0"/>
                  <w:vAlign w:val="center"/>
                </w:tcPr>
                <w:p w14:paraId="5170EA6E">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cs="宋体"/>
                      <w:bCs/>
                      <w:sz w:val="21"/>
                      <w:szCs w:val="21"/>
                      <w:lang w:val="en-US" w:eastAsia="zh-CN" w:bidi="ar"/>
                    </w:rPr>
                  </w:pPr>
                  <w:r>
                    <w:rPr>
                      <w:rFonts w:hint="eastAsia" w:cs="宋体"/>
                      <w:bCs/>
                      <w:sz w:val="21"/>
                      <w:szCs w:val="21"/>
                      <w:lang w:val="en-US" w:eastAsia="zh-CN" w:bidi="ar"/>
                    </w:rPr>
                    <w:t>1.5</w:t>
                  </w:r>
                </w:p>
              </w:tc>
              <w:tc>
                <w:tcPr>
                  <w:tcW w:w="563" w:type="pct"/>
                  <w:noWrap w:val="0"/>
                  <w:vAlign w:val="center"/>
                </w:tcPr>
                <w:p w14:paraId="579C3DD6">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bCs/>
                      <w:sz w:val="21"/>
                      <w:szCs w:val="21"/>
                      <w:lang w:val="en-US" w:eastAsia="zh-CN" w:bidi="ar"/>
                    </w:rPr>
                  </w:pPr>
                  <w:r>
                    <w:rPr>
                      <w:rFonts w:hint="eastAsia"/>
                      <w:color w:val="auto"/>
                      <w:sz w:val="21"/>
                      <w:szCs w:val="21"/>
                    </w:rPr>
                    <w:t>0.00</w:t>
                  </w:r>
                  <w:r>
                    <w:rPr>
                      <w:rFonts w:hint="eastAsia"/>
                      <w:color w:val="auto"/>
                      <w:sz w:val="21"/>
                      <w:szCs w:val="21"/>
                      <w:lang w:val="en-US" w:eastAsia="zh-CN"/>
                    </w:rPr>
                    <w:t>67</w:t>
                  </w:r>
                </w:p>
              </w:tc>
            </w:tr>
            <w:tr w14:paraId="66F25D87">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421" w:type="pct"/>
                  <w:vMerge w:val="continue"/>
                  <w:noWrap w:val="0"/>
                  <w:vAlign w:val="center"/>
                </w:tcPr>
                <w:p w14:paraId="67879101">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bCs/>
                      <w:sz w:val="21"/>
                      <w:szCs w:val="21"/>
                      <w:lang w:val="en-US" w:eastAsia="zh-CN" w:bidi="ar"/>
                    </w:rPr>
                  </w:pPr>
                </w:p>
              </w:tc>
              <w:tc>
                <w:tcPr>
                  <w:tcW w:w="636" w:type="pct"/>
                  <w:vMerge w:val="continue"/>
                  <w:noWrap w:val="0"/>
                  <w:vAlign w:val="center"/>
                </w:tcPr>
                <w:p w14:paraId="4F730471">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bCs/>
                      <w:sz w:val="21"/>
                      <w:szCs w:val="21"/>
                      <w:lang w:val="en-US" w:eastAsia="zh-CN" w:bidi="ar"/>
                    </w:rPr>
                  </w:pPr>
                </w:p>
              </w:tc>
              <w:tc>
                <w:tcPr>
                  <w:tcW w:w="430" w:type="pct"/>
                  <w:shd w:val="clear" w:color="auto" w:fill="auto"/>
                  <w:noWrap w:val="0"/>
                  <w:vAlign w:val="center"/>
                </w:tcPr>
                <w:p w14:paraId="463C48E8">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H</w:t>
                  </w:r>
                  <w:r>
                    <w:rPr>
                      <w:rFonts w:hint="eastAsia" w:ascii="Times New Roman" w:hAnsi="Times New Roman" w:eastAsia="宋体" w:cs="Times New Roman"/>
                      <w:color w:val="auto"/>
                      <w:sz w:val="21"/>
                      <w:szCs w:val="21"/>
                      <w:vertAlign w:val="subscript"/>
                      <w:lang w:val="en-US" w:eastAsia="zh-CN"/>
                    </w:rPr>
                    <w:t>2</w:t>
                  </w:r>
                  <w:r>
                    <w:rPr>
                      <w:rFonts w:hint="eastAsia" w:ascii="Times New Roman" w:hAnsi="Times New Roman" w:eastAsia="宋体" w:cs="Times New Roman"/>
                      <w:color w:val="auto"/>
                      <w:sz w:val="21"/>
                      <w:szCs w:val="21"/>
                      <w:lang w:val="en-US" w:eastAsia="zh-CN"/>
                    </w:rPr>
                    <w:t>S</w:t>
                  </w:r>
                </w:p>
              </w:tc>
              <w:tc>
                <w:tcPr>
                  <w:tcW w:w="932" w:type="pct"/>
                  <w:vMerge w:val="continue"/>
                  <w:noWrap w:val="0"/>
                  <w:vAlign w:val="center"/>
                </w:tcPr>
                <w:p w14:paraId="24322E59">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bCs/>
                      <w:sz w:val="21"/>
                      <w:szCs w:val="21"/>
                      <w:lang w:val="en-US" w:eastAsia="zh-CN" w:bidi="ar"/>
                    </w:rPr>
                  </w:pPr>
                </w:p>
              </w:tc>
              <w:tc>
                <w:tcPr>
                  <w:tcW w:w="1057" w:type="pct"/>
                  <w:vMerge w:val="continue"/>
                  <w:noWrap w:val="0"/>
                  <w:vAlign w:val="center"/>
                </w:tcPr>
                <w:p w14:paraId="0FAAB151">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bCs/>
                      <w:sz w:val="21"/>
                      <w:szCs w:val="21"/>
                      <w:lang w:val="en-US" w:eastAsia="zh-CN" w:bidi="ar"/>
                    </w:rPr>
                  </w:pPr>
                </w:p>
              </w:tc>
              <w:tc>
                <w:tcPr>
                  <w:tcW w:w="958" w:type="pct"/>
                  <w:noWrap w:val="0"/>
                  <w:vAlign w:val="center"/>
                </w:tcPr>
                <w:p w14:paraId="0BCA1A80">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cs="宋体"/>
                      <w:bCs/>
                      <w:sz w:val="21"/>
                      <w:szCs w:val="21"/>
                      <w:lang w:val="en-US" w:eastAsia="zh-CN" w:bidi="ar"/>
                    </w:rPr>
                  </w:pPr>
                  <w:r>
                    <w:rPr>
                      <w:rFonts w:hint="eastAsia" w:cs="宋体"/>
                      <w:bCs/>
                      <w:sz w:val="21"/>
                      <w:szCs w:val="21"/>
                      <w:lang w:val="en-US" w:eastAsia="zh-CN" w:bidi="ar"/>
                    </w:rPr>
                    <w:t>0.06</w:t>
                  </w:r>
                </w:p>
              </w:tc>
              <w:tc>
                <w:tcPr>
                  <w:tcW w:w="563" w:type="pct"/>
                  <w:noWrap w:val="0"/>
                  <w:vAlign w:val="center"/>
                </w:tcPr>
                <w:p w14:paraId="3316917F">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bCs/>
                      <w:sz w:val="21"/>
                      <w:szCs w:val="21"/>
                      <w:lang w:val="en-US" w:eastAsia="zh-CN" w:bidi="ar"/>
                    </w:rPr>
                  </w:pPr>
                  <w:r>
                    <w:rPr>
                      <w:rFonts w:hint="eastAsia"/>
                      <w:color w:val="auto"/>
                      <w:sz w:val="21"/>
                      <w:szCs w:val="21"/>
                    </w:rPr>
                    <w:t>0.00</w:t>
                  </w:r>
                  <w:r>
                    <w:rPr>
                      <w:rFonts w:hint="eastAsia"/>
                      <w:color w:val="auto"/>
                      <w:sz w:val="21"/>
                      <w:szCs w:val="21"/>
                      <w:lang w:val="en-US" w:eastAsia="zh-CN"/>
                    </w:rPr>
                    <w:t>03</w:t>
                  </w:r>
                </w:p>
              </w:tc>
            </w:tr>
            <w:tr w14:paraId="32646B2F">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421" w:type="pct"/>
                  <w:vMerge w:val="continue"/>
                  <w:noWrap w:val="0"/>
                  <w:vAlign w:val="center"/>
                </w:tcPr>
                <w:p w14:paraId="1605D55B">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bCs/>
                      <w:sz w:val="21"/>
                      <w:szCs w:val="21"/>
                      <w:lang w:val="en-US" w:eastAsia="zh-CN" w:bidi="ar"/>
                    </w:rPr>
                  </w:pPr>
                </w:p>
              </w:tc>
              <w:tc>
                <w:tcPr>
                  <w:tcW w:w="636" w:type="pct"/>
                  <w:shd w:val="clear" w:color="auto" w:fill="auto"/>
                  <w:noWrap w:val="0"/>
                  <w:vAlign w:val="center"/>
                </w:tcPr>
                <w:p w14:paraId="4AE62EF5">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实验废气</w:t>
                  </w:r>
                </w:p>
              </w:tc>
              <w:tc>
                <w:tcPr>
                  <w:tcW w:w="430" w:type="pct"/>
                  <w:shd w:val="clear" w:color="auto" w:fill="auto"/>
                  <w:noWrap w:val="0"/>
                  <w:vAlign w:val="center"/>
                </w:tcPr>
                <w:p w14:paraId="299834EF">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VOCs</w:t>
                  </w:r>
                </w:p>
              </w:tc>
              <w:tc>
                <w:tcPr>
                  <w:tcW w:w="932" w:type="pct"/>
                  <w:shd w:val="clear" w:color="auto" w:fill="auto"/>
                  <w:noWrap w:val="0"/>
                  <w:vAlign w:val="center"/>
                </w:tcPr>
                <w:p w14:paraId="06E3656E">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kern w:val="2"/>
                      <w:sz w:val="21"/>
                      <w:szCs w:val="21"/>
                      <w:lang w:val="en-US" w:eastAsia="zh-CN" w:bidi="ar"/>
                    </w:rPr>
                  </w:pPr>
                  <w:r>
                    <w:rPr>
                      <w:rFonts w:hint="eastAsia" w:cs="Times New Roman"/>
                      <w:bCs/>
                      <w:kern w:val="2"/>
                      <w:sz w:val="21"/>
                      <w:szCs w:val="21"/>
                      <w:lang w:val="en-US" w:eastAsia="zh-CN" w:bidi="ar"/>
                    </w:rPr>
                    <w:t>通风橱内进行</w:t>
                  </w:r>
                </w:p>
              </w:tc>
              <w:tc>
                <w:tcPr>
                  <w:tcW w:w="1057" w:type="pct"/>
                  <w:shd w:val="clear" w:color="auto" w:fill="auto"/>
                  <w:noWrap w:val="0"/>
                  <w:vAlign w:val="center"/>
                </w:tcPr>
                <w:p w14:paraId="4DE446CB">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bCs/>
                      <w:kern w:val="2"/>
                      <w:sz w:val="21"/>
                      <w:szCs w:val="21"/>
                      <w:lang w:val="en-US" w:eastAsia="zh-CN" w:bidi="ar"/>
                    </w:rPr>
                  </w:pPr>
                  <w:r>
                    <w:rPr>
                      <w:rFonts w:hint="eastAsia" w:ascii="Times New Roman" w:hAnsi="Times New Roman" w:eastAsia="宋体" w:cs="宋体"/>
                      <w:bCs/>
                      <w:sz w:val="21"/>
                      <w:szCs w:val="21"/>
                      <w:lang w:val="en-US" w:eastAsia="zh-CN" w:bidi="ar"/>
                    </w:rPr>
                    <w:t>《制药工业大气污染物排放标准》（GB37823-2019）</w:t>
                  </w:r>
                  <w:r>
                    <w:rPr>
                      <w:rFonts w:hint="eastAsia"/>
                      <w:bCs/>
                      <w:sz w:val="21"/>
                      <w:szCs w:val="21"/>
                      <w:lang w:val="en-US" w:eastAsia="zh-CN" w:bidi="ar"/>
                    </w:rPr>
                    <w:t>表2特别排放限值</w:t>
                  </w:r>
                </w:p>
              </w:tc>
              <w:tc>
                <w:tcPr>
                  <w:tcW w:w="958" w:type="pct"/>
                  <w:shd w:val="clear" w:color="auto" w:fill="auto"/>
                  <w:noWrap w:val="0"/>
                  <w:vAlign w:val="center"/>
                </w:tcPr>
                <w:p w14:paraId="2997A03A">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bCs/>
                      <w:sz w:val="21"/>
                      <w:szCs w:val="21"/>
                      <w:lang w:val="en-US" w:eastAsia="zh-CN" w:bidi="ar"/>
                    </w:rPr>
                  </w:pPr>
                  <w:r>
                    <w:rPr>
                      <w:rFonts w:hint="eastAsia" w:ascii="Times New Roman" w:hAnsi="Times New Roman" w:eastAsia="宋体" w:cs="宋体"/>
                      <w:bCs/>
                      <w:sz w:val="21"/>
                      <w:szCs w:val="21"/>
                      <w:lang w:val="en-US" w:eastAsia="zh-CN" w:bidi="ar"/>
                    </w:rPr>
                    <w:t>6（监控点处1h平均浓度值</w:t>
                  </w:r>
                </w:p>
                <w:p w14:paraId="5A0FBABD">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bCs/>
                      <w:sz w:val="21"/>
                      <w:szCs w:val="21"/>
                      <w:lang w:val="en-US" w:eastAsia="zh-CN" w:bidi="ar"/>
                    </w:rPr>
                  </w:pPr>
                  <w:r>
                    <w:rPr>
                      <w:rFonts w:hint="eastAsia" w:ascii="Times New Roman" w:hAnsi="Times New Roman" w:eastAsia="宋体" w:cs="宋体"/>
                      <w:bCs/>
                      <w:sz w:val="21"/>
                      <w:szCs w:val="21"/>
                      <w:lang w:val="en-US" w:eastAsia="zh-CN" w:bidi="ar"/>
                    </w:rPr>
                    <w:t>）</w:t>
                  </w:r>
                </w:p>
                <w:p w14:paraId="5850B0D8">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bCs/>
                      <w:kern w:val="2"/>
                      <w:sz w:val="21"/>
                      <w:szCs w:val="21"/>
                      <w:lang w:val="en-US" w:eastAsia="zh-CN" w:bidi="ar"/>
                    </w:rPr>
                  </w:pPr>
                  <w:r>
                    <w:rPr>
                      <w:rFonts w:hint="eastAsia" w:ascii="Times New Roman" w:hAnsi="Times New Roman" w:eastAsia="宋体" w:cs="宋体"/>
                      <w:bCs/>
                      <w:sz w:val="21"/>
                      <w:szCs w:val="21"/>
                      <w:lang w:val="en-US" w:eastAsia="zh-CN" w:bidi="ar"/>
                    </w:rPr>
                    <w:t>20（监控点处任意一点浓度值）</w:t>
                  </w:r>
                </w:p>
              </w:tc>
              <w:tc>
                <w:tcPr>
                  <w:tcW w:w="563" w:type="pct"/>
                  <w:shd w:val="clear" w:color="auto" w:fill="auto"/>
                  <w:noWrap w:val="0"/>
                  <w:vAlign w:val="center"/>
                </w:tcPr>
                <w:p w14:paraId="1895DFBC">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kern w:val="2"/>
                      <w:sz w:val="21"/>
                      <w:szCs w:val="21"/>
                      <w:lang w:val="en-US" w:eastAsia="zh-CN" w:bidi="ar"/>
                    </w:rPr>
                  </w:pPr>
                  <w:r>
                    <w:rPr>
                      <w:rFonts w:hint="eastAsia"/>
                      <w:color w:val="auto"/>
                      <w:sz w:val="21"/>
                      <w:szCs w:val="21"/>
                    </w:rPr>
                    <w:t>0.002</w:t>
                  </w:r>
                  <w:r>
                    <w:rPr>
                      <w:rFonts w:hint="eastAsia"/>
                      <w:color w:val="auto"/>
                      <w:sz w:val="21"/>
                      <w:szCs w:val="21"/>
                      <w:lang w:val="en-US" w:eastAsia="zh-CN"/>
                    </w:rPr>
                    <w:t>0</w:t>
                  </w:r>
                </w:p>
              </w:tc>
            </w:tr>
            <w:tr w14:paraId="29F7178A">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1057" w:type="pct"/>
                  <w:gridSpan w:val="2"/>
                  <w:vMerge w:val="restart"/>
                  <w:noWrap w:val="0"/>
                  <w:vAlign w:val="center"/>
                </w:tcPr>
                <w:p w14:paraId="62A3DB01">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bCs/>
                      <w:sz w:val="21"/>
                      <w:szCs w:val="21"/>
                      <w:lang w:val="en-US" w:eastAsia="zh-CN" w:bidi="ar"/>
                    </w:rPr>
                  </w:pPr>
                  <w:r>
                    <w:rPr>
                      <w:rFonts w:hint="eastAsia"/>
                      <w:bCs/>
                      <w:sz w:val="21"/>
                      <w:szCs w:val="21"/>
                      <w:lang w:val="en-US" w:eastAsia="zh-CN" w:bidi="ar"/>
                    </w:rPr>
                    <w:t>无组织排放合计</w:t>
                  </w:r>
                </w:p>
              </w:tc>
              <w:tc>
                <w:tcPr>
                  <w:tcW w:w="430" w:type="pct"/>
                  <w:shd w:val="clear" w:color="auto" w:fill="auto"/>
                  <w:noWrap w:val="0"/>
                  <w:vAlign w:val="center"/>
                </w:tcPr>
                <w:p w14:paraId="334FEE8E">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kern w:val="2"/>
                      <w:sz w:val="21"/>
                      <w:szCs w:val="21"/>
                      <w:lang w:val="en-US" w:eastAsia="zh-CN" w:bidi="ar"/>
                    </w:rPr>
                  </w:pPr>
                  <w:r>
                    <w:rPr>
                      <w:rFonts w:hint="eastAsia"/>
                      <w:bCs/>
                      <w:sz w:val="21"/>
                      <w:szCs w:val="21"/>
                      <w:lang w:val="en-US" w:eastAsia="zh-CN" w:bidi="ar"/>
                    </w:rPr>
                    <w:t>颗粒物</w:t>
                  </w:r>
                </w:p>
              </w:tc>
              <w:tc>
                <w:tcPr>
                  <w:tcW w:w="932" w:type="pct"/>
                  <w:shd w:val="clear" w:color="auto" w:fill="auto"/>
                  <w:noWrap w:val="0"/>
                  <w:vAlign w:val="center"/>
                </w:tcPr>
                <w:p w14:paraId="0E0A23B8">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kern w:val="2"/>
                      <w:sz w:val="21"/>
                      <w:szCs w:val="21"/>
                      <w:lang w:val="en-US" w:eastAsia="zh-CN" w:bidi="ar"/>
                    </w:rPr>
                  </w:pPr>
                  <w:r>
                    <w:rPr>
                      <w:rFonts w:hint="eastAsia"/>
                      <w:bCs/>
                      <w:sz w:val="21"/>
                      <w:szCs w:val="21"/>
                      <w:lang w:val="en-US" w:eastAsia="zh-CN" w:bidi="ar"/>
                    </w:rPr>
                    <w:t>/</w:t>
                  </w:r>
                </w:p>
              </w:tc>
              <w:tc>
                <w:tcPr>
                  <w:tcW w:w="1057" w:type="pct"/>
                  <w:shd w:val="clear" w:color="auto" w:fill="auto"/>
                  <w:noWrap w:val="0"/>
                  <w:vAlign w:val="center"/>
                </w:tcPr>
                <w:p w14:paraId="22BA9E87">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kern w:val="2"/>
                      <w:sz w:val="21"/>
                      <w:szCs w:val="21"/>
                      <w:lang w:val="en-US" w:eastAsia="zh-CN" w:bidi="ar"/>
                    </w:rPr>
                  </w:pPr>
                  <w:r>
                    <w:rPr>
                      <w:rFonts w:hint="eastAsia"/>
                      <w:bCs/>
                      <w:sz w:val="21"/>
                      <w:szCs w:val="21"/>
                      <w:lang w:val="en-US" w:eastAsia="zh-CN" w:bidi="ar"/>
                    </w:rPr>
                    <w:t>/</w:t>
                  </w:r>
                </w:p>
              </w:tc>
              <w:tc>
                <w:tcPr>
                  <w:tcW w:w="958" w:type="pct"/>
                  <w:shd w:val="clear" w:color="auto" w:fill="auto"/>
                  <w:noWrap w:val="0"/>
                  <w:vAlign w:val="center"/>
                </w:tcPr>
                <w:p w14:paraId="2DD5961D">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bCs/>
                      <w:kern w:val="2"/>
                      <w:sz w:val="21"/>
                      <w:szCs w:val="21"/>
                      <w:lang w:val="en-US" w:eastAsia="zh-CN" w:bidi="ar"/>
                    </w:rPr>
                  </w:pPr>
                  <w:r>
                    <w:rPr>
                      <w:rFonts w:hint="eastAsia" w:cs="宋体"/>
                      <w:bCs/>
                      <w:sz w:val="21"/>
                      <w:szCs w:val="21"/>
                      <w:lang w:val="en-US" w:eastAsia="zh-CN" w:bidi="ar"/>
                    </w:rPr>
                    <w:t>/</w:t>
                  </w:r>
                </w:p>
              </w:tc>
              <w:tc>
                <w:tcPr>
                  <w:tcW w:w="563" w:type="pct"/>
                  <w:shd w:val="clear" w:color="auto" w:fill="auto"/>
                  <w:noWrap w:val="0"/>
                  <w:vAlign w:val="center"/>
                </w:tcPr>
                <w:p w14:paraId="798770ED">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kern w:val="2"/>
                      <w:sz w:val="21"/>
                      <w:szCs w:val="21"/>
                      <w:lang w:val="en-US" w:eastAsia="zh-CN" w:bidi="ar"/>
                    </w:rPr>
                  </w:pPr>
                  <w:r>
                    <w:rPr>
                      <w:rFonts w:hint="eastAsia"/>
                      <w:bCs/>
                      <w:sz w:val="21"/>
                      <w:szCs w:val="21"/>
                      <w:lang w:val="en-US" w:eastAsia="zh-CN" w:bidi="ar"/>
                    </w:rPr>
                    <w:t>0.4400</w:t>
                  </w:r>
                </w:p>
              </w:tc>
            </w:tr>
            <w:tr w14:paraId="0480C550">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1057" w:type="pct"/>
                  <w:gridSpan w:val="2"/>
                  <w:vMerge w:val="continue"/>
                  <w:noWrap w:val="0"/>
                  <w:vAlign w:val="center"/>
                </w:tcPr>
                <w:p w14:paraId="3AD251A5">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bCs/>
                      <w:sz w:val="21"/>
                      <w:szCs w:val="21"/>
                      <w:lang w:val="en-US" w:eastAsia="zh-CN" w:bidi="ar"/>
                    </w:rPr>
                  </w:pPr>
                </w:p>
              </w:tc>
              <w:tc>
                <w:tcPr>
                  <w:tcW w:w="430" w:type="pct"/>
                  <w:shd w:val="clear" w:color="auto" w:fill="auto"/>
                  <w:noWrap w:val="0"/>
                  <w:vAlign w:val="center"/>
                </w:tcPr>
                <w:p w14:paraId="4FFA62C7">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NH</w:t>
                  </w:r>
                  <w:r>
                    <w:rPr>
                      <w:rFonts w:hint="eastAsia" w:ascii="Times New Roman" w:hAnsi="Times New Roman" w:eastAsia="宋体" w:cs="Times New Roman"/>
                      <w:color w:val="auto"/>
                      <w:sz w:val="21"/>
                      <w:szCs w:val="21"/>
                      <w:vertAlign w:val="subscript"/>
                      <w:lang w:val="en-US" w:eastAsia="zh-CN"/>
                    </w:rPr>
                    <w:t>3</w:t>
                  </w:r>
                </w:p>
              </w:tc>
              <w:tc>
                <w:tcPr>
                  <w:tcW w:w="932" w:type="pct"/>
                  <w:shd w:val="clear" w:color="auto" w:fill="auto"/>
                  <w:noWrap w:val="0"/>
                  <w:vAlign w:val="center"/>
                </w:tcPr>
                <w:p w14:paraId="43EC6FB9">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kern w:val="2"/>
                      <w:sz w:val="21"/>
                      <w:szCs w:val="21"/>
                      <w:lang w:val="en-US" w:eastAsia="zh-CN" w:bidi="ar"/>
                    </w:rPr>
                  </w:pPr>
                  <w:r>
                    <w:rPr>
                      <w:rFonts w:hint="eastAsia"/>
                      <w:bCs/>
                      <w:sz w:val="21"/>
                      <w:szCs w:val="21"/>
                      <w:lang w:val="en-US" w:eastAsia="zh-CN" w:bidi="ar"/>
                    </w:rPr>
                    <w:t>/</w:t>
                  </w:r>
                </w:p>
              </w:tc>
              <w:tc>
                <w:tcPr>
                  <w:tcW w:w="1057" w:type="pct"/>
                  <w:shd w:val="clear" w:color="auto" w:fill="auto"/>
                  <w:noWrap w:val="0"/>
                  <w:vAlign w:val="center"/>
                </w:tcPr>
                <w:p w14:paraId="5E9B474F">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kern w:val="2"/>
                      <w:sz w:val="21"/>
                      <w:szCs w:val="21"/>
                      <w:lang w:val="en-US" w:eastAsia="zh-CN" w:bidi="ar"/>
                    </w:rPr>
                  </w:pPr>
                  <w:r>
                    <w:rPr>
                      <w:rFonts w:hint="eastAsia"/>
                      <w:bCs/>
                      <w:sz w:val="21"/>
                      <w:szCs w:val="21"/>
                      <w:lang w:val="en-US" w:eastAsia="zh-CN" w:bidi="ar"/>
                    </w:rPr>
                    <w:t>/</w:t>
                  </w:r>
                </w:p>
              </w:tc>
              <w:tc>
                <w:tcPr>
                  <w:tcW w:w="958" w:type="pct"/>
                  <w:shd w:val="clear" w:color="auto" w:fill="auto"/>
                  <w:noWrap w:val="0"/>
                  <w:vAlign w:val="center"/>
                </w:tcPr>
                <w:p w14:paraId="29D52485">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bCs/>
                      <w:kern w:val="2"/>
                      <w:sz w:val="21"/>
                      <w:szCs w:val="21"/>
                      <w:lang w:val="en-US" w:eastAsia="zh-CN" w:bidi="ar"/>
                    </w:rPr>
                  </w:pPr>
                  <w:r>
                    <w:rPr>
                      <w:rFonts w:hint="eastAsia" w:cs="宋体"/>
                      <w:bCs/>
                      <w:sz w:val="21"/>
                      <w:szCs w:val="21"/>
                      <w:lang w:val="en-US" w:eastAsia="zh-CN" w:bidi="ar"/>
                    </w:rPr>
                    <w:t>/</w:t>
                  </w:r>
                </w:p>
              </w:tc>
              <w:tc>
                <w:tcPr>
                  <w:tcW w:w="563" w:type="pct"/>
                  <w:shd w:val="clear" w:color="auto" w:fill="auto"/>
                  <w:noWrap w:val="0"/>
                  <w:vAlign w:val="center"/>
                </w:tcPr>
                <w:p w14:paraId="6B9B1323">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kern w:val="2"/>
                      <w:sz w:val="21"/>
                      <w:szCs w:val="21"/>
                      <w:lang w:val="en-US" w:eastAsia="zh-CN" w:bidi="ar"/>
                    </w:rPr>
                  </w:pPr>
                  <w:r>
                    <w:rPr>
                      <w:rFonts w:hint="eastAsia"/>
                      <w:color w:val="auto"/>
                      <w:sz w:val="21"/>
                      <w:szCs w:val="21"/>
                    </w:rPr>
                    <w:t>0.00</w:t>
                  </w:r>
                  <w:r>
                    <w:rPr>
                      <w:rFonts w:hint="eastAsia"/>
                      <w:color w:val="auto"/>
                      <w:sz w:val="21"/>
                      <w:szCs w:val="21"/>
                      <w:lang w:val="en-US" w:eastAsia="zh-CN"/>
                    </w:rPr>
                    <w:t>67</w:t>
                  </w:r>
                </w:p>
              </w:tc>
            </w:tr>
            <w:tr w14:paraId="3EA608C0">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1057" w:type="pct"/>
                  <w:gridSpan w:val="2"/>
                  <w:vMerge w:val="continue"/>
                  <w:noWrap w:val="0"/>
                  <w:vAlign w:val="center"/>
                </w:tcPr>
                <w:p w14:paraId="37A02300">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bCs/>
                      <w:sz w:val="21"/>
                      <w:szCs w:val="21"/>
                      <w:lang w:val="en-US" w:eastAsia="zh-CN" w:bidi="ar"/>
                    </w:rPr>
                  </w:pPr>
                </w:p>
              </w:tc>
              <w:tc>
                <w:tcPr>
                  <w:tcW w:w="430" w:type="pct"/>
                  <w:shd w:val="clear" w:color="auto" w:fill="auto"/>
                  <w:noWrap w:val="0"/>
                  <w:vAlign w:val="center"/>
                </w:tcPr>
                <w:p w14:paraId="00A7F310">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H</w:t>
                  </w:r>
                  <w:r>
                    <w:rPr>
                      <w:rFonts w:hint="eastAsia" w:ascii="Times New Roman" w:hAnsi="Times New Roman" w:eastAsia="宋体" w:cs="Times New Roman"/>
                      <w:color w:val="auto"/>
                      <w:sz w:val="21"/>
                      <w:szCs w:val="21"/>
                      <w:vertAlign w:val="subscript"/>
                      <w:lang w:val="en-US" w:eastAsia="zh-CN"/>
                    </w:rPr>
                    <w:t>2</w:t>
                  </w:r>
                  <w:r>
                    <w:rPr>
                      <w:rFonts w:hint="eastAsia" w:ascii="Times New Roman" w:hAnsi="Times New Roman" w:eastAsia="宋体" w:cs="Times New Roman"/>
                      <w:color w:val="auto"/>
                      <w:sz w:val="21"/>
                      <w:szCs w:val="21"/>
                      <w:lang w:val="en-US" w:eastAsia="zh-CN"/>
                    </w:rPr>
                    <w:t>S</w:t>
                  </w:r>
                </w:p>
              </w:tc>
              <w:tc>
                <w:tcPr>
                  <w:tcW w:w="932" w:type="pct"/>
                  <w:shd w:val="clear" w:color="auto" w:fill="auto"/>
                  <w:noWrap w:val="0"/>
                  <w:vAlign w:val="center"/>
                </w:tcPr>
                <w:p w14:paraId="209558F5">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kern w:val="2"/>
                      <w:sz w:val="21"/>
                      <w:szCs w:val="21"/>
                      <w:lang w:val="en-US" w:eastAsia="zh-CN" w:bidi="ar"/>
                    </w:rPr>
                  </w:pPr>
                  <w:r>
                    <w:rPr>
                      <w:rFonts w:hint="eastAsia"/>
                      <w:bCs/>
                      <w:sz w:val="21"/>
                      <w:szCs w:val="21"/>
                      <w:lang w:val="en-US" w:eastAsia="zh-CN" w:bidi="ar"/>
                    </w:rPr>
                    <w:t>/</w:t>
                  </w:r>
                </w:p>
              </w:tc>
              <w:tc>
                <w:tcPr>
                  <w:tcW w:w="1057" w:type="pct"/>
                  <w:shd w:val="clear" w:color="auto" w:fill="auto"/>
                  <w:noWrap w:val="0"/>
                  <w:vAlign w:val="center"/>
                </w:tcPr>
                <w:p w14:paraId="4B417E6E">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kern w:val="2"/>
                      <w:sz w:val="21"/>
                      <w:szCs w:val="21"/>
                      <w:lang w:val="en-US" w:eastAsia="zh-CN" w:bidi="ar"/>
                    </w:rPr>
                  </w:pPr>
                  <w:r>
                    <w:rPr>
                      <w:rFonts w:hint="eastAsia"/>
                      <w:bCs/>
                      <w:sz w:val="21"/>
                      <w:szCs w:val="21"/>
                      <w:lang w:val="en-US" w:eastAsia="zh-CN" w:bidi="ar"/>
                    </w:rPr>
                    <w:t>/</w:t>
                  </w:r>
                </w:p>
              </w:tc>
              <w:tc>
                <w:tcPr>
                  <w:tcW w:w="958" w:type="pct"/>
                  <w:shd w:val="clear" w:color="auto" w:fill="auto"/>
                  <w:noWrap w:val="0"/>
                  <w:vAlign w:val="center"/>
                </w:tcPr>
                <w:p w14:paraId="74A20CEB">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bCs/>
                      <w:kern w:val="2"/>
                      <w:sz w:val="21"/>
                      <w:szCs w:val="21"/>
                      <w:lang w:val="en-US" w:eastAsia="zh-CN" w:bidi="ar"/>
                    </w:rPr>
                  </w:pPr>
                  <w:r>
                    <w:rPr>
                      <w:rFonts w:hint="eastAsia" w:cs="宋体"/>
                      <w:bCs/>
                      <w:sz w:val="21"/>
                      <w:szCs w:val="21"/>
                      <w:lang w:val="en-US" w:eastAsia="zh-CN" w:bidi="ar"/>
                    </w:rPr>
                    <w:t>/</w:t>
                  </w:r>
                </w:p>
              </w:tc>
              <w:tc>
                <w:tcPr>
                  <w:tcW w:w="563" w:type="pct"/>
                  <w:shd w:val="clear" w:color="auto" w:fill="auto"/>
                  <w:noWrap w:val="0"/>
                  <w:vAlign w:val="center"/>
                </w:tcPr>
                <w:p w14:paraId="2C5D3835">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kern w:val="2"/>
                      <w:sz w:val="21"/>
                      <w:szCs w:val="21"/>
                      <w:lang w:val="en-US" w:eastAsia="zh-CN" w:bidi="ar"/>
                    </w:rPr>
                  </w:pPr>
                  <w:r>
                    <w:rPr>
                      <w:rFonts w:hint="eastAsia"/>
                      <w:color w:val="auto"/>
                      <w:sz w:val="21"/>
                      <w:szCs w:val="21"/>
                    </w:rPr>
                    <w:t>0.00</w:t>
                  </w:r>
                  <w:r>
                    <w:rPr>
                      <w:rFonts w:hint="eastAsia"/>
                      <w:color w:val="auto"/>
                      <w:sz w:val="21"/>
                      <w:szCs w:val="21"/>
                      <w:lang w:val="en-US" w:eastAsia="zh-CN"/>
                    </w:rPr>
                    <w:t>03</w:t>
                  </w:r>
                </w:p>
              </w:tc>
            </w:tr>
            <w:tr w14:paraId="265E10D8">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1057" w:type="pct"/>
                  <w:gridSpan w:val="2"/>
                  <w:vMerge w:val="continue"/>
                  <w:noWrap w:val="0"/>
                  <w:vAlign w:val="center"/>
                </w:tcPr>
                <w:p w14:paraId="42130559">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bCs/>
                      <w:sz w:val="21"/>
                      <w:szCs w:val="21"/>
                      <w:lang w:val="en-US" w:eastAsia="zh-CN" w:bidi="ar"/>
                    </w:rPr>
                  </w:pPr>
                </w:p>
              </w:tc>
              <w:tc>
                <w:tcPr>
                  <w:tcW w:w="430" w:type="pct"/>
                  <w:shd w:val="clear" w:color="auto" w:fill="auto"/>
                  <w:noWrap w:val="0"/>
                  <w:vAlign w:val="center"/>
                </w:tcPr>
                <w:p w14:paraId="3D1ADB41">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VOCs</w:t>
                  </w:r>
                </w:p>
              </w:tc>
              <w:tc>
                <w:tcPr>
                  <w:tcW w:w="932" w:type="pct"/>
                  <w:shd w:val="clear" w:color="auto" w:fill="auto"/>
                  <w:noWrap w:val="0"/>
                  <w:vAlign w:val="center"/>
                </w:tcPr>
                <w:p w14:paraId="6613FED4">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kern w:val="2"/>
                      <w:sz w:val="21"/>
                      <w:szCs w:val="21"/>
                      <w:lang w:val="en-US" w:eastAsia="zh-CN" w:bidi="ar"/>
                    </w:rPr>
                  </w:pPr>
                  <w:r>
                    <w:rPr>
                      <w:rFonts w:hint="eastAsia"/>
                      <w:bCs/>
                      <w:sz w:val="21"/>
                      <w:szCs w:val="21"/>
                      <w:lang w:val="en-US" w:eastAsia="zh-CN" w:bidi="ar"/>
                    </w:rPr>
                    <w:t>/</w:t>
                  </w:r>
                </w:p>
              </w:tc>
              <w:tc>
                <w:tcPr>
                  <w:tcW w:w="1057" w:type="pct"/>
                  <w:shd w:val="clear" w:color="auto" w:fill="auto"/>
                  <w:noWrap w:val="0"/>
                  <w:vAlign w:val="center"/>
                </w:tcPr>
                <w:p w14:paraId="3049ED56">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kern w:val="2"/>
                      <w:sz w:val="21"/>
                      <w:szCs w:val="21"/>
                      <w:lang w:val="en-US" w:eastAsia="zh-CN" w:bidi="ar"/>
                    </w:rPr>
                  </w:pPr>
                  <w:r>
                    <w:rPr>
                      <w:rFonts w:hint="eastAsia"/>
                      <w:bCs/>
                      <w:sz w:val="21"/>
                      <w:szCs w:val="21"/>
                      <w:lang w:val="en-US" w:eastAsia="zh-CN" w:bidi="ar"/>
                    </w:rPr>
                    <w:t>/</w:t>
                  </w:r>
                </w:p>
              </w:tc>
              <w:tc>
                <w:tcPr>
                  <w:tcW w:w="958" w:type="pct"/>
                  <w:shd w:val="clear" w:color="auto" w:fill="auto"/>
                  <w:noWrap w:val="0"/>
                  <w:vAlign w:val="center"/>
                </w:tcPr>
                <w:p w14:paraId="25A4300B">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bCs/>
                      <w:kern w:val="2"/>
                      <w:sz w:val="21"/>
                      <w:szCs w:val="21"/>
                      <w:lang w:val="en-US" w:eastAsia="zh-CN" w:bidi="ar"/>
                    </w:rPr>
                  </w:pPr>
                  <w:r>
                    <w:rPr>
                      <w:rFonts w:hint="eastAsia" w:cs="宋体"/>
                      <w:bCs/>
                      <w:sz w:val="21"/>
                      <w:szCs w:val="21"/>
                      <w:lang w:val="en-US" w:eastAsia="zh-CN" w:bidi="ar"/>
                    </w:rPr>
                    <w:t>/</w:t>
                  </w:r>
                </w:p>
              </w:tc>
              <w:tc>
                <w:tcPr>
                  <w:tcW w:w="563" w:type="pct"/>
                  <w:shd w:val="clear" w:color="auto" w:fill="auto"/>
                  <w:noWrap w:val="0"/>
                  <w:vAlign w:val="center"/>
                </w:tcPr>
                <w:p w14:paraId="53A1FA26">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kern w:val="2"/>
                      <w:sz w:val="21"/>
                      <w:szCs w:val="21"/>
                      <w:lang w:val="en-US" w:eastAsia="zh-CN" w:bidi="ar"/>
                    </w:rPr>
                  </w:pPr>
                  <w:r>
                    <w:rPr>
                      <w:rFonts w:hint="eastAsia"/>
                      <w:color w:val="auto"/>
                      <w:sz w:val="21"/>
                      <w:szCs w:val="21"/>
                    </w:rPr>
                    <w:t>0.002</w:t>
                  </w:r>
                  <w:r>
                    <w:rPr>
                      <w:rFonts w:hint="eastAsia"/>
                      <w:color w:val="auto"/>
                      <w:sz w:val="21"/>
                      <w:szCs w:val="21"/>
                      <w:lang w:val="en-US" w:eastAsia="zh-CN"/>
                    </w:rPr>
                    <w:t>0</w:t>
                  </w:r>
                </w:p>
              </w:tc>
            </w:tr>
          </w:tbl>
          <w:p w14:paraId="0B0E94E4">
            <w:pPr>
              <w:keepNext w:val="0"/>
              <w:keepLines w:val="0"/>
              <w:pageBreakBefore w:val="0"/>
              <w:widowControl w:val="0"/>
              <w:numPr>
                <w:ilvl w:val="0"/>
                <w:numId w:val="9"/>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大气污染物年排放量核算表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autofit"/>
              <w:tblCellMar>
                <w:top w:w="0" w:type="dxa"/>
                <w:left w:w="108" w:type="dxa"/>
                <w:bottom w:w="0" w:type="dxa"/>
                <w:right w:w="108" w:type="dxa"/>
              </w:tblCellMar>
            </w:tblPr>
            <w:tblGrid>
              <w:gridCol w:w="3269"/>
              <w:gridCol w:w="2150"/>
              <w:gridCol w:w="2668"/>
            </w:tblGrid>
            <w:tr w14:paraId="3E7E22C5">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82" w:hRule="atLeast"/>
                <w:jc w:val="center"/>
              </w:trPr>
              <w:tc>
                <w:tcPr>
                  <w:tcW w:w="3350" w:type="pct"/>
                  <w:gridSpan w:val="2"/>
                  <w:noWrap w:val="0"/>
                  <w:vAlign w:val="center"/>
                </w:tcPr>
                <w:p w14:paraId="59E47281">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eastAsia="宋体"/>
                      <w:bCs/>
                      <w:sz w:val="21"/>
                      <w:szCs w:val="21"/>
                      <w:lang w:val="en-US" w:eastAsia="zh-CN"/>
                    </w:rPr>
                  </w:pPr>
                  <w:r>
                    <w:rPr>
                      <w:rFonts w:hint="eastAsia"/>
                      <w:bCs/>
                      <w:sz w:val="21"/>
                      <w:szCs w:val="21"/>
                      <w:lang w:val="en-US" w:eastAsia="zh-CN"/>
                    </w:rPr>
                    <w:t>污染物</w:t>
                  </w:r>
                </w:p>
              </w:tc>
              <w:tc>
                <w:tcPr>
                  <w:tcW w:w="1649" w:type="pct"/>
                  <w:noWrap w:val="0"/>
                  <w:vAlign w:val="center"/>
                </w:tcPr>
                <w:p w14:paraId="748BD597">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eastAsia="宋体"/>
                      <w:bCs/>
                      <w:sz w:val="21"/>
                      <w:szCs w:val="21"/>
                      <w:lang w:val="en-US" w:eastAsia="zh-CN" w:bidi="ar"/>
                    </w:rPr>
                  </w:pPr>
                  <w:r>
                    <w:rPr>
                      <w:rFonts w:hint="eastAsia"/>
                      <w:bCs/>
                      <w:sz w:val="21"/>
                      <w:szCs w:val="21"/>
                      <w:lang w:val="en-US" w:eastAsia="zh-CN" w:bidi="ar"/>
                    </w:rPr>
                    <w:t>年排放量（t/a）</w:t>
                  </w:r>
                </w:p>
              </w:tc>
            </w:tr>
            <w:tr w14:paraId="4779503E">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2021" w:type="pct"/>
                  <w:vMerge w:val="restart"/>
                  <w:noWrap w:val="0"/>
                  <w:vAlign w:val="center"/>
                </w:tcPr>
                <w:p w14:paraId="33AB3393">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bCs/>
                      <w:kern w:val="2"/>
                      <w:sz w:val="21"/>
                      <w:szCs w:val="21"/>
                      <w:lang w:val="en-US" w:eastAsia="zh-CN" w:bidi="ar"/>
                    </w:rPr>
                  </w:pPr>
                  <w:r>
                    <w:rPr>
                      <w:rFonts w:hint="eastAsia"/>
                      <w:bCs/>
                      <w:kern w:val="2"/>
                      <w:sz w:val="21"/>
                      <w:szCs w:val="21"/>
                      <w:lang w:val="en-US" w:eastAsia="zh-CN" w:bidi="ar"/>
                    </w:rPr>
                    <w:t>有组织排放</w:t>
                  </w:r>
                </w:p>
              </w:tc>
              <w:tc>
                <w:tcPr>
                  <w:tcW w:w="1329" w:type="pct"/>
                  <w:shd w:val="clear" w:color="auto" w:fill="auto"/>
                  <w:noWrap w:val="0"/>
                  <w:vAlign w:val="center"/>
                </w:tcPr>
                <w:p w14:paraId="771C81B3">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kern w:val="2"/>
                      <w:sz w:val="21"/>
                      <w:szCs w:val="21"/>
                      <w:lang w:val="en-US" w:eastAsia="zh-CN" w:bidi="ar"/>
                    </w:rPr>
                  </w:pPr>
                  <w:r>
                    <w:rPr>
                      <w:rFonts w:hint="eastAsia"/>
                      <w:bCs/>
                      <w:sz w:val="21"/>
                      <w:szCs w:val="21"/>
                      <w:lang w:val="en-US" w:eastAsia="zh-CN" w:bidi="ar"/>
                    </w:rPr>
                    <w:t>颗粒物</w:t>
                  </w:r>
                </w:p>
              </w:tc>
              <w:tc>
                <w:tcPr>
                  <w:tcW w:w="1649" w:type="pct"/>
                  <w:shd w:val="clear" w:color="auto" w:fill="auto"/>
                  <w:noWrap w:val="0"/>
                  <w:vAlign w:val="center"/>
                </w:tcPr>
                <w:p w14:paraId="47F3350E">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kern w:val="2"/>
                      <w:sz w:val="21"/>
                      <w:szCs w:val="21"/>
                      <w:lang w:val="en-US" w:eastAsia="zh-CN" w:bidi="ar"/>
                    </w:rPr>
                  </w:pPr>
                  <w:r>
                    <w:rPr>
                      <w:rFonts w:hint="eastAsia"/>
                      <w:bCs/>
                      <w:sz w:val="21"/>
                      <w:szCs w:val="21"/>
                      <w:lang w:val="en-US" w:eastAsia="zh-CN" w:bidi="ar"/>
                    </w:rPr>
                    <w:t>0.1361</w:t>
                  </w:r>
                </w:p>
              </w:tc>
            </w:tr>
            <w:tr w14:paraId="6F691938">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2021" w:type="pct"/>
                  <w:vMerge w:val="continue"/>
                  <w:noWrap w:val="0"/>
                  <w:vAlign w:val="center"/>
                </w:tcPr>
                <w:p w14:paraId="1FA15FEF">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bCs/>
                      <w:kern w:val="2"/>
                      <w:sz w:val="21"/>
                      <w:szCs w:val="21"/>
                      <w:lang w:val="en-US" w:eastAsia="zh-CN" w:bidi="ar"/>
                    </w:rPr>
                  </w:pPr>
                </w:p>
              </w:tc>
              <w:tc>
                <w:tcPr>
                  <w:tcW w:w="1329" w:type="pct"/>
                  <w:shd w:val="clear" w:color="auto" w:fill="auto"/>
                  <w:noWrap w:val="0"/>
                  <w:vAlign w:val="center"/>
                </w:tcPr>
                <w:p w14:paraId="05AC49E8">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NH</w:t>
                  </w:r>
                  <w:r>
                    <w:rPr>
                      <w:rFonts w:hint="eastAsia" w:ascii="Times New Roman" w:hAnsi="Times New Roman" w:eastAsia="宋体" w:cs="Times New Roman"/>
                      <w:color w:val="auto"/>
                      <w:sz w:val="21"/>
                      <w:szCs w:val="21"/>
                      <w:vertAlign w:val="subscript"/>
                      <w:lang w:val="en-US" w:eastAsia="zh-CN"/>
                    </w:rPr>
                    <w:t>3</w:t>
                  </w:r>
                </w:p>
              </w:tc>
              <w:tc>
                <w:tcPr>
                  <w:tcW w:w="1649" w:type="pct"/>
                  <w:shd w:val="clear" w:color="auto" w:fill="auto"/>
                  <w:noWrap w:val="0"/>
                  <w:vAlign w:val="center"/>
                </w:tcPr>
                <w:p w14:paraId="297D73C4">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kern w:val="2"/>
                      <w:sz w:val="21"/>
                      <w:szCs w:val="21"/>
                      <w:lang w:val="en-US" w:eastAsia="zh-CN" w:bidi="ar"/>
                    </w:rPr>
                  </w:pPr>
                  <w:r>
                    <w:rPr>
                      <w:rFonts w:hint="eastAsia"/>
                      <w:color w:val="auto"/>
                      <w:sz w:val="21"/>
                      <w:szCs w:val="21"/>
                    </w:rPr>
                    <w:t>0</w:t>
                  </w:r>
                  <w:r>
                    <w:rPr>
                      <w:rFonts w:hint="eastAsia"/>
                      <w:color w:val="auto"/>
                      <w:sz w:val="21"/>
                      <w:szCs w:val="21"/>
                      <w:lang w:val="en-US" w:eastAsia="zh-CN"/>
                    </w:rPr>
                    <w:t>.0126</w:t>
                  </w:r>
                </w:p>
              </w:tc>
            </w:tr>
            <w:tr w14:paraId="4AE86A3C">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2021" w:type="pct"/>
                  <w:vMerge w:val="continue"/>
                  <w:noWrap w:val="0"/>
                  <w:vAlign w:val="center"/>
                </w:tcPr>
                <w:p w14:paraId="5EF0813C">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bCs/>
                      <w:kern w:val="2"/>
                      <w:sz w:val="21"/>
                      <w:szCs w:val="21"/>
                      <w:lang w:val="en-US" w:eastAsia="zh-CN" w:bidi="ar"/>
                    </w:rPr>
                  </w:pPr>
                </w:p>
              </w:tc>
              <w:tc>
                <w:tcPr>
                  <w:tcW w:w="1329" w:type="pct"/>
                  <w:shd w:val="clear" w:color="auto" w:fill="auto"/>
                  <w:noWrap w:val="0"/>
                  <w:vAlign w:val="center"/>
                </w:tcPr>
                <w:p w14:paraId="06CF9EE2">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H</w:t>
                  </w:r>
                  <w:r>
                    <w:rPr>
                      <w:rFonts w:hint="eastAsia" w:ascii="Times New Roman" w:hAnsi="Times New Roman" w:eastAsia="宋体" w:cs="Times New Roman"/>
                      <w:color w:val="auto"/>
                      <w:sz w:val="21"/>
                      <w:szCs w:val="21"/>
                      <w:vertAlign w:val="subscript"/>
                      <w:lang w:val="en-US" w:eastAsia="zh-CN"/>
                    </w:rPr>
                    <w:t>2</w:t>
                  </w:r>
                  <w:r>
                    <w:rPr>
                      <w:rFonts w:hint="eastAsia" w:ascii="Times New Roman" w:hAnsi="Times New Roman" w:eastAsia="宋体" w:cs="Times New Roman"/>
                      <w:color w:val="auto"/>
                      <w:sz w:val="21"/>
                      <w:szCs w:val="21"/>
                      <w:lang w:val="en-US" w:eastAsia="zh-CN"/>
                    </w:rPr>
                    <w:t>S</w:t>
                  </w:r>
                </w:p>
              </w:tc>
              <w:tc>
                <w:tcPr>
                  <w:tcW w:w="1649" w:type="pct"/>
                  <w:shd w:val="clear" w:color="auto" w:fill="auto"/>
                  <w:noWrap w:val="0"/>
                  <w:vAlign w:val="center"/>
                </w:tcPr>
                <w:p w14:paraId="49A825FC">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kern w:val="2"/>
                      <w:sz w:val="21"/>
                      <w:szCs w:val="21"/>
                      <w:lang w:val="en-US" w:eastAsia="zh-CN" w:bidi="ar"/>
                    </w:rPr>
                  </w:pPr>
                  <w:r>
                    <w:rPr>
                      <w:rFonts w:hint="eastAsia"/>
                      <w:color w:val="auto"/>
                      <w:sz w:val="21"/>
                      <w:szCs w:val="21"/>
                    </w:rPr>
                    <w:t>0</w:t>
                  </w:r>
                  <w:r>
                    <w:rPr>
                      <w:rFonts w:hint="eastAsia"/>
                      <w:color w:val="auto"/>
                      <w:sz w:val="21"/>
                      <w:szCs w:val="21"/>
                      <w:lang w:val="en-US" w:eastAsia="zh-CN"/>
                    </w:rPr>
                    <w:t>.0013</w:t>
                  </w:r>
                </w:p>
              </w:tc>
            </w:tr>
            <w:tr w14:paraId="10C7D297">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2021" w:type="pct"/>
                  <w:vMerge w:val="continue"/>
                  <w:noWrap w:val="0"/>
                  <w:vAlign w:val="center"/>
                </w:tcPr>
                <w:p w14:paraId="53DCD059">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bCs/>
                      <w:kern w:val="2"/>
                      <w:sz w:val="21"/>
                      <w:szCs w:val="21"/>
                      <w:lang w:val="en-US" w:eastAsia="zh-CN" w:bidi="ar"/>
                    </w:rPr>
                  </w:pPr>
                </w:p>
              </w:tc>
              <w:tc>
                <w:tcPr>
                  <w:tcW w:w="1329" w:type="pct"/>
                  <w:shd w:val="clear" w:color="auto" w:fill="auto"/>
                  <w:noWrap w:val="0"/>
                  <w:vAlign w:val="center"/>
                </w:tcPr>
                <w:p w14:paraId="6C066F10">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VOCs</w:t>
                  </w:r>
                </w:p>
              </w:tc>
              <w:tc>
                <w:tcPr>
                  <w:tcW w:w="1649" w:type="pct"/>
                  <w:shd w:val="clear" w:color="auto" w:fill="auto"/>
                  <w:noWrap w:val="0"/>
                  <w:vAlign w:val="center"/>
                </w:tcPr>
                <w:p w14:paraId="34662202">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kern w:val="2"/>
                      <w:sz w:val="21"/>
                      <w:szCs w:val="21"/>
                      <w:lang w:val="en-US" w:eastAsia="zh-CN" w:bidi="ar"/>
                    </w:rPr>
                  </w:pPr>
                  <w:r>
                    <w:rPr>
                      <w:rFonts w:hint="eastAsia"/>
                      <w:color w:val="auto"/>
                      <w:sz w:val="21"/>
                      <w:szCs w:val="21"/>
                    </w:rPr>
                    <w:t>0.00</w:t>
                  </w:r>
                  <w:r>
                    <w:rPr>
                      <w:rFonts w:hint="eastAsia"/>
                      <w:color w:val="auto"/>
                      <w:sz w:val="21"/>
                      <w:szCs w:val="21"/>
                      <w:lang w:val="en-US" w:eastAsia="zh-CN"/>
                    </w:rPr>
                    <w:t>18</w:t>
                  </w:r>
                </w:p>
              </w:tc>
            </w:tr>
            <w:tr w14:paraId="21270956">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2021" w:type="pct"/>
                  <w:vMerge w:val="continue"/>
                  <w:noWrap w:val="0"/>
                  <w:vAlign w:val="center"/>
                </w:tcPr>
                <w:p w14:paraId="79996E28">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bCs/>
                      <w:kern w:val="2"/>
                      <w:sz w:val="21"/>
                      <w:szCs w:val="21"/>
                      <w:lang w:val="en-US" w:eastAsia="zh-CN" w:bidi="ar"/>
                    </w:rPr>
                  </w:pPr>
                </w:p>
              </w:tc>
              <w:tc>
                <w:tcPr>
                  <w:tcW w:w="1329" w:type="pct"/>
                  <w:shd w:val="clear" w:color="auto" w:fill="auto"/>
                  <w:noWrap w:val="0"/>
                  <w:vAlign w:val="center"/>
                </w:tcPr>
                <w:p w14:paraId="4FDDF232">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油烟</w:t>
                  </w:r>
                </w:p>
              </w:tc>
              <w:tc>
                <w:tcPr>
                  <w:tcW w:w="1649" w:type="pct"/>
                  <w:shd w:val="clear" w:color="auto" w:fill="auto"/>
                  <w:noWrap w:val="0"/>
                  <w:vAlign w:val="center"/>
                </w:tcPr>
                <w:p w14:paraId="5F467037">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kern w:val="2"/>
                      <w:sz w:val="21"/>
                      <w:szCs w:val="21"/>
                      <w:lang w:val="en-US" w:eastAsia="zh-CN" w:bidi="ar"/>
                    </w:rPr>
                  </w:pPr>
                  <w:r>
                    <w:rPr>
                      <w:rFonts w:hint="eastAsia"/>
                      <w:color w:val="auto"/>
                      <w:sz w:val="21"/>
                      <w:szCs w:val="21"/>
                    </w:rPr>
                    <w:t>0.00</w:t>
                  </w:r>
                  <w:r>
                    <w:rPr>
                      <w:rFonts w:hint="eastAsia"/>
                      <w:color w:val="auto"/>
                      <w:sz w:val="21"/>
                      <w:szCs w:val="21"/>
                      <w:lang w:val="en-US" w:eastAsia="zh-CN"/>
                    </w:rPr>
                    <w:t>24</w:t>
                  </w:r>
                </w:p>
              </w:tc>
            </w:tr>
            <w:tr w14:paraId="2B830707">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2021" w:type="pct"/>
                  <w:vMerge w:val="restart"/>
                  <w:noWrap w:val="0"/>
                  <w:vAlign w:val="center"/>
                </w:tcPr>
                <w:p w14:paraId="5335A2C9">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bCs/>
                      <w:kern w:val="2"/>
                      <w:sz w:val="21"/>
                      <w:szCs w:val="21"/>
                      <w:lang w:val="en-US" w:eastAsia="zh-CN" w:bidi="ar"/>
                    </w:rPr>
                  </w:pPr>
                  <w:r>
                    <w:rPr>
                      <w:rFonts w:hint="eastAsia"/>
                      <w:bCs/>
                      <w:kern w:val="2"/>
                      <w:sz w:val="21"/>
                      <w:szCs w:val="21"/>
                      <w:lang w:val="en-US" w:eastAsia="zh-CN" w:bidi="ar"/>
                    </w:rPr>
                    <w:t>无组织排放</w:t>
                  </w:r>
                </w:p>
              </w:tc>
              <w:tc>
                <w:tcPr>
                  <w:tcW w:w="1329" w:type="pct"/>
                  <w:shd w:val="clear" w:color="auto" w:fill="auto"/>
                  <w:noWrap w:val="0"/>
                  <w:vAlign w:val="center"/>
                </w:tcPr>
                <w:p w14:paraId="7A0E4E89">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kern w:val="2"/>
                      <w:sz w:val="21"/>
                      <w:szCs w:val="21"/>
                      <w:lang w:val="en-US" w:eastAsia="zh-CN" w:bidi="ar"/>
                    </w:rPr>
                  </w:pPr>
                  <w:r>
                    <w:rPr>
                      <w:rFonts w:hint="eastAsia"/>
                      <w:bCs/>
                      <w:sz w:val="21"/>
                      <w:szCs w:val="21"/>
                      <w:lang w:val="en-US" w:eastAsia="zh-CN" w:bidi="ar"/>
                    </w:rPr>
                    <w:t>颗粒物</w:t>
                  </w:r>
                </w:p>
              </w:tc>
              <w:tc>
                <w:tcPr>
                  <w:tcW w:w="1649" w:type="pct"/>
                  <w:shd w:val="clear" w:color="auto" w:fill="auto"/>
                  <w:noWrap w:val="0"/>
                  <w:vAlign w:val="center"/>
                </w:tcPr>
                <w:p w14:paraId="738475F8">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kern w:val="2"/>
                      <w:sz w:val="21"/>
                      <w:szCs w:val="21"/>
                      <w:lang w:val="en-US" w:eastAsia="zh-CN" w:bidi="ar"/>
                    </w:rPr>
                  </w:pPr>
                  <w:r>
                    <w:rPr>
                      <w:rFonts w:hint="eastAsia"/>
                      <w:bCs/>
                      <w:sz w:val="21"/>
                      <w:szCs w:val="21"/>
                      <w:lang w:val="en-US" w:eastAsia="zh-CN" w:bidi="ar"/>
                    </w:rPr>
                    <w:t>0.4400</w:t>
                  </w:r>
                </w:p>
              </w:tc>
            </w:tr>
            <w:tr w14:paraId="6902F5EC">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2021" w:type="pct"/>
                  <w:vMerge w:val="continue"/>
                  <w:noWrap w:val="0"/>
                  <w:vAlign w:val="center"/>
                </w:tcPr>
                <w:p w14:paraId="4C7AC0B6">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bCs/>
                      <w:kern w:val="2"/>
                      <w:sz w:val="21"/>
                      <w:szCs w:val="21"/>
                      <w:lang w:val="en-US" w:eastAsia="zh-CN" w:bidi="ar"/>
                    </w:rPr>
                  </w:pPr>
                </w:p>
              </w:tc>
              <w:tc>
                <w:tcPr>
                  <w:tcW w:w="1329" w:type="pct"/>
                  <w:shd w:val="clear" w:color="auto" w:fill="auto"/>
                  <w:noWrap w:val="0"/>
                  <w:vAlign w:val="center"/>
                </w:tcPr>
                <w:p w14:paraId="2CA1D0CC">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NH</w:t>
                  </w:r>
                  <w:r>
                    <w:rPr>
                      <w:rFonts w:hint="eastAsia" w:ascii="Times New Roman" w:hAnsi="Times New Roman" w:eastAsia="宋体" w:cs="Times New Roman"/>
                      <w:color w:val="auto"/>
                      <w:sz w:val="21"/>
                      <w:szCs w:val="21"/>
                      <w:vertAlign w:val="subscript"/>
                      <w:lang w:val="en-US" w:eastAsia="zh-CN"/>
                    </w:rPr>
                    <w:t>3</w:t>
                  </w:r>
                </w:p>
              </w:tc>
              <w:tc>
                <w:tcPr>
                  <w:tcW w:w="1649" w:type="pct"/>
                  <w:shd w:val="clear" w:color="auto" w:fill="auto"/>
                  <w:noWrap w:val="0"/>
                  <w:vAlign w:val="center"/>
                </w:tcPr>
                <w:p w14:paraId="7C4ADEFE">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kern w:val="2"/>
                      <w:sz w:val="21"/>
                      <w:szCs w:val="21"/>
                      <w:lang w:val="en-US" w:eastAsia="zh-CN" w:bidi="ar"/>
                    </w:rPr>
                  </w:pPr>
                  <w:r>
                    <w:rPr>
                      <w:rFonts w:hint="eastAsia"/>
                      <w:color w:val="auto"/>
                      <w:sz w:val="21"/>
                      <w:szCs w:val="21"/>
                    </w:rPr>
                    <w:t>0.00</w:t>
                  </w:r>
                  <w:r>
                    <w:rPr>
                      <w:rFonts w:hint="eastAsia"/>
                      <w:color w:val="auto"/>
                      <w:sz w:val="21"/>
                      <w:szCs w:val="21"/>
                      <w:lang w:val="en-US" w:eastAsia="zh-CN"/>
                    </w:rPr>
                    <w:t>67</w:t>
                  </w:r>
                </w:p>
              </w:tc>
            </w:tr>
            <w:tr w14:paraId="1E6723AD">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2021" w:type="pct"/>
                  <w:vMerge w:val="continue"/>
                  <w:noWrap w:val="0"/>
                  <w:vAlign w:val="center"/>
                </w:tcPr>
                <w:p w14:paraId="71D068F6">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bCs/>
                      <w:kern w:val="2"/>
                      <w:sz w:val="21"/>
                      <w:szCs w:val="21"/>
                      <w:lang w:val="en-US" w:eastAsia="zh-CN" w:bidi="ar"/>
                    </w:rPr>
                  </w:pPr>
                </w:p>
              </w:tc>
              <w:tc>
                <w:tcPr>
                  <w:tcW w:w="1329" w:type="pct"/>
                  <w:shd w:val="clear" w:color="auto" w:fill="auto"/>
                  <w:noWrap w:val="0"/>
                  <w:vAlign w:val="center"/>
                </w:tcPr>
                <w:p w14:paraId="6DE668AB">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H</w:t>
                  </w:r>
                  <w:r>
                    <w:rPr>
                      <w:rFonts w:hint="eastAsia" w:ascii="Times New Roman" w:hAnsi="Times New Roman" w:eastAsia="宋体" w:cs="Times New Roman"/>
                      <w:color w:val="auto"/>
                      <w:sz w:val="21"/>
                      <w:szCs w:val="21"/>
                      <w:vertAlign w:val="subscript"/>
                      <w:lang w:val="en-US" w:eastAsia="zh-CN"/>
                    </w:rPr>
                    <w:t>2</w:t>
                  </w:r>
                  <w:r>
                    <w:rPr>
                      <w:rFonts w:hint="eastAsia" w:ascii="Times New Roman" w:hAnsi="Times New Roman" w:eastAsia="宋体" w:cs="Times New Roman"/>
                      <w:color w:val="auto"/>
                      <w:sz w:val="21"/>
                      <w:szCs w:val="21"/>
                      <w:lang w:val="en-US" w:eastAsia="zh-CN"/>
                    </w:rPr>
                    <w:t>S</w:t>
                  </w:r>
                </w:p>
              </w:tc>
              <w:tc>
                <w:tcPr>
                  <w:tcW w:w="1649" w:type="pct"/>
                  <w:shd w:val="clear" w:color="auto" w:fill="auto"/>
                  <w:noWrap w:val="0"/>
                  <w:vAlign w:val="center"/>
                </w:tcPr>
                <w:p w14:paraId="2473AA4E">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kern w:val="2"/>
                      <w:sz w:val="21"/>
                      <w:szCs w:val="21"/>
                      <w:lang w:val="en-US" w:eastAsia="zh-CN" w:bidi="ar"/>
                    </w:rPr>
                  </w:pPr>
                  <w:r>
                    <w:rPr>
                      <w:rFonts w:hint="eastAsia"/>
                      <w:color w:val="auto"/>
                      <w:sz w:val="21"/>
                      <w:szCs w:val="21"/>
                    </w:rPr>
                    <w:t>0.00</w:t>
                  </w:r>
                  <w:r>
                    <w:rPr>
                      <w:rFonts w:hint="eastAsia"/>
                      <w:color w:val="auto"/>
                      <w:sz w:val="21"/>
                      <w:szCs w:val="21"/>
                      <w:lang w:val="en-US" w:eastAsia="zh-CN"/>
                    </w:rPr>
                    <w:t>03</w:t>
                  </w:r>
                </w:p>
              </w:tc>
            </w:tr>
            <w:tr w14:paraId="5A3E335D">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2021" w:type="pct"/>
                  <w:vMerge w:val="continue"/>
                  <w:noWrap w:val="0"/>
                  <w:vAlign w:val="center"/>
                </w:tcPr>
                <w:p w14:paraId="1C9AC39C">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bCs/>
                      <w:kern w:val="2"/>
                      <w:sz w:val="21"/>
                      <w:szCs w:val="21"/>
                      <w:lang w:val="en-US" w:eastAsia="zh-CN" w:bidi="ar"/>
                    </w:rPr>
                  </w:pPr>
                </w:p>
              </w:tc>
              <w:tc>
                <w:tcPr>
                  <w:tcW w:w="1329" w:type="pct"/>
                  <w:shd w:val="clear" w:color="auto" w:fill="auto"/>
                  <w:noWrap w:val="0"/>
                  <w:vAlign w:val="center"/>
                </w:tcPr>
                <w:p w14:paraId="23415FE6">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VOCs</w:t>
                  </w:r>
                </w:p>
              </w:tc>
              <w:tc>
                <w:tcPr>
                  <w:tcW w:w="1649" w:type="pct"/>
                  <w:shd w:val="clear" w:color="auto" w:fill="auto"/>
                  <w:noWrap w:val="0"/>
                  <w:vAlign w:val="center"/>
                </w:tcPr>
                <w:p w14:paraId="726EC6BF">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kern w:val="2"/>
                      <w:sz w:val="21"/>
                      <w:szCs w:val="21"/>
                      <w:lang w:val="en-US" w:eastAsia="zh-CN" w:bidi="ar"/>
                    </w:rPr>
                  </w:pPr>
                  <w:r>
                    <w:rPr>
                      <w:rFonts w:hint="eastAsia"/>
                      <w:color w:val="auto"/>
                      <w:sz w:val="21"/>
                      <w:szCs w:val="21"/>
                    </w:rPr>
                    <w:t>0.002</w:t>
                  </w:r>
                  <w:r>
                    <w:rPr>
                      <w:rFonts w:hint="eastAsia"/>
                      <w:color w:val="auto"/>
                      <w:sz w:val="21"/>
                      <w:szCs w:val="21"/>
                      <w:lang w:val="en-US" w:eastAsia="zh-CN"/>
                    </w:rPr>
                    <w:t>0</w:t>
                  </w:r>
                </w:p>
              </w:tc>
            </w:tr>
            <w:tr w14:paraId="33A1970B">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2021" w:type="pct"/>
                  <w:vMerge w:val="restart"/>
                  <w:noWrap w:val="0"/>
                  <w:vAlign w:val="center"/>
                </w:tcPr>
                <w:p w14:paraId="69892BCE">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bCs/>
                      <w:sz w:val="21"/>
                      <w:szCs w:val="21"/>
                      <w:lang w:val="en-US" w:eastAsia="zh-CN" w:bidi="ar"/>
                    </w:rPr>
                  </w:pPr>
                  <w:r>
                    <w:rPr>
                      <w:rFonts w:hint="eastAsia"/>
                      <w:bCs/>
                      <w:sz w:val="21"/>
                      <w:szCs w:val="21"/>
                      <w:lang w:val="en-US" w:eastAsia="zh-CN" w:bidi="ar"/>
                    </w:rPr>
                    <w:t>全厂排放量合计</w:t>
                  </w:r>
                </w:p>
              </w:tc>
              <w:tc>
                <w:tcPr>
                  <w:tcW w:w="1329" w:type="pct"/>
                  <w:shd w:val="clear" w:color="auto" w:fill="auto"/>
                  <w:noWrap w:val="0"/>
                  <w:vAlign w:val="center"/>
                </w:tcPr>
                <w:p w14:paraId="3BEA5BA7">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kern w:val="2"/>
                      <w:sz w:val="21"/>
                      <w:szCs w:val="21"/>
                      <w:lang w:val="en-US" w:eastAsia="zh-CN" w:bidi="ar"/>
                    </w:rPr>
                  </w:pPr>
                  <w:r>
                    <w:rPr>
                      <w:rFonts w:hint="eastAsia"/>
                      <w:bCs/>
                      <w:sz w:val="21"/>
                      <w:szCs w:val="21"/>
                      <w:lang w:val="en-US" w:eastAsia="zh-CN" w:bidi="ar"/>
                    </w:rPr>
                    <w:t>颗粒物</w:t>
                  </w:r>
                </w:p>
              </w:tc>
              <w:tc>
                <w:tcPr>
                  <w:tcW w:w="1649" w:type="pct"/>
                  <w:noWrap w:val="0"/>
                  <w:vAlign w:val="center"/>
                </w:tcPr>
                <w:p w14:paraId="698E4486">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eastAsia="宋体"/>
                      <w:bCs/>
                      <w:sz w:val="21"/>
                      <w:szCs w:val="21"/>
                      <w:lang w:val="en-US" w:eastAsia="zh-CN" w:bidi="ar"/>
                    </w:rPr>
                  </w:pPr>
                  <w:r>
                    <w:rPr>
                      <w:rFonts w:hint="eastAsia"/>
                      <w:bCs/>
                      <w:sz w:val="21"/>
                      <w:szCs w:val="21"/>
                      <w:lang w:val="en-US" w:eastAsia="zh-CN" w:bidi="ar"/>
                    </w:rPr>
                    <w:t>0.5761</w:t>
                  </w:r>
                </w:p>
              </w:tc>
            </w:tr>
            <w:tr w14:paraId="40B2AB45">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2021" w:type="pct"/>
                  <w:vMerge w:val="continue"/>
                  <w:noWrap w:val="0"/>
                  <w:vAlign w:val="center"/>
                </w:tcPr>
                <w:p w14:paraId="5B3A9D79">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bCs/>
                      <w:sz w:val="21"/>
                      <w:szCs w:val="21"/>
                      <w:lang w:val="en-US" w:eastAsia="zh-CN" w:bidi="ar"/>
                    </w:rPr>
                  </w:pPr>
                </w:p>
              </w:tc>
              <w:tc>
                <w:tcPr>
                  <w:tcW w:w="1329" w:type="pct"/>
                  <w:shd w:val="clear" w:color="auto" w:fill="auto"/>
                  <w:noWrap w:val="0"/>
                  <w:vAlign w:val="center"/>
                </w:tcPr>
                <w:p w14:paraId="69AAB5BA">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NH</w:t>
                  </w:r>
                  <w:r>
                    <w:rPr>
                      <w:rFonts w:hint="eastAsia" w:ascii="Times New Roman" w:hAnsi="Times New Roman" w:eastAsia="宋体" w:cs="Times New Roman"/>
                      <w:color w:val="auto"/>
                      <w:sz w:val="21"/>
                      <w:szCs w:val="21"/>
                      <w:vertAlign w:val="subscript"/>
                      <w:lang w:val="en-US" w:eastAsia="zh-CN"/>
                    </w:rPr>
                    <w:t>3</w:t>
                  </w:r>
                </w:p>
              </w:tc>
              <w:tc>
                <w:tcPr>
                  <w:tcW w:w="1649" w:type="pct"/>
                  <w:noWrap w:val="0"/>
                  <w:vAlign w:val="center"/>
                </w:tcPr>
                <w:p w14:paraId="2B8DAEEE">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bCs/>
                      <w:sz w:val="21"/>
                      <w:szCs w:val="21"/>
                      <w:lang w:val="en-US" w:eastAsia="zh-CN" w:bidi="ar"/>
                    </w:rPr>
                  </w:pPr>
                  <w:r>
                    <w:rPr>
                      <w:rFonts w:hint="eastAsia"/>
                      <w:bCs/>
                      <w:sz w:val="21"/>
                      <w:szCs w:val="21"/>
                      <w:lang w:val="en-US" w:eastAsia="zh-CN" w:bidi="ar"/>
                    </w:rPr>
                    <w:t>0.0193</w:t>
                  </w:r>
                </w:p>
              </w:tc>
            </w:tr>
            <w:tr w14:paraId="73C6CB7B">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2021" w:type="pct"/>
                  <w:vMerge w:val="continue"/>
                  <w:noWrap w:val="0"/>
                  <w:vAlign w:val="center"/>
                </w:tcPr>
                <w:p w14:paraId="1A84058C">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bCs/>
                      <w:sz w:val="21"/>
                      <w:szCs w:val="21"/>
                      <w:lang w:val="en-US" w:eastAsia="zh-CN" w:bidi="ar"/>
                    </w:rPr>
                  </w:pPr>
                </w:p>
              </w:tc>
              <w:tc>
                <w:tcPr>
                  <w:tcW w:w="1329" w:type="pct"/>
                  <w:shd w:val="clear" w:color="auto" w:fill="auto"/>
                  <w:noWrap w:val="0"/>
                  <w:vAlign w:val="center"/>
                </w:tcPr>
                <w:p w14:paraId="798269BF">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H</w:t>
                  </w:r>
                  <w:r>
                    <w:rPr>
                      <w:rFonts w:hint="eastAsia" w:ascii="Times New Roman" w:hAnsi="Times New Roman" w:eastAsia="宋体" w:cs="Times New Roman"/>
                      <w:color w:val="auto"/>
                      <w:sz w:val="21"/>
                      <w:szCs w:val="21"/>
                      <w:vertAlign w:val="subscript"/>
                      <w:lang w:val="en-US" w:eastAsia="zh-CN"/>
                    </w:rPr>
                    <w:t>2</w:t>
                  </w:r>
                  <w:r>
                    <w:rPr>
                      <w:rFonts w:hint="eastAsia" w:ascii="Times New Roman" w:hAnsi="Times New Roman" w:eastAsia="宋体" w:cs="Times New Roman"/>
                      <w:color w:val="auto"/>
                      <w:sz w:val="21"/>
                      <w:szCs w:val="21"/>
                      <w:lang w:val="en-US" w:eastAsia="zh-CN"/>
                    </w:rPr>
                    <w:t>S</w:t>
                  </w:r>
                </w:p>
              </w:tc>
              <w:tc>
                <w:tcPr>
                  <w:tcW w:w="1649" w:type="pct"/>
                  <w:noWrap w:val="0"/>
                  <w:vAlign w:val="center"/>
                </w:tcPr>
                <w:p w14:paraId="435CF6F2">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bCs/>
                      <w:sz w:val="21"/>
                      <w:szCs w:val="21"/>
                      <w:lang w:val="en-US" w:eastAsia="zh-CN" w:bidi="ar"/>
                    </w:rPr>
                  </w:pPr>
                  <w:r>
                    <w:rPr>
                      <w:rFonts w:hint="eastAsia"/>
                      <w:bCs/>
                      <w:sz w:val="21"/>
                      <w:szCs w:val="21"/>
                      <w:lang w:val="en-US" w:eastAsia="zh-CN" w:bidi="ar"/>
                    </w:rPr>
                    <w:t>0.0016</w:t>
                  </w:r>
                </w:p>
              </w:tc>
            </w:tr>
            <w:tr w14:paraId="56BCCF97">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2021" w:type="pct"/>
                  <w:vMerge w:val="continue"/>
                  <w:noWrap w:val="0"/>
                  <w:vAlign w:val="center"/>
                </w:tcPr>
                <w:p w14:paraId="45EB7562">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bCs/>
                      <w:sz w:val="21"/>
                      <w:szCs w:val="21"/>
                      <w:lang w:val="en-US" w:eastAsia="zh-CN" w:bidi="ar"/>
                    </w:rPr>
                  </w:pPr>
                </w:p>
              </w:tc>
              <w:tc>
                <w:tcPr>
                  <w:tcW w:w="1329" w:type="pct"/>
                  <w:shd w:val="clear" w:color="auto" w:fill="auto"/>
                  <w:noWrap w:val="0"/>
                  <w:vAlign w:val="center"/>
                </w:tcPr>
                <w:p w14:paraId="1D317937">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VOCs</w:t>
                  </w:r>
                </w:p>
              </w:tc>
              <w:tc>
                <w:tcPr>
                  <w:tcW w:w="1649" w:type="pct"/>
                  <w:noWrap w:val="0"/>
                  <w:vAlign w:val="center"/>
                </w:tcPr>
                <w:p w14:paraId="7F1D3E93">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bCs/>
                      <w:sz w:val="21"/>
                      <w:szCs w:val="21"/>
                      <w:lang w:val="en-US" w:eastAsia="zh-CN" w:bidi="ar"/>
                    </w:rPr>
                  </w:pPr>
                  <w:r>
                    <w:rPr>
                      <w:rFonts w:hint="eastAsia"/>
                      <w:bCs/>
                      <w:sz w:val="21"/>
                      <w:szCs w:val="21"/>
                      <w:lang w:val="en-US" w:eastAsia="zh-CN" w:bidi="ar"/>
                    </w:rPr>
                    <w:t>0.0038</w:t>
                  </w:r>
                </w:p>
              </w:tc>
            </w:tr>
            <w:tr w14:paraId="655BA837">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69" w:hRule="atLeast"/>
                <w:jc w:val="center"/>
              </w:trPr>
              <w:tc>
                <w:tcPr>
                  <w:tcW w:w="2021" w:type="pct"/>
                  <w:vMerge w:val="continue"/>
                  <w:noWrap w:val="0"/>
                  <w:vAlign w:val="center"/>
                </w:tcPr>
                <w:p w14:paraId="693916A1">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bCs/>
                      <w:sz w:val="21"/>
                      <w:szCs w:val="21"/>
                      <w:lang w:val="en-US" w:eastAsia="zh-CN" w:bidi="ar"/>
                    </w:rPr>
                  </w:pPr>
                </w:p>
              </w:tc>
              <w:tc>
                <w:tcPr>
                  <w:tcW w:w="1329" w:type="pct"/>
                  <w:shd w:val="clear" w:color="auto" w:fill="auto"/>
                  <w:noWrap w:val="0"/>
                  <w:vAlign w:val="center"/>
                </w:tcPr>
                <w:p w14:paraId="4DD62270">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油烟</w:t>
                  </w:r>
                </w:p>
              </w:tc>
              <w:tc>
                <w:tcPr>
                  <w:tcW w:w="1649" w:type="pct"/>
                  <w:noWrap w:val="0"/>
                  <w:vAlign w:val="center"/>
                </w:tcPr>
                <w:p w14:paraId="3101EDBD">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bCs/>
                      <w:sz w:val="21"/>
                      <w:szCs w:val="21"/>
                      <w:lang w:val="en-US" w:eastAsia="zh-CN" w:bidi="ar"/>
                    </w:rPr>
                  </w:pPr>
                  <w:r>
                    <w:rPr>
                      <w:rFonts w:hint="eastAsia"/>
                      <w:color w:val="auto"/>
                      <w:sz w:val="21"/>
                      <w:szCs w:val="21"/>
                    </w:rPr>
                    <w:t>0.00</w:t>
                  </w:r>
                  <w:r>
                    <w:rPr>
                      <w:rFonts w:hint="eastAsia"/>
                      <w:color w:val="auto"/>
                      <w:sz w:val="21"/>
                      <w:szCs w:val="21"/>
                      <w:lang w:val="en-US" w:eastAsia="zh-CN"/>
                    </w:rPr>
                    <w:t>24</w:t>
                  </w:r>
                </w:p>
              </w:tc>
            </w:tr>
          </w:tbl>
          <w:p w14:paraId="25586168">
            <w:pPr>
              <w:keepNext w:val="0"/>
              <w:keepLines w:val="0"/>
              <w:pageBreakBefore w:val="0"/>
              <w:widowControl w:val="0"/>
              <w:kinsoku/>
              <w:wordWrap w:val="0"/>
              <w:overflowPunct/>
              <w:topLinePunct w:val="0"/>
              <w:autoSpaceDE/>
              <w:autoSpaceDN/>
              <w:bidi w:val="0"/>
              <w:adjustRightInd/>
              <w:snapToGrid/>
              <w:ind w:firstLine="0" w:firstLineChars="0"/>
              <w:textAlignment w:val="auto"/>
              <w:rPr>
                <w:b/>
                <w:color w:val="auto"/>
              </w:rPr>
            </w:pPr>
            <w:r>
              <w:rPr>
                <w:rFonts w:hint="eastAsia"/>
                <w:b/>
                <w:color w:val="auto"/>
                <w:lang w:val="en-US" w:eastAsia="zh-CN"/>
              </w:rPr>
              <w:t>6</w:t>
            </w:r>
            <w:r>
              <w:rPr>
                <w:b/>
                <w:color w:val="auto"/>
              </w:rPr>
              <w:t>.</w:t>
            </w:r>
            <w:r>
              <w:rPr>
                <w:rFonts w:hint="eastAsia"/>
                <w:b/>
                <w:color w:val="auto"/>
              </w:rPr>
              <w:t>大气非正常情况源强分析</w:t>
            </w:r>
          </w:p>
          <w:p w14:paraId="44330519">
            <w:pPr>
              <w:ind w:firstLine="480"/>
              <w:rPr>
                <w:color w:val="auto"/>
              </w:rPr>
            </w:pPr>
            <w:r>
              <w:rPr>
                <w:rFonts w:hint="eastAsia"/>
                <w:color w:val="auto"/>
              </w:rPr>
              <w:t>非正常排放指生产过程中开停车（工、炉）、设备检修、工艺设备运转异常等非正常工况下的污染物排放，以及污染物排放控制措施达不到应有效率等情况下的排放。</w:t>
            </w:r>
            <w:r>
              <w:rPr>
                <w:color w:val="auto"/>
              </w:rPr>
              <w:t>根据本项目特点，</w:t>
            </w:r>
            <w:r>
              <w:rPr>
                <w:rFonts w:hint="eastAsia"/>
                <w:color w:val="auto"/>
              </w:rPr>
              <w:t>非正常工况主要考虑废气处理装置故障，排放源强按照直排进行核算，则非正常工况污染物排放情况下表。</w:t>
            </w:r>
          </w:p>
          <w:p w14:paraId="3828D047">
            <w:pPr>
              <w:keepNext w:val="0"/>
              <w:keepLines w:val="0"/>
              <w:pageBreakBefore w:val="0"/>
              <w:widowControl w:val="0"/>
              <w:numPr>
                <w:ilvl w:val="0"/>
                <w:numId w:val="9"/>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大气污染物非正常排放情况表</w:t>
            </w:r>
          </w:p>
          <w:tbl>
            <w:tblPr>
              <w:tblStyle w:val="21"/>
              <w:tblW w:w="49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95"/>
              <w:gridCol w:w="1826"/>
              <w:gridCol w:w="816"/>
              <w:gridCol w:w="1058"/>
              <w:gridCol w:w="831"/>
              <w:gridCol w:w="693"/>
              <w:gridCol w:w="671"/>
              <w:gridCol w:w="908"/>
            </w:tblGrid>
            <w:tr w14:paraId="377E7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7" w:type="pct"/>
                  <w:vAlign w:val="center"/>
                </w:tcPr>
                <w:p w14:paraId="0B0FF93A">
                  <w:pPr>
                    <w:spacing w:line="240" w:lineRule="auto"/>
                    <w:ind w:firstLine="0" w:firstLineChars="0"/>
                    <w:jc w:val="center"/>
                    <w:rPr>
                      <w:color w:val="auto"/>
                      <w:sz w:val="21"/>
                      <w:szCs w:val="21"/>
                    </w:rPr>
                  </w:pPr>
                  <w:r>
                    <w:rPr>
                      <w:rFonts w:hint="eastAsia"/>
                      <w:color w:val="auto"/>
                      <w:sz w:val="21"/>
                      <w:szCs w:val="21"/>
                    </w:rPr>
                    <w:t>污染源</w:t>
                  </w:r>
                </w:p>
              </w:tc>
              <w:tc>
                <w:tcPr>
                  <w:tcW w:w="1141" w:type="pct"/>
                  <w:vAlign w:val="center"/>
                </w:tcPr>
                <w:p w14:paraId="65EAD8D2">
                  <w:pPr>
                    <w:spacing w:line="240" w:lineRule="auto"/>
                    <w:ind w:firstLine="0" w:firstLineChars="0"/>
                    <w:jc w:val="center"/>
                    <w:rPr>
                      <w:color w:val="auto"/>
                      <w:sz w:val="21"/>
                      <w:szCs w:val="21"/>
                    </w:rPr>
                  </w:pPr>
                  <w:r>
                    <w:rPr>
                      <w:rFonts w:hint="eastAsia"/>
                      <w:color w:val="auto"/>
                      <w:sz w:val="21"/>
                      <w:szCs w:val="21"/>
                    </w:rPr>
                    <w:t>非正常排放原因</w:t>
                  </w:r>
                </w:p>
              </w:tc>
              <w:tc>
                <w:tcPr>
                  <w:tcW w:w="510" w:type="pct"/>
                  <w:vAlign w:val="center"/>
                </w:tcPr>
                <w:p w14:paraId="6394430C">
                  <w:pPr>
                    <w:spacing w:line="240" w:lineRule="auto"/>
                    <w:ind w:firstLine="0" w:firstLineChars="0"/>
                    <w:jc w:val="center"/>
                    <w:rPr>
                      <w:color w:val="auto"/>
                      <w:sz w:val="21"/>
                      <w:szCs w:val="21"/>
                    </w:rPr>
                  </w:pPr>
                  <w:r>
                    <w:rPr>
                      <w:rFonts w:hint="eastAsia"/>
                      <w:color w:val="auto"/>
                      <w:sz w:val="21"/>
                      <w:szCs w:val="21"/>
                    </w:rPr>
                    <w:t>污染物</w:t>
                  </w:r>
                </w:p>
              </w:tc>
              <w:tc>
                <w:tcPr>
                  <w:tcW w:w="661" w:type="pct"/>
                  <w:vAlign w:val="center"/>
                </w:tcPr>
                <w:p w14:paraId="5FFFBD5B">
                  <w:pPr>
                    <w:spacing w:line="240" w:lineRule="auto"/>
                    <w:ind w:firstLine="0" w:firstLineChars="0"/>
                    <w:jc w:val="center"/>
                    <w:rPr>
                      <w:color w:val="auto"/>
                      <w:sz w:val="21"/>
                      <w:szCs w:val="21"/>
                    </w:rPr>
                  </w:pPr>
                  <w:r>
                    <w:rPr>
                      <w:rFonts w:hint="eastAsia"/>
                      <w:color w:val="auto"/>
                      <w:sz w:val="21"/>
                      <w:szCs w:val="21"/>
                    </w:rPr>
                    <w:t>非正常排放速率kg/h</w:t>
                  </w:r>
                </w:p>
              </w:tc>
              <w:tc>
                <w:tcPr>
                  <w:tcW w:w="519" w:type="pct"/>
                  <w:vAlign w:val="center"/>
                </w:tcPr>
                <w:p w14:paraId="2FD35CFC">
                  <w:pPr>
                    <w:spacing w:line="240" w:lineRule="auto"/>
                    <w:ind w:firstLine="0" w:firstLineChars="0"/>
                    <w:jc w:val="center"/>
                    <w:rPr>
                      <w:color w:val="auto"/>
                      <w:sz w:val="21"/>
                      <w:szCs w:val="21"/>
                    </w:rPr>
                  </w:pPr>
                  <w:r>
                    <w:rPr>
                      <w:rFonts w:hint="eastAsia"/>
                      <w:color w:val="auto"/>
                      <w:sz w:val="21"/>
                      <w:szCs w:val="21"/>
                    </w:rPr>
                    <w:t>单次持续时间h</w:t>
                  </w:r>
                </w:p>
              </w:tc>
              <w:tc>
                <w:tcPr>
                  <w:tcW w:w="433" w:type="pct"/>
                  <w:vAlign w:val="center"/>
                </w:tcPr>
                <w:p w14:paraId="5BEC89B1">
                  <w:pPr>
                    <w:spacing w:line="240" w:lineRule="auto"/>
                    <w:ind w:firstLine="0" w:firstLineChars="0"/>
                    <w:jc w:val="center"/>
                    <w:rPr>
                      <w:color w:val="auto"/>
                      <w:sz w:val="21"/>
                      <w:szCs w:val="21"/>
                    </w:rPr>
                  </w:pPr>
                  <w:r>
                    <w:rPr>
                      <w:rFonts w:hint="eastAsia"/>
                      <w:color w:val="auto"/>
                      <w:sz w:val="21"/>
                      <w:szCs w:val="21"/>
                    </w:rPr>
                    <w:t>年发生频次</w:t>
                  </w:r>
                </w:p>
              </w:tc>
              <w:tc>
                <w:tcPr>
                  <w:tcW w:w="419" w:type="pct"/>
                  <w:vAlign w:val="center"/>
                </w:tcPr>
                <w:p w14:paraId="730FFC1C">
                  <w:pPr>
                    <w:spacing w:line="240" w:lineRule="auto"/>
                    <w:ind w:firstLine="0" w:firstLineChars="0"/>
                    <w:jc w:val="center"/>
                    <w:rPr>
                      <w:color w:val="auto"/>
                      <w:sz w:val="21"/>
                      <w:szCs w:val="21"/>
                    </w:rPr>
                  </w:pPr>
                  <w:r>
                    <w:rPr>
                      <w:rFonts w:hint="eastAsia"/>
                      <w:color w:val="auto"/>
                      <w:sz w:val="21"/>
                      <w:szCs w:val="21"/>
                    </w:rPr>
                    <w:t>排放量t/a</w:t>
                  </w:r>
                </w:p>
              </w:tc>
              <w:tc>
                <w:tcPr>
                  <w:tcW w:w="567" w:type="pct"/>
                  <w:vAlign w:val="center"/>
                </w:tcPr>
                <w:p w14:paraId="78C09087">
                  <w:pPr>
                    <w:spacing w:line="240" w:lineRule="auto"/>
                    <w:ind w:firstLine="0" w:firstLineChars="0"/>
                    <w:jc w:val="center"/>
                    <w:rPr>
                      <w:color w:val="auto"/>
                      <w:sz w:val="21"/>
                      <w:szCs w:val="21"/>
                    </w:rPr>
                  </w:pPr>
                  <w:r>
                    <w:rPr>
                      <w:rFonts w:hint="eastAsia"/>
                      <w:color w:val="auto"/>
                      <w:sz w:val="21"/>
                      <w:szCs w:val="21"/>
                    </w:rPr>
                    <w:t>应对措施</w:t>
                  </w:r>
                </w:p>
              </w:tc>
            </w:tr>
            <w:tr w14:paraId="627CF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7" w:type="pct"/>
                  <w:vAlign w:val="center"/>
                </w:tcPr>
                <w:p w14:paraId="58070727">
                  <w:pPr>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中药材异味排气筒</w:t>
                  </w:r>
                </w:p>
              </w:tc>
              <w:tc>
                <w:tcPr>
                  <w:tcW w:w="1141" w:type="pct"/>
                  <w:vAlign w:val="center"/>
                </w:tcPr>
                <w:p w14:paraId="36327E2E">
                  <w:pPr>
                    <w:spacing w:line="240" w:lineRule="auto"/>
                    <w:ind w:firstLine="0" w:firstLineChars="0"/>
                    <w:jc w:val="center"/>
                    <w:rPr>
                      <w:rFonts w:hint="eastAsia"/>
                      <w:color w:val="auto"/>
                      <w:sz w:val="21"/>
                      <w:szCs w:val="21"/>
                    </w:rPr>
                  </w:pPr>
                  <w:r>
                    <w:rPr>
                      <w:rFonts w:hint="eastAsia"/>
                      <w:color w:val="auto"/>
                      <w:sz w:val="21"/>
                      <w:szCs w:val="21"/>
                    </w:rPr>
                    <w:t>废气处理设施故障</w:t>
                  </w:r>
                </w:p>
              </w:tc>
              <w:tc>
                <w:tcPr>
                  <w:tcW w:w="510" w:type="pct"/>
                  <w:vAlign w:val="center"/>
                </w:tcPr>
                <w:p w14:paraId="657269B0">
                  <w:pPr>
                    <w:tabs>
                      <w:tab w:val="left" w:pos="6720"/>
                    </w:tabs>
                    <w:autoSpaceDE w:val="0"/>
                    <w:autoSpaceDN w:val="0"/>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臭气浓度</w:t>
                  </w:r>
                </w:p>
              </w:tc>
              <w:tc>
                <w:tcPr>
                  <w:tcW w:w="661" w:type="pct"/>
                  <w:vAlign w:val="center"/>
                </w:tcPr>
                <w:p w14:paraId="7ACA0698">
                  <w:pPr>
                    <w:tabs>
                      <w:tab w:val="left" w:pos="6720"/>
                    </w:tabs>
                    <w:autoSpaceDE w:val="0"/>
                    <w:autoSpaceDN w:val="0"/>
                    <w:spacing w:line="240" w:lineRule="auto"/>
                    <w:ind w:firstLine="0" w:firstLineChars="0"/>
                    <w:jc w:val="center"/>
                    <w:rPr>
                      <w:rFonts w:hint="eastAsia" w:eastAsia="宋体"/>
                      <w:bCs/>
                      <w:color w:val="auto"/>
                      <w:sz w:val="21"/>
                      <w:szCs w:val="21"/>
                      <w:lang w:val="en-US" w:eastAsia="zh-CN"/>
                    </w:rPr>
                  </w:pPr>
                  <w:r>
                    <w:rPr>
                      <w:rFonts w:hint="eastAsia"/>
                      <w:bCs/>
                      <w:color w:val="auto"/>
                      <w:sz w:val="21"/>
                      <w:szCs w:val="21"/>
                      <w:lang w:val="en-US" w:eastAsia="zh-CN"/>
                    </w:rPr>
                    <w:t>/</w:t>
                  </w:r>
                </w:p>
              </w:tc>
              <w:tc>
                <w:tcPr>
                  <w:tcW w:w="829" w:type="dxa"/>
                  <w:vAlign w:val="center"/>
                </w:tcPr>
                <w:p w14:paraId="773C94D8">
                  <w:pPr>
                    <w:widowControl/>
                    <w:wordWrap/>
                    <w:spacing w:line="240" w:lineRule="auto"/>
                    <w:ind w:firstLine="0" w:firstLineChars="0"/>
                    <w:jc w:val="center"/>
                    <w:textAlignment w:val="center"/>
                    <w:rPr>
                      <w:rFonts w:hint="eastAsia" w:eastAsia="宋体"/>
                      <w:color w:val="auto"/>
                      <w:kern w:val="0"/>
                      <w:sz w:val="21"/>
                      <w:szCs w:val="21"/>
                      <w:lang w:val="en-US" w:eastAsia="zh-CN" w:bidi="ar"/>
                    </w:rPr>
                  </w:pPr>
                  <w:r>
                    <w:rPr>
                      <w:color w:val="auto"/>
                      <w:kern w:val="0"/>
                      <w:sz w:val="21"/>
                      <w:szCs w:val="21"/>
                      <w:lang w:bidi="ar"/>
                    </w:rPr>
                    <w:t>2</w:t>
                  </w:r>
                </w:p>
              </w:tc>
              <w:tc>
                <w:tcPr>
                  <w:tcW w:w="692" w:type="dxa"/>
                  <w:vAlign w:val="center"/>
                </w:tcPr>
                <w:p w14:paraId="5FECEC59">
                  <w:pPr>
                    <w:widowControl/>
                    <w:wordWrap/>
                    <w:spacing w:line="240" w:lineRule="auto"/>
                    <w:ind w:firstLine="0" w:firstLineChars="0"/>
                    <w:jc w:val="center"/>
                    <w:textAlignment w:val="center"/>
                    <w:rPr>
                      <w:rFonts w:hint="eastAsia" w:eastAsia="宋体"/>
                      <w:color w:val="auto"/>
                      <w:kern w:val="0"/>
                      <w:sz w:val="21"/>
                      <w:szCs w:val="21"/>
                      <w:lang w:val="en-US" w:eastAsia="zh-CN" w:bidi="ar"/>
                    </w:rPr>
                  </w:pPr>
                  <w:r>
                    <w:rPr>
                      <w:color w:val="auto"/>
                      <w:kern w:val="0"/>
                      <w:sz w:val="21"/>
                      <w:szCs w:val="21"/>
                      <w:lang w:bidi="ar"/>
                    </w:rPr>
                    <w:t>2</w:t>
                  </w:r>
                </w:p>
              </w:tc>
              <w:tc>
                <w:tcPr>
                  <w:tcW w:w="419" w:type="pct"/>
                  <w:vAlign w:val="center"/>
                </w:tcPr>
                <w:p w14:paraId="2E8F9375">
                  <w:pPr>
                    <w:widowControl/>
                    <w:spacing w:line="240" w:lineRule="auto"/>
                    <w:ind w:firstLine="0" w:firstLineChars="0"/>
                    <w:jc w:val="center"/>
                    <w:textAlignment w:val="bottom"/>
                    <w:rPr>
                      <w:rFonts w:hint="eastAsia" w:eastAsia="等线"/>
                      <w:color w:val="auto"/>
                      <w:kern w:val="0"/>
                      <w:sz w:val="21"/>
                      <w:szCs w:val="21"/>
                      <w:lang w:val="en-US" w:eastAsia="zh-CN" w:bidi="ar"/>
                    </w:rPr>
                  </w:pPr>
                  <w:r>
                    <w:rPr>
                      <w:rFonts w:hint="eastAsia" w:eastAsia="等线"/>
                      <w:color w:val="auto"/>
                      <w:kern w:val="0"/>
                      <w:sz w:val="21"/>
                      <w:szCs w:val="21"/>
                      <w:lang w:val="en-US" w:eastAsia="zh-CN" w:bidi="ar"/>
                    </w:rPr>
                    <w:t>/</w:t>
                  </w:r>
                </w:p>
              </w:tc>
              <w:tc>
                <w:tcPr>
                  <w:tcW w:w="567" w:type="pct"/>
                  <w:vMerge w:val="restart"/>
                  <w:vAlign w:val="center"/>
                </w:tcPr>
                <w:p w14:paraId="0187C2A0">
                  <w:pPr>
                    <w:spacing w:line="240" w:lineRule="auto"/>
                    <w:ind w:firstLine="0" w:firstLineChars="0"/>
                    <w:jc w:val="center"/>
                    <w:rPr>
                      <w:color w:val="auto"/>
                      <w:sz w:val="21"/>
                      <w:szCs w:val="21"/>
                    </w:rPr>
                  </w:pPr>
                  <w:r>
                    <w:rPr>
                      <w:rFonts w:hint="eastAsia"/>
                      <w:color w:val="auto"/>
                      <w:sz w:val="21"/>
                      <w:szCs w:val="21"/>
                    </w:rPr>
                    <w:t>及时</w:t>
                  </w:r>
                  <w:r>
                    <w:rPr>
                      <w:rFonts w:hint="eastAsia"/>
                      <w:color w:val="auto"/>
                      <w:sz w:val="21"/>
                      <w:szCs w:val="21"/>
                      <w:lang w:val="en-US" w:eastAsia="zh-CN"/>
                    </w:rPr>
                    <w:t>停产</w:t>
                  </w:r>
                  <w:r>
                    <w:rPr>
                      <w:rFonts w:hint="eastAsia"/>
                      <w:color w:val="auto"/>
                      <w:sz w:val="21"/>
                      <w:szCs w:val="21"/>
                    </w:rPr>
                    <w:t>维修</w:t>
                  </w:r>
                </w:p>
              </w:tc>
            </w:tr>
            <w:tr w14:paraId="4A3AD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7" w:type="pct"/>
                  <w:vAlign w:val="center"/>
                </w:tcPr>
                <w:p w14:paraId="12732713">
                  <w:pPr>
                    <w:spacing w:line="240" w:lineRule="auto"/>
                    <w:ind w:firstLine="0" w:firstLineChars="0"/>
                    <w:jc w:val="center"/>
                    <w:rPr>
                      <w:color w:val="auto"/>
                      <w:sz w:val="21"/>
                      <w:szCs w:val="21"/>
                    </w:rPr>
                  </w:pPr>
                  <w:r>
                    <w:rPr>
                      <w:rFonts w:hint="eastAsia" w:ascii="Times New Roman" w:hAnsi="Times New Roman" w:eastAsia="宋体" w:cs="Times New Roman"/>
                      <w:color w:val="auto"/>
                      <w:sz w:val="21"/>
                      <w:szCs w:val="21"/>
                      <w:lang w:val="en-US" w:eastAsia="zh-CN"/>
                    </w:rPr>
                    <w:t>普通中药饮片车间干燥、炒制、粉碎、筛分工序</w:t>
                  </w:r>
                  <w:r>
                    <w:rPr>
                      <w:rFonts w:hint="eastAsia"/>
                      <w:color w:val="auto"/>
                      <w:sz w:val="21"/>
                      <w:szCs w:val="21"/>
                    </w:rPr>
                    <w:t>排气筒</w:t>
                  </w:r>
                </w:p>
              </w:tc>
              <w:tc>
                <w:tcPr>
                  <w:tcW w:w="1141" w:type="pct"/>
                  <w:vAlign w:val="center"/>
                </w:tcPr>
                <w:p w14:paraId="14B17A39">
                  <w:pPr>
                    <w:spacing w:line="240" w:lineRule="auto"/>
                    <w:ind w:firstLine="0" w:firstLineChars="0"/>
                    <w:jc w:val="center"/>
                    <w:rPr>
                      <w:color w:val="auto"/>
                      <w:sz w:val="21"/>
                      <w:szCs w:val="21"/>
                    </w:rPr>
                  </w:pPr>
                  <w:r>
                    <w:rPr>
                      <w:rFonts w:hint="eastAsia"/>
                      <w:color w:val="auto"/>
                      <w:sz w:val="21"/>
                      <w:szCs w:val="21"/>
                    </w:rPr>
                    <w:t>废气处理设施故障</w:t>
                  </w:r>
                </w:p>
              </w:tc>
              <w:tc>
                <w:tcPr>
                  <w:tcW w:w="510" w:type="pct"/>
                  <w:vAlign w:val="center"/>
                </w:tcPr>
                <w:p w14:paraId="3AB728AD">
                  <w:pPr>
                    <w:tabs>
                      <w:tab w:val="left" w:pos="6720"/>
                    </w:tabs>
                    <w:autoSpaceDE w:val="0"/>
                    <w:autoSpaceDN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颗粒物</w:t>
                  </w:r>
                </w:p>
              </w:tc>
              <w:tc>
                <w:tcPr>
                  <w:tcW w:w="661" w:type="pct"/>
                  <w:vAlign w:val="center"/>
                </w:tcPr>
                <w:p w14:paraId="4025E027">
                  <w:pPr>
                    <w:tabs>
                      <w:tab w:val="left" w:pos="6720"/>
                    </w:tabs>
                    <w:autoSpaceDE w:val="0"/>
                    <w:autoSpaceDN w:val="0"/>
                    <w:spacing w:line="240" w:lineRule="auto"/>
                    <w:ind w:firstLine="0" w:firstLineChars="0"/>
                    <w:jc w:val="center"/>
                    <w:rPr>
                      <w:color w:val="auto"/>
                      <w:sz w:val="21"/>
                      <w:szCs w:val="21"/>
                    </w:rPr>
                  </w:pPr>
                  <w:r>
                    <w:rPr>
                      <w:rFonts w:hint="eastAsia"/>
                      <w:color w:val="auto"/>
                      <w:sz w:val="21"/>
                      <w:szCs w:val="21"/>
                      <w:lang w:val="en-US" w:eastAsia="zh-CN"/>
                    </w:rPr>
                    <w:t>3.12</w:t>
                  </w:r>
                  <w:r>
                    <w:rPr>
                      <w:rFonts w:hint="eastAsia"/>
                      <w:color w:val="auto"/>
                      <w:sz w:val="21"/>
                      <w:szCs w:val="21"/>
                    </w:rPr>
                    <w:t>5</w:t>
                  </w:r>
                </w:p>
              </w:tc>
              <w:tc>
                <w:tcPr>
                  <w:tcW w:w="519" w:type="pct"/>
                  <w:vAlign w:val="center"/>
                </w:tcPr>
                <w:p w14:paraId="02570E5B">
                  <w:pPr>
                    <w:widowControl/>
                    <w:wordWrap/>
                    <w:spacing w:line="240" w:lineRule="auto"/>
                    <w:ind w:firstLine="0" w:firstLineChars="0"/>
                    <w:jc w:val="center"/>
                    <w:textAlignment w:val="center"/>
                    <w:rPr>
                      <w:color w:val="auto"/>
                      <w:sz w:val="21"/>
                      <w:szCs w:val="21"/>
                    </w:rPr>
                  </w:pPr>
                  <w:r>
                    <w:rPr>
                      <w:color w:val="auto"/>
                      <w:kern w:val="0"/>
                      <w:sz w:val="21"/>
                      <w:szCs w:val="21"/>
                      <w:lang w:bidi="ar"/>
                    </w:rPr>
                    <w:t>2</w:t>
                  </w:r>
                </w:p>
              </w:tc>
              <w:tc>
                <w:tcPr>
                  <w:tcW w:w="433" w:type="pct"/>
                  <w:vAlign w:val="center"/>
                </w:tcPr>
                <w:p w14:paraId="0560CB33">
                  <w:pPr>
                    <w:widowControl/>
                    <w:wordWrap/>
                    <w:spacing w:line="240" w:lineRule="auto"/>
                    <w:ind w:firstLine="0" w:firstLineChars="0"/>
                    <w:jc w:val="center"/>
                    <w:textAlignment w:val="center"/>
                    <w:rPr>
                      <w:color w:val="auto"/>
                      <w:sz w:val="21"/>
                      <w:szCs w:val="21"/>
                    </w:rPr>
                  </w:pPr>
                  <w:r>
                    <w:rPr>
                      <w:color w:val="auto"/>
                      <w:kern w:val="0"/>
                      <w:sz w:val="21"/>
                      <w:szCs w:val="21"/>
                      <w:lang w:bidi="ar"/>
                    </w:rPr>
                    <w:t>2</w:t>
                  </w:r>
                </w:p>
              </w:tc>
              <w:tc>
                <w:tcPr>
                  <w:tcW w:w="419" w:type="pct"/>
                  <w:vAlign w:val="center"/>
                </w:tcPr>
                <w:p w14:paraId="39A65D1B">
                  <w:pPr>
                    <w:widowControl/>
                    <w:spacing w:line="240" w:lineRule="auto"/>
                    <w:ind w:firstLine="0" w:firstLineChars="0"/>
                    <w:jc w:val="center"/>
                    <w:textAlignment w:val="bottom"/>
                    <w:rPr>
                      <w:rFonts w:hint="default" w:eastAsia="宋体"/>
                      <w:bCs/>
                      <w:color w:val="auto"/>
                      <w:sz w:val="21"/>
                      <w:szCs w:val="21"/>
                      <w:lang w:val="en-US" w:eastAsia="zh-CN"/>
                    </w:rPr>
                  </w:pPr>
                  <w:r>
                    <w:rPr>
                      <w:rFonts w:hint="eastAsia"/>
                      <w:bCs/>
                      <w:color w:val="auto"/>
                      <w:sz w:val="21"/>
                      <w:szCs w:val="21"/>
                      <w:lang w:val="en-US" w:eastAsia="zh-CN"/>
                    </w:rPr>
                    <w:t>0.0125</w:t>
                  </w:r>
                </w:p>
              </w:tc>
              <w:tc>
                <w:tcPr>
                  <w:tcW w:w="567" w:type="pct"/>
                  <w:vMerge w:val="continue"/>
                  <w:vAlign w:val="center"/>
                </w:tcPr>
                <w:p w14:paraId="11D9F24F">
                  <w:pPr>
                    <w:spacing w:line="240" w:lineRule="auto"/>
                    <w:ind w:firstLine="0" w:firstLineChars="0"/>
                    <w:jc w:val="center"/>
                    <w:rPr>
                      <w:color w:val="auto"/>
                      <w:sz w:val="21"/>
                      <w:szCs w:val="21"/>
                    </w:rPr>
                  </w:pPr>
                </w:p>
              </w:tc>
            </w:tr>
            <w:tr w14:paraId="69285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7" w:type="pct"/>
                  <w:vAlign w:val="center"/>
                </w:tcPr>
                <w:p w14:paraId="39814959">
                  <w:pPr>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毒性中药饮片车间干燥、、筛分工序</w:t>
                  </w:r>
                  <w:r>
                    <w:rPr>
                      <w:rFonts w:hint="eastAsia"/>
                      <w:color w:val="auto"/>
                      <w:sz w:val="21"/>
                      <w:szCs w:val="21"/>
                    </w:rPr>
                    <w:t>排气筒</w:t>
                  </w:r>
                </w:p>
              </w:tc>
              <w:tc>
                <w:tcPr>
                  <w:tcW w:w="1141" w:type="pct"/>
                  <w:vAlign w:val="center"/>
                </w:tcPr>
                <w:p w14:paraId="4A9B5239">
                  <w:pPr>
                    <w:spacing w:line="240" w:lineRule="auto"/>
                    <w:ind w:firstLine="0" w:firstLineChars="0"/>
                    <w:jc w:val="center"/>
                    <w:rPr>
                      <w:rFonts w:hint="eastAsia"/>
                      <w:color w:val="auto"/>
                      <w:sz w:val="21"/>
                      <w:szCs w:val="21"/>
                    </w:rPr>
                  </w:pPr>
                  <w:r>
                    <w:rPr>
                      <w:rFonts w:hint="eastAsia"/>
                      <w:color w:val="auto"/>
                      <w:sz w:val="21"/>
                      <w:szCs w:val="21"/>
                    </w:rPr>
                    <w:t>废气处理设施故障</w:t>
                  </w:r>
                </w:p>
              </w:tc>
              <w:tc>
                <w:tcPr>
                  <w:tcW w:w="510" w:type="pct"/>
                  <w:vAlign w:val="center"/>
                </w:tcPr>
                <w:p w14:paraId="057031A5">
                  <w:pPr>
                    <w:tabs>
                      <w:tab w:val="left" w:pos="6720"/>
                    </w:tabs>
                    <w:autoSpaceDE w:val="0"/>
                    <w:autoSpaceDN w:val="0"/>
                    <w:spacing w:line="240" w:lineRule="auto"/>
                    <w:ind w:firstLine="0" w:firstLineChars="0"/>
                    <w:jc w:val="center"/>
                    <w:rPr>
                      <w:rFonts w:hint="eastAsia"/>
                      <w:color w:val="auto"/>
                      <w:sz w:val="21"/>
                      <w:szCs w:val="21"/>
                    </w:rPr>
                  </w:pPr>
                  <w:r>
                    <w:rPr>
                      <w:rFonts w:hint="eastAsia"/>
                      <w:color w:val="auto"/>
                      <w:sz w:val="21"/>
                      <w:szCs w:val="21"/>
                      <w:lang w:val="en-US" w:eastAsia="zh-CN"/>
                    </w:rPr>
                    <w:t>颗粒物</w:t>
                  </w:r>
                </w:p>
              </w:tc>
              <w:tc>
                <w:tcPr>
                  <w:tcW w:w="661" w:type="pct"/>
                  <w:vAlign w:val="center"/>
                </w:tcPr>
                <w:p w14:paraId="43932956">
                  <w:pPr>
                    <w:tabs>
                      <w:tab w:val="left" w:pos="6720"/>
                    </w:tabs>
                    <w:autoSpaceDE w:val="0"/>
                    <w:autoSpaceDN w:val="0"/>
                    <w:spacing w:line="240" w:lineRule="auto"/>
                    <w:ind w:firstLine="0" w:firstLineChars="0"/>
                    <w:jc w:val="center"/>
                    <w:rPr>
                      <w:rFonts w:hint="eastAsia"/>
                      <w:bCs/>
                      <w:color w:val="auto"/>
                      <w:sz w:val="21"/>
                      <w:szCs w:val="21"/>
                    </w:rPr>
                  </w:pPr>
                  <w:r>
                    <w:rPr>
                      <w:rFonts w:hint="eastAsia"/>
                      <w:color w:val="auto"/>
                      <w:sz w:val="24"/>
                      <w:szCs w:val="24"/>
                      <w:lang w:val="en-US" w:eastAsia="zh-CN"/>
                    </w:rPr>
                    <w:t>0.312</w:t>
                  </w:r>
                  <w:r>
                    <w:rPr>
                      <w:rFonts w:hint="eastAsia"/>
                      <w:color w:val="auto"/>
                      <w:sz w:val="24"/>
                      <w:szCs w:val="24"/>
                    </w:rPr>
                    <w:t>5</w:t>
                  </w:r>
                </w:p>
              </w:tc>
              <w:tc>
                <w:tcPr>
                  <w:tcW w:w="519" w:type="pct"/>
                  <w:vAlign w:val="center"/>
                </w:tcPr>
                <w:p w14:paraId="45308970">
                  <w:pPr>
                    <w:widowControl/>
                    <w:wordWrap/>
                    <w:spacing w:line="240" w:lineRule="auto"/>
                    <w:ind w:firstLine="0" w:firstLineChars="0"/>
                    <w:jc w:val="center"/>
                    <w:textAlignment w:val="center"/>
                    <w:rPr>
                      <w:color w:val="auto"/>
                      <w:kern w:val="0"/>
                      <w:sz w:val="21"/>
                      <w:szCs w:val="21"/>
                      <w:lang w:bidi="ar"/>
                    </w:rPr>
                  </w:pPr>
                  <w:r>
                    <w:rPr>
                      <w:color w:val="auto"/>
                      <w:kern w:val="0"/>
                      <w:sz w:val="21"/>
                      <w:szCs w:val="21"/>
                      <w:lang w:bidi="ar"/>
                    </w:rPr>
                    <w:t>2</w:t>
                  </w:r>
                </w:p>
              </w:tc>
              <w:tc>
                <w:tcPr>
                  <w:tcW w:w="433" w:type="pct"/>
                  <w:vAlign w:val="center"/>
                </w:tcPr>
                <w:p w14:paraId="3CF90FEA">
                  <w:pPr>
                    <w:widowControl/>
                    <w:wordWrap/>
                    <w:spacing w:line="240" w:lineRule="auto"/>
                    <w:ind w:firstLine="0" w:firstLineChars="0"/>
                    <w:jc w:val="center"/>
                    <w:textAlignment w:val="center"/>
                    <w:rPr>
                      <w:color w:val="auto"/>
                      <w:kern w:val="0"/>
                      <w:sz w:val="21"/>
                      <w:szCs w:val="21"/>
                      <w:lang w:bidi="ar"/>
                    </w:rPr>
                  </w:pPr>
                  <w:r>
                    <w:rPr>
                      <w:color w:val="auto"/>
                      <w:kern w:val="0"/>
                      <w:sz w:val="21"/>
                      <w:szCs w:val="21"/>
                      <w:lang w:bidi="ar"/>
                    </w:rPr>
                    <w:t>2</w:t>
                  </w:r>
                </w:p>
              </w:tc>
              <w:tc>
                <w:tcPr>
                  <w:tcW w:w="419" w:type="pct"/>
                  <w:vAlign w:val="center"/>
                </w:tcPr>
                <w:p w14:paraId="13398CC2">
                  <w:pPr>
                    <w:widowControl/>
                    <w:spacing w:line="240" w:lineRule="auto"/>
                    <w:ind w:firstLine="0" w:firstLineChars="0"/>
                    <w:jc w:val="center"/>
                    <w:textAlignment w:val="bottom"/>
                    <w:rPr>
                      <w:rFonts w:hint="default" w:eastAsia="等线"/>
                      <w:color w:val="auto"/>
                      <w:kern w:val="0"/>
                      <w:sz w:val="21"/>
                      <w:szCs w:val="21"/>
                      <w:lang w:val="en-US" w:eastAsia="zh-CN" w:bidi="ar"/>
                    </w:rPr>
                  </w:pPr>
                  <w:r>
                    <w:rPr>
                      <w:rFonts w:hint="eastAsia" w:eastAsia="等线"/>
                      <w:color w:val="auto"/>
                      <w:kern w:val="0"/>
                      <w:sz w:val="21"/>
                      <w:szCs w:val="21"/>
                      <w:lang w:val="en-US" w:eastAsia="zh-CN" w:bidi="ar"/>
                    </w:rPr>
                    <w:t>0.0013</w:t>
                  </w:r>
                </w:p>
              </w:tc>
              <w:tc>
                <w:tcPr>
                  <w:tcW w:w="567" w:type="pct"/>
                  <w:vMerge w:val="continue"/>
                  <w:vAlign w:val="center"/>
                </w:tcPr>
                <w:p w14:paraId="33E6E739">
                  <w:pPr>
                    <w:spacing w:line="240" w:lineRule="auto"/>
                    <w:ind w:firstLine="0" w:firstLineChars="0"/>
                    <w:jc w:val="center"/>
                    <w:rPr>
                      <w:rFonts w:hint="eastAsia"/>
                      <w:color w:val="auto"/>
                      <w:sz w:val="21"/>
                      <w:szCs w:val="21"/>
                    </w:rPr>
                  </w:pPr>
                </w:p>
              </w:tc>
            </w:tr>
            <w:tr w14:paraId="246C9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7" w:type="pct"/>
                  <w:vAlign w:val="center"/>
                </w:tcPr>
                <w:p w14:paraId="6F8AF98B">
                  <w:pPr>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口服饮片车间、颗粒剂车间及制丸车间排气筒</w:t>
                  </w:r>
                </w:p>
              </w:tc>
              <w:tc>
                <w:tcPr>
                  <w:tcW w:w="1141" w:type="pct"/>
                  <w:vAlign w:val="center"/>
                </w:tcPr>
                <w:p w14:paraId="2008FDDE">
                  <w:pPr>
                    <w:spacing w:line="240" w:lineRule="auto"/>
                    <w:ind w:firstLine="0" w:firstLineChars="0"/>
                    <w:jc w:val="center"/>
                    <w:rPr>
                      <w:rFonts w:hint="eastAsia"/>
                      <w:color w:val="auto"/>
                      <w:sz w:val="21"/>
                      <w:szCs w:val="21"/>
                    </w:rPr>
                  </w:pPr>
                  <w:r>
                    <w:rPr>
                      <w:rFonts w:hint="eastAsia"/>
                      <w:color w:val="auto"/>
                      <w:sz w:val="21"/>
                      <w:szCs w:val="21"/>
                    </w:rPr>
                    <w:t>废气处理设施故障</w:t>
                  </w:r>
                </w:p>
              </w:tc>
              <w:tc>
                <w:tcPr>
                  <w:tcW w:w="510" w:type="pct"/>
                  <w:vAlign w:val="center"/>
                </w:tcPr>
                <w:p w14:paraId="7EE6FAA6">
                  <w:pPr>
                    <w:tabs>
                      <w:tab w:val="left" w:pos="6720"/>
                    </w:tabs>
                    <w:autoSpaceDE w:val="0"/>
                    <w:autoSpaceDN w:val="0"/>
                    <w:spacing w:line="240" w:lineRule="auto"/>
                    <w:ind w:firstLine="0" w:firstLineChars="0"/>
                    <w:jc w:val="center"/>
                    <w:rPr>
                      <w:rFonts w:hint="eastAsia"/>
                      <w:color w:val="auto"/>
                      <w:sz w:val="21"/>
                      <w:szCs w:val="21"/>
                    </w:rPr>
                  </w:pPr>
                  <w:r>
                    <w:rPr>
                      <w:rFonts w:hint="eastAsia"/>
                      <w:color w:val="auto"/>
                      <w:sz w:val="21"/>
                      <w:szCs w:val="21"/>
                      <w:lang w:val="en-US" w:eastAsia="zh-CN"/>
                    </w:rPr>
                    <w:t>颗粒物</w:t>
                  </w:r>
                </w:p>
              </w:tc>
              <w:tc>
                <w:tcPr>
                  <w:tcW w:w="661" w:type="pct"/>
                  <w:vAlign w:val="center"/>
                </w:tcPr>
                <w:p w14:paraId="5B528FA1">
                  <w:pPr>
                    <w:tabs>
                      <w:tab w:val="left" w:pos="6720"/>
                    </w:tabs>
                    <w:autoSpaceDE w:val="0"/>
                    <w:autoSpaceDN w:val="0"/>
                    <w:spacing w:line="240" w:lineRule="auto"/>
                    <w:ind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0.7</w:t>
                  </w:r>
                </w:p>
              </w:tc>
              <w:tc>
                <w:tcPr>
                  <w:tcW w:w="519" w:type="pct"/>
                  <w:vAlign w:val="center"/>
                </w:tcPr>
                <w:p w14:paraId="7B05D850">
                  <w:pPr>
                    <w:widowControl/>
                    <w:wordWrap/>
                    <w:spacing w:line="240" w:lineRule="auto"/>
                    <w:ind w:firstLine="0" w:firstLineChars="0"/>
                    <w:jc w:val="center"/>
                    <w:textAlignment w:val="center"/>
                    <w:rPr>
                      <w:color w:val="auto"/>
                      <w:kern w:val="0"/>
                      <w:sz w:val="21"/>
                      <w:szCs w:val="21"/>
                      <w:lang w:bidi="ar"/>
                    </w:rPr>
                  </w:pPr>
                  <w:r>
                    <w:rPr>
                      <w:color w:val="auto"/>
                      <w:kern w:val="0"/>
                      <w:sz w:val="21"/>
                      <w:szCs w:val="21"/>
                      <w:lang w:bidi="ar"/>
                    </w:rPr>
                    <w:t>2</w:t>
                  </w:r>
                </w:p>
              </w:tc>
              <w:tc>
                <w:tcPr>
                  <w:tcW w:w="433" w:type="pct"/>
                  <w:vAlign w:val="center"/>
                </w:tcPr>
                <w:p w14:paraId="57CBB944">
                  <w:pPr>
                    <w:widowControl/>
                    <w:wordWrap/>
                    <w:spacing w:line="240" w:lineRule="auto"/>
                    <w:ind w:firstLine="0" w:firstLineChars="0"/>
                    <w:jc w:val="center"/>
                    <w:textAlignment w:val="center"/>
                    <w:rPr>
                      <w:color w:val="auto"/>
                      <w:kern w:val="0"/>
                      <w:sz w:val="21"/>
                      <w:szCs w:val="21"/>
                      <w:lang w:bidi="ar"/>
                    </w:rPr>
                  </w:pPr>
                  <w:r>
                    <w:rPr>
                      <w:color w:val="auto"/>
                      <w:kern w:val="0"/>
                      <w:sz w:val="21"/>
                      <w:szCs w:val="21"/>
                      <w:lang w:bidi="ar"/>
                    </w:rPr>
                    <w:t>2</w:t>
                  </w:r>
                </w:p>
              </w:tc>
              <w:tc>
                <w:tcPr>
                  <w:tcW w:w="419" w:type="pct"/>
                  <w:vAlign w:val="center"/>
                </w:tcPr>
                <w:p w14:paraId="059E60CF">
                  <w:pPr>
                    <w:widowControl/>
                    <w:spacing w:line="240" w:lineRule="auto"/>
                    <w:ind w:firstLine="0" w:firstLineChars="0"/>
                    <w:jc w:val="center"/>
                    <w:textAlignment w:val="bottom"/>
                    <w:rPr>
                      <w:rFonts w:hint="default" w:eastAsia="等线"/>
                      <w:color w:val="auto"/>
                      <w:kern w:val="0"/>
                      <w:sz w:val="21"/>
                      <w:szCs w:val="21"/>
                      <w:lang w:val="en-US" w:eastAsia="zh-CN" w:bidi="ar"/>
                    </w:rPr>
                  </w:pPr>
                  <w:r>
                    <w:rPr>
                      <w:rFonts w:hint="eastAsia" w:eastAsia="等线"/>
                      <w:color w:val="auto"/>
                      <w:kern w:val="0"/>
                      <w:sz w:val="21"/>
                      <w:szCs w:val="21"/>
                      <w:lang w:val="en-US" w:eastAsia="zh-CN" w:bidi="ar"/>
                    </w:rPr>
                    <w:t>0.0028</w:t>
                  </w:r>
                </w:p>
              </w:tc>
              <w:tc>
                <w:tcPr>
                  <w:tcW w:w="567" w:type="pct"/>
                  <w:vMerge w:val="continue"/>
                  <w:vAlign w:val="center"/>
                </w:tcPr>
                <w:p w14:paraId="75B8EBF9">
                  <w:pPr>
                    <w:spacing w:line="240" w:lineRule="auto"/>
                    <w:ind w:firstLine="0" w:firstLineChars="0"/>
                    <w:jc w:val="center"/>
                    <w:rPr>
                      <w:rFonts w:hint="eastAsia"/>
                      <w:color w:val="auto"/>
                      <w:sz w:val="21"/>
                      <w:szCs w:val="21"/>
                    </w:rPr>
                  </w:pPr>
                </w:p>
              </w:tc>
            </w:tr>
            <w:tr w14:paraId="4272E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7" w:type="pct"/>
                  <w:vAlign w:val="center"/>
                </w:tcPr>
                <w:p w14:paraId="6C4B2105">
                  <w:pPr>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实验废气</w:t>
                  </w:r>
                </w:p>
              </w:tc>
              <w:tc>
                <w:tcPr>
                  <w:tcW w:w="1141" w:type="pct"/>
                  <w:vAlign w:val="center"/>
                </w:tcPr>
                <w:p w14:paraId="1A29BB0D">
                  <w:pPr>
                    <w:spacing w:line="240" w:lineRule="auto"/>
                    <w:ind w:firstLine="0" w:firstLineChars="0"/>
                    <w:jc w:val="center"/>
                    <w:rPr>
                      <w:rFonts w:hint="eastAsia"/>
                      <w:color w:val="auto"/>
                      <w:sz w:val="21"/>
                      <w:szCs w:val="21"/>
                    </w:rPr>
                  </w:pPr>
                  <w:r>
                    <w:rPr>
                      <w:rFonts w:hint="eastAsia"/>
                      <w:color w:val="auto"/>
                      <w:sz w:val="21"/>
                      <w:szCs w:val="21"/>
                    </w:rPr>
                    <w:t>废气处理设施故障</w:t>
                  </w:r>
                </w:p>
              </w:tc>
              <w:tc>
                <w:tcPr>
                  <w:tcW w:w="510" w:type="pct"/>
                  <w:vAlign w:val="center"/>
                </w:tcPr>
                <w:p w14:paraId="4F031C57">
                  <w:pPr>
                    <w:tabs>
                      <w:tab w:val="left" w:pos="6720"/>
                    </w:tabs>
                    <w:autoSpaceDE w:val="0"/>
                    <w:autoSpaceDN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VOCs</w:t>
                  </w:r>
                </w:p>
              </w:tc>
              <w:tc>
                <w:tcPr>
                  <w:tcW w:w="661" w:type="pct"/>
                  <w:vAlign w:val="center"/>
                </w:tcPr>
                <w:p w14:paraId="309307F0">
                  <w:pPr>
                    <w:tabs>
                      <w:tab w:val="left" w:pos="6720"/>
                    </w:tabs>
                    <w:autoSpaceDE w:val="0"/>
                    <w:autoSpaceDN w:val="0"/>
                    <w:spacing w:line="240" w:lineRule="auto"/>
                    <w:ind w:firstLine="0" w:firstLineChars="0"/>
                    <w:jc w:val="center"/>
                    <w:rPr>
                      <w:rFonts w:hint="eastAsia"/>
                      <w:bCs/>
                      <w:color w:val="auto"/>
                      <w:sz w:val="21"/>
                      <w:szCs w:val="21"/>
                    </w:rPr>
                  </w:pPr>
                  <w:r>
                    <w:rPr>
                      <w:rFonts w:hint="eastAsia"/>
                      <w:color w:val="auto"/>
                    </w:rPr>
                    <w:t>0.022</w:t>
                  </w:r>
                </w:p>
              </w:tc>
              <w:tc>
                <w:tcPr>
                  <w:tcW w:w="519" w:type="pct"/>
                  <w:vAlign w:val="center"/>
                </w:tcPr>
                <w:p w14:paraId="349E9B91">
                  <w:pPr>
                    <w:widowControl/>
                    <w:wordWrap/>
                    <w:spacing w:line="240" w:lineRule="auto"/>
                    <w:ind w:firstLine="0" w:firstLineChars="0"/>
                    <w:jc w:val="center"/>
                    <w:textAlignment w:val="center"/>
                    <w:rPr>
                      <w:color w:val="auto"/>
                      <w:kern w:val="0"/>
                      <w:sz w:val="21"/>
                      <w:szCs w:val="21"/>
                      <w:lang w:bidi="ar"/>
                    </w:rPr>
                  </w:pPr>
                  <w:r>
                    <w:rPr>
                      <w:color w:val="auto"/>
                      <w:kern w:val="0"/>
                      <w:sz w:val="21"/>
                      <w:szCs w:val="21"/>
                      <w:lang w:bidi="ar"/>
                    </w:rPr>
                    <w:t>2</w:t>
                  </w:r>
                </w:p>
              </w:tc>
              <w:tc>
                <w:tcPr>
                  <w:tcW w:w="433" w:type="pct"/>
                  <w:vAlign w:val="center"/>
                </w:tcPr>
                <w:p w14:paraId="3AC2E626">
                  <w:pPr>
                    <w:widowControl/>
                    <w:wordWrap/>
                    <w:spacing w:line="240" w:lineRule="auto"/>
                    <w:ind w:firstLine="0" w:firstLineChars="0"/>
                    <w:jc w:val="center"/>
                    <w:textAlignment w:val="center"/>
                    <w:rPr>
                      <w:color w:val="auto"/>
                      <w:kern w:val="0"/>
                      <w:sz w:val="21"/>
                      <w:szCs w:val="21"/>
                      <w:lang w:bidi="ar"/>
                    </w:rPr>
                  </w:pPr>
                  <w:r>
                    <w:rPr>
                      <w:color w:val="auto"/>
                      <w:kern w:val="0"/>
                      <w:sz w:val="21"/>
                      <w:szCs w:val="21"/>
                      <w:lang w:bidi="ar"/>
                    </w:rPr>
                    <w:t>2</w:t>
                  </w:r>
                </w:p>
              </w:tc>
              <w:tc>
                <w:tcPr>
                  <w:tcW w:w="419" w:type="pct"/>
                  <w:vAlign w:val="center"/>
                </w:tcPr>
                <w:p w14:paraId="247C7F44">
                  <w:pPr>
                    <w:widowControl/>
                    <w:spacing w:line="240" w:lineRule="auto"/>
                    <w:ind w:firstLine="0" w:firstLineChars="0"/>
                    <w:jc w:val="center"/>
                    <w:textAlignment w:val="bottom"/>
                    <w:rPr>
                      <w:rFonts w:hint="default" w:eastAsia="等线"/>
                      <w:color w:val="auto"/>
                      <w:kern w:val="0"/>
                      <w:sz w:val="21"/>
                      <w:szCs w:val="21"/>
                      <w:lang w:val="en-US" w:eastAsia="zh-CN" w:bidi="ar"/>
                    </w:rPr>
                  </w:pPr>
                  <w:r>
                    <w:rPr>
                      <w:rFonts w:hint="eastAsia" w:eastAsia="等线"/>
                      <w:color w:val="auto"/>
                      <w:kern w:val="0"/>
                      <w:sz w:val="21"/>
                      <w:szCs w:val="21"/>
                      <w:lang w:val="en-US" w:eastAsia="zh-CN" w:bidi="ar"/>
                    </w:rPr>
                    <w:t>0.00009</w:t>
                  </w:r>
                </w:p>
              </w:tc>
              <w:tc>
                <w:tcPr>
                  <w:tcW w:w="567" w:type="pct"/>
                  <w:vMerge w:val="continue"/>
                  <w:vAlign w:val="center"/>
                </w:tcPr>
                <w:p w14:paraId="1FBCE60F">
                  <w:pPr>
                    <w:spacing w:line="240" w:lineRule="auto"/>
                    <w:ind w:firstLine="0" w:firstLineChars="0"/>
                    <w:jc w:val="center"/>
                    <w:rPr>
                      <w:rFonts w:hint="eastAsia"/>
                      <w:color w:val="auto"/>
                      <w:sz w:val="21"/>
                      <w:szCs w:val="21"/>
                    </w:rPr>
                  </w:pPr>
                </w:p>
              </w:tc>
            </w:tr>
            <w:tr w14:paraId="0D935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7" w:type="pct"/>
                  <w:vMerge w:val="restart"/>
                  <w:vAlign w:val="center"/>
                </w:tcPr>
                <w:p w14:paraId="5CE4EF04">
                  <w:pPr>
                    <w:spacing w:line="240" w:lineRule="auto"/>
                    <w:ind w:firstLine="0" w:firstLineChars="0"/>
                    <w:jc w:val="center"/>
                    <w:rPr>
                      <w:color w:val="auto"/>
                      <w:sz w:val="21"/>
                      <w:szCs w:val="21"/>
                    </w:rPr>
                  </w:pPr>
                  <w:r>
                    <w:rPr>
                      <w:rFonts w:hint="eastAsia"/>
                      <w:color w:val="auto"/>
                      <w:sz w:val="21"/>
                      <w:szCs w:val="21"/>
                    </w:rPr>
                    <w:t>污水处理站恶臭排气筒</w:t>
                  </w:r>
                </w:p>
              </w:tc>
              <w:tc>
                <w:tcPr>
                  <w:tcW w:w="1141" w:type="pct"/>
                  <w:vMerge w:val="restart"/>
                  <w:vAlign w:val="center"/>
                </w:tcPr>
                <w:p w14:paraId="262ED678">
                  <w:pPr>
                    <w:spacing w:line="240" w:lineRule="auto"/>
                    <w:ind w:firstLine="0" w:firstLineChars="0"/>
                    <w:jc w:val="center"/>
                    <w:rPr>
                      <w:color w:val="auto"/>
                      <w:sz w:val="21"/>
                      <w:szCs w:val="21"/>
                    </w:rPr>
                  </w:pPr>
                  <w:r>
                    <w:rPr>
                      <w:rFonts w:hint="eastAsia"/>
                      <w:color w:val="auto"/>
                      <w:sz w:val="21"/>
                      <w:szCs w:val="21"/>
                    </w:rPr>
                    <w:t>废气处理设施故障</w:t>
                  </w:r>
                </w:p>
              </w:tc>
              <w:tc>
                <w:tcPr>
                  <w:tcW w:w="510" w:type="pct"/>
                  <w:vAlign w:val="center"/>
                </w:tcPr>
                <w:p w14:paraId="15838761">
                  <w:pPr>
                    <w:spacing w:line="240" w:lineRule="auto"/>
                    <w:ind w:firstLine="0" w:firstLineChars="0"/>
                    <w:jc w:val="center"/>
                    <w:rPr>
                      <w:snapToGrid w:val="0"/>
                      <w:color w:val="auto"/>
                      <w:sz w:val="21"/>
                      <w:szCs w:val="21"/>
                    </w:rPr>
                  </w:pPr>
                  <w:r>
                    <w:rPr>
                      <w:color w:val="auto"/>
                      <w:sz w:val="21"/>
                      <w:szCs w:val="21"/>
                    </w:rPr>
                    <w:t>NH</w:t>
                  </w:r>
                  <w:r>
                    <w:rPr>
                      <w:color w:val="auto"/>
                      <w:sz w:val="21"/>
                      <w:szCs w:val="21"/>
                      <w:vertAlign w:val="subscript"/>
                    </w:rPr>
                    <w:t>3</w:t>
                  </w:r>
                </w:p>
              </w:tc>
              <w:tc>
                <w:tcPr>
                  <w:tcW w:w="661" w:type="pct"/>
                  <w:vAlign w:val="center"/>
                </w:tcPr>
                <w:p w14:paraId="1456DF1D">
                  <w:pPr>
                    <w:tabs>
                      <w:tab w:val="left" w:pos="6720"/>
                    </w:tabs>
                    <w:autoSpaceDE w:val="0"/>
                    <w:autoSpaceDN w:val="0"/>
                    <w:spacing w:line="240" w:lineRule="auto"/>
                    <w:ind w:firstLine="0" w:firstLineChars="0"/>
                    <w:jc w:val="center"/>
                    <w:rPr>
                      <w:rFonts w:hint="default" w:eastAsia="宋体"/>
                      <w:bCs/>
                      <w:color w:val="auto"/>
                      <w:sz w:val="21"/>
                      <w:szCs w:val="21"/>
                      <w:lang w:val="en-US" w:eastAsia="zh-CN"/>
                    </w:rPr>
                  </w:pPr>
                  <w:r>
                    <w:rPr>
                      <w:rFonts w:hint="eastAsia"/>
                      <w:bCs/>
                      <w:color w:val="auto"/>
                      <w:sz w:val="21"/>
                      <w:szCs w:val="21"/>
                    </w:rPr>
                    <w:t>0.</w:t>
                  </w:r>
                  <w:r>
                    <w:rPr>
                      <w:rFonts w:hint="eastAsia"/>
                      <w:bCs/>
                      <w:color w:val="auto"/>
                      <w:sz w:val="21"/>
                      <w:szCs w:val="21"/>
                      <w:lang w:val="en-US" w:eastAsia="zh-CN"/>
                    </w:rPr>
                    <w:t>0173</w:t>
                  </w:r>
                </w:p>
              </w:tc>
              <w:tc>
                <w:tcPr>
                  <w:tcW w:w="519" w:type="pct"/>
                  <w:vAlign w:val="center"/>
                </w:tcPr>
                <w:p w14:paraId="27852642">
                  <w:pPr>
                    <w:widowControl/>
                    <w:wordWrap/>
                    <w:spacing w:line="240" w:lineRule="auto"/>
                    <w:ind w:firstLine="0" w:firstLineChars="0"/>
                    <w:jc w:val="center"/>
                    <w:textAlignment w:val="center"/>
                    <w:rPr>
                      <w:color w:val="auto"/>
                      <w:sz w:val="21"/>
                      <w:szCs w:val="21"/>
                    </w:rPr>
                  </w:pPr>
                  <w:r>
                    <w:rPr>
                      <w:color w:val="auto"/>
                      <w:kern w:val="0"/>
                      <w:sz w:val="21"/>
                      <w:szCs w:val="21"/>
                      <w:lang w:bidi="ar"/>
                    </w:rPr>
                    <w:t>2</w:t>
                  </w:r>
                </w:p>
              </w:tc>
              <w:tc>
                <w:tcPr>
                  <w:tcW w:w="433" w:type="pct"/>
                  <w:vAlign w:val="center"/>
                </w:tcPr>
                <w:p w14:paraId="0D9B2541">
                  <w:pPr>
                    <w:widowControl/>
                    <w:wordWrap/>
                    <w:spacing w:line="240" w:lineRule="auto"/>
                    <w:ind w:firstLine="0" w:firstLineChars="0"/>
                    <w:jc w:val="center"/>
                    <w:textAlignment w:val="center"/>
                    <w:rPr>
                      <w:color w:val="auto"/>
                      <w:sz w:val="21"/>
                      <w:szCs w:val="21"/>
                    </w:rPr>
                  </w:pPr>
                  <w:r>
                    <w:rPr>
                      <w:color w:val="auto"/>
                      <w:kern w:val="0"/>
                      <w:sz w:val="21"/>
                      <w:szCs w:val="21"/>
                      <w:lang w:bidi="ar"/>
                    </w:rPr>
                    <w:t>2</w:t>
                  </w:r>
                </w:p>
              </w:tc>
              <w:tc>
                <w:tcPr>
                  <w:tcW w:w="419" w:type="pct"/>
                  <w:vAlign w:val="center"/>
                </w:tcPr>
                <w:p w14:paraId="6AA00F52">
                  <w:pPr>
                    <w:widowControl/>
                    <w:spacing w:line="240" w:lineRule="auto"/>
                    <w:ind w:firstLine="0" w:firstLineChars="0"/>
                    <w:jc w:val="center"/>
                    <w:textAlignment w:val="bottom"/>
                    <w:rPr>
                      <w:rFonts w:hint="default" w:eastAsia="等线"/>
                      <w:color w:val="auto"/>
                      <w:kern w:val="0"/>
                      <w:sz w:val="21"/>
                      <w:szCs w:val="21"/>
                      <w:lang w:val="en-US" w:eastAsia="zh-CN" w:bidi="ar"/>
                    </w:rPr>
                  </w:pPr>
                  <w:r>
                    <w:rPr>
                      <w:rFonts w:hint="eastAsia" w:eastAsia="等线"/>
                      <w:color w:val="auto"/>
                      <w:kern w:val="0"/>
                      <w:sz w:val="21"/>
                      <w:szCs w:val="21"/>
                      <w:lang w:val="en-US" w:eastAsia="zh-CN" w:bidi="ar"/>
                    </w:rPr>
                    <w:t>0.00007</w:t>
                  </w:r>
                </w:p>
              </w:tc>
              <w:tc>
                <w:tcPr>
                  <w:tcW w:w="567" w:type="pct"/>
                  <w:vMerge w:val="continue"/>
                  <w:vAlign w:val="center"/>
                </w:tcPr>
                <w:p w14:paraId="4C36CE4A">
                  <w:pPr>
                    <w:spacing w:line="240" w:lineRule="auto"/>
                    <w:ind w:firstLine="0" w:firstLineChars="0"/>
                    <w:jc w:val="center"/>
                    <w:rPr>
                      <w:color w:val="auto"/>
                      <w:sz w:val="21"/>
                      <w:szCs w:val="21"/>
                    </w:rPr>
                  </w:pPr>
                </w:p>
              </w:tc>
            </w:tr>
            <w:tr w14:paraId="7D927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7" w:type="pct"/>
                  <w:vMerge w:val="continue"/>
                  <w:vAlign w:val="center"/>
                </w:tcPr>
                <w:p w14:paraId="6B12CFAD">
                  <w:pPr>
                    <w:spacing w:line="240" w:lineRule="auto"/>
                    <w:ind w:firstLine="0" w:firstLineChars="0"/>
                    <w:jc w:val="center"/>
                    <w:rPr>
                      <w:color w:val="auto"/>
                      <w:sz w:val="21"/>
                      <w:szCs w:val="21"/>
                    </w:rPr>
                  </w:pPr>
                </w:p>
              </w:tc>
              <w:tc>
                <w:tcPr>
                  <w:tcW w:w="1141" w:type="pct"/>
                  <w:vMerge w:val="continue"/>
                  <w:vAlign w:val="center"/>
                </w:tcPr>
                <w:p w14:paraId="2D2C8DAA">
                  <w:pPr>
                    <w:spacing w:line="240" w:lineRule="auto"/>
                    <w:ind w:firstLine="0" w:firstLineChars="0"/>
                    <w:jc w:val="center"/>
                    <w:rPr>
                      <w:color w:val="auto"/>
                      <w:sz w:val="21"/>
                      <w:szCs w:val="21"/>
                    </w:rPr>
                  </w:pPr>
                </w:p>
              </w:tc>
              <w:tc>
                <w:tcPr>
                  <w:tcW w:w="510" w:type="pct"/>
                  <w:vAlign w:val="center"/>
                </w:tcPr>
                <w:p w14:paraId="189BA80B">
                  <w:pPr>
                    <w:spacing w:line="240" w:lineRule="auto"/>
                    <w:ind w:firstLine="0" w:firstLineChars="0"/>
                    <w:jc w:val="center"/>
                    <w:rPr>
                      <w:color w:val="auto"/>
                      <w:sz w:val="21"/>
                      <w:szCs w:val="21"/>
                    </w:rPr>
                  </w:pPr>
                  <w:r>
                    <w:rPr>
                      <w:color w:val="auto"/>
                      <w:sz w:val="21"/>
                      <w:szCs w:val="21"/>
                    </w:rPr>
                    <w:t>H</w:t>
                  </w:r>
                  <w:r>
                    <w:rPr>
                      <w:color w:val="auto"/>
                      <w:sz w:val="21"/>
                      <w:szCs w:val="21"/>
                      <w:vertAlign w:val="subscript"/>
                    </w:rPr>
                    <w:t>2</w:t>
                  </w:r>
                  <w:r>
                    <w:rPr>
                      <w:color w:val="auto"/>
                      <w:sz w:val="21"/>
                      <w:szCs w:val="21"/>
                    </w:rPr>
                    <w:t>S</w:t>
                  </w:r>
                </w:p>
              </w:tc>
              <w:tc>
                <w:tcPr>
                  <w:tcW w:w="661" w:type="pct"/>
                  <w:vAlign w:val="center"/>
                </w:tcPr>
                <w:p w14:paraId="51279AE0">
                  <w:pPr>
                    <w:tabs>
                      <w:tab w:val="left" w:pos="6720"/>
                    </w:tabs>
                    <w:autoSpaceDE w:val="0"/>
                    <w:autoSpaceDN w:val="0"/>
                    <w:spacing w:line="240" w:lineRule="auto"/>
                    <w:ind w:firstLine="0" w:firstLineChars="0"/>
                    <w:jc w:val="center"/>
                    <w:rPr>
                      <w:rFonts w:hint="default" w:eastAsia="宋体"/>
                      <w:bCs/>
                      <w:color w:val="auto"/>
                      <w:sz w:val="21"/>
                      <w:szCs w:val="21"/>
                      <w:lang w:val="en-US" w:eastAsia="zh-CN"/>
                    </w:rPr>
                  </w:pPr>
                  <w:r>
                    <w:rPr>
                      <w:rFonts w:hint="eastAsia"/>
                      <w:bCs/>
                      <w:color w:val="auto"/>
                      <w:sz w:val="21"/>
                      <w:szCs w:val="21"/>
                    </w:rPr>
                    <w:t>0.</w:t>
                  </w:r>
                  <w:r>
                    <w:rPr>
                      <w:rFonts w:hint="eastAsia"/>
                      <w:bCs/>
                      <w:color w:val="auto"/>
                      <w:sz w:val="21"/>
                      <w:szCs w:val="21"/>
                      <w:lang w:val="en-US" w:eastAsia="zh-CN"/>
                    </w:rPr>
                    <w:t>0007</w:t>
                  </w:r>
                </w:p>
              </w:tc>
              <w:tc>
                <w:tcPr>
                  <w:tcW w:w="519" w:type="pct"/>
                  <w:vAlign w:val="center"/>
                </w:tcPr>
                <w:p w14:paraId="13A31A22">
                  <w:pPr>
                    <w:widowControl/>
                    <w:wordWrap/>
                    <w:spacing w:line="240" w:lineRule="auto"/>
                    <w:ind w:firstLine="0" w:firstLineChars="0"/>
                    <w:jc w:val="center"/>
                    <w:textAlignment w:val="center"/>
                    <w:rPr>
                      <w:color w:val="auto"/>
                      <w:sz w:val="21"/>
                      <w:szCs w:val="21"/>
                    </w:rPr>
                  </w:pPr>
                  <w:r>
                    <w:rPr>
                      <w:color w:val="auto"/>
                      <w:kern w:val="0"/>
                      <w:sz w:val="21"/>
                      <w:szCs w:val="21"/>
                      <w:lang w:bidi="ar"/>
                    </w:rPr>
                    <w:t>2</w:t>
                  </w:r>
                </w:p>
              </w:tc>
              <w:tc>
                <w:tcPr>
                  <w:tcW w:w="433" w:type="pct"/>
                  <w:vAlign w:val="center"/>
                </w:tcPr>
                <w:p w14:paraId="2BAABD27">
                  <w:pPr>
                    <w:widowControl/>
                    <w:wordWrap/>
                    <w:spacing w:line="240" w:lineRule="auto"/>
                    <w:ind w:firstLine="0" w:firstLineChars="0"/>
                    <w:jc w:val="center"/>
                    <w:textAlignment w:val="center"/>
                    <w:rPr>
                      <w:color w:val="auto"/>
                      <w:sz w:val="21"/>
                      <w:szCs w:val="21"/>
                    </w:rPr>
                  </w:pPr>
                  <w:r>
                    <w:rPr>
                      <w:color w:val="auto"/>
                      <w:kern w:val="0"/>
                      <w:sz w:val="21"/>
                      <w:szCs w:val="21"/>
                      <w:lang w:bidi="ar"/>
                    </w:rPr>
                    <w:t>2</w:t>
                  </w:r>
                </w:p>
              </w:tc>
              <w:tc>
                <w:tcPr>
                  <w:tcW w:w="419" w:type="pct"/>
                  <w:vAlign w:val="center"/>
                </w:tcPr>
                <w:p w14:paraId="40C88DE9">
                  <w:pPr>
                    <w:widowControl/>
                    <w:spacing w:line="240" w:lineRule="auto"/>
                    <w:ind w:firstLine="0" w:firstLineChars="0"/>
                    <w:jc w:val="center"/>
                    <w:textAlignment w:val="bottom"/>
                    <w:rPr>
                      <w:rFonts w:hint="default" w:eastAsia="等线"/>
                      <w:color w:val="auto"/>
                      <w:kern w:val="0"/>
                      <w:sz w:val="21"/>
                      <w:szCs w:val="21"/>
                      <w:lang w:val="en-US" w:eastAsia="zh-CN" w:bidi="ar"/>
                    </w:rPr>
                  </w:pPr>
                  <w:r>
                    <w:rPr>
                      <w:rFonts w:hint="eastAsia" w:eastAsia="等线"/>
                      <w:color w:val="auto"/>
                      <w:kern w:val="0"/>
                      <w:sz w:val="21"/>
                      <w:szCs w:val="21"/>
                      <w:lang w:val="en-US" w:eastAsia="zh-CN" w:bidi="ar"/>
                    </w:rPr>
                    <w:t>0.000003</w:t>
                  </w:r>
                </w:p>
              </w:tc>
              <w:tc>
                <w:tcPr>
                  <w:tcW w:w="567" w:type="pct"/>
                  <w:vMerge w:val="continue"/>
                  <w:vAlign w:val="center"/>
                </w:tcPr>
                <w:p w14:paraId="022D1AE4">
                  <w:pPr>
                    <w:spacing w:line="240" w:lineRule="auto"/>
                    <w:ind w:firstLine="0" w:firstLineChars="0"/>
                    <w:jc w:val="center"/>
                    <w:rPr>
                      <w:color w:val="auto"/>
                      <w:sz w:val="21"/>
                      <w:szCs w:val="21"/>
                    </w:rPr>
                  </w:pPr>
                </w:p>
              </w:tc>
            </w:tr>
          </w:tbl>
          <w:p w14:paraId="3CB73216">
            <w:pPr>
              <w:ind w:firstLine="480"/>
              <w:rPr>
                <w:color w:val="auto"/>
              </w:rPr>
            </w:pPr>
            <w:r>
              <w:rPr>
                <w:rFonts w:hint="eastAsia"/>
                <w:color w:val="auto"/>
              </w:rPr>
              <w:t>由上表可知，非正常排放情况下，废气污染物排放量均显著增加。项目建设运行后，企业应加强在岗人员培训和对工艺设备运行的管理，尽量降低非正常情况的发生，减少对周围环境的影响。</w:t>
            </w:r>
          </w:p>
          <w:p w14:paraId="3A758425">
            <w:pPr>
              <w:keepNext w:val="0"/>
              <w:keepLines w:val="0"/>
              <w:pageBreakBefore w:val="0"/>
              <w:widowControl w:val="0"/>
              <w:kinsoku/>
              <w:wordWrap w:val="0"/>
              <w:overflowPunct/>
              <w:topLinePunct w:val="0"/>
              <w:autoSpaceDE/>
              <w:autoSpaceDN/>
              <w:bidi w:val="0"/>
              <w:adjustRightInd/>
              <w:snapToGrid/>
              <w:ind w:firstLine="0" w:firstLineChars="0"/>
              <w:textAlignment w:val="auto"/>
              <w:rPr>
                <w:b/>
                <w:bCs/>
                <w:color w:val="auto"/>
              </w:rPr>
            </w:pPr>
            <w:r>
              <w:rPr>
                <w:rFonts w:hint="eastAsia"/>
                <w:b/>
                <w:bCs/>
                <w:color w:val="auto"/>
                <w:lang w:val="en-US" w:eastAsia="zh-CN"/>
              </w:rPr>
              <w:t>7</w:t>
            </w:r>
            <w:r>
              <w:rPr>
                <w:b/>
                <w:bCs/>
                <w:color w:val="auto"/>
              </w:rPr>
              <w:t>.</w:t>
            </w:r>
            <w:r>
              <w:rPr>
                <w:rFonts w:hint="eastAsia"/>
                <w:b/>
                <w:bCs/>
                <w:color w:val="auto"/>
              </w:rPr>
              <w:t>废气监测计划</w:t>
            </w:r>
          </w:p>
          <w:p w14:paraId="36D70783">
            <w:pPr>
              <w:ind w:firstLine="480"/>
              <w:rPr>
                <w:color w:val="auto"/>
              </w:rPr>
            </w:pPr>
            <w:r>
              <w:rPr>
                <w:rFonts w:hint="eastAsia"/>
                <w:color w:val="auto"/>
              </w:rPr>
              <w:t>环境自行监测应参考《排污单位自行监测技术指南</w:t>
            </w:r>
            <w:r>
              <w:rPr>
                <w:rFonts w:hint="eastAsia"/>
                <w:color w:val="auto"/>
                <w:lang w:val="en-US" w:eastAsia="zh-CN"/>
              </w:rPr>
              <w:t xml:space="preserve"> </w:t>
            </w:r>
            <w:r>
              <w:rPr>
                <w:rFonts w:hint="eastAsia"/>
                <w:color w:val="auto"/>
              </w:rPr>
              <w:t>中药、生物药品制品、化学药品制剂制造业》（HJ1256—2022）</w:t>
            </w:r>
            <w:r>
              <w:rPr>
                <w:rFonts w:hint="eastAsia"/>
                <w:color w:val="auto"/>
                <w:lang w:val="en-US" w:eastAsia="zh-CN"/>
              </w:rPr>
              <w:t>及《排污许可证申请与核发技术规范制药工业—中成药生产》（HJ1064—2019）</w:t>
            </w:r>
            <w:r>
              <w:rPr>
                <w:rFonts w:hint="eastAsia"/>
                <w:color w:val="auto"/>
              </w:rPr>
              <w:t>制定废气污染源自行监测计划，每次监测应有完整的记录。监测数据应及时整理、统计，按时向管理部门、调度部门报告，做好监测资料的归档工作。</w:t>
            </w:r>
          </w:p>
          <w:p w14:paraId="51E37515">
            <w:pPr>
              <w:keepNext w:val="0"/>
              <w:keepLines w:val="0"/>
              <w:pageBreakBefore w:val="0"/>
              <w:widowControl w:val="0"/>
              <w:numPr>
                <w:ilvl w:val="0"/>
                <w:numId w:val="9"/>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lang w:val="zh-CN"/>
              </w:rPr>
            </w:pPr>
            <w:r>
              <w:rPr>
                <w:rFonts w:hint="eastAsia" w:ascii="Times New Roman" w:hAnsi="Times New Roman" w:eastAsia="宋体" w:cs="Times New Roman"/>
                <w:b/>
                <w:bCs/>
                <w:color w:val="auto"/>
                <w:sz w:val="21"/>
                <w:szCs w:val="21"/>
                <w:lang w:val="zh-CN"/>
              </w:rPr>
              <w:t>监测内容及频次一览表</w:t>
            </w:r>
          </w:p>
          <w:tbl>
            <w:tblPr>
              <w:tblStyle w:val="20"/>
              <w:tblW w:w="48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99"/>
              <w:gridCol w:w="1373"/>
              <w:gridCol w:w="1537"/>
              <w:gridCol w:w="2026"/>
              <w:gridCol w:w="1157"/>
              <w:gridCol w:w="1323"/>
            </w:tblGrid>
            <w:tr w14:paraId="70EF9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9" w:type="dxa"/>
                  <w:tcBorders>
                    <w:top w:val="single" w:color="auto" w:sz="4" w:space="0"/>
                    <w:left w:val="single" w:color="auto" w:sz="4" w:space="0"/>
                    <w:bottom w:val="single" w:color="auto" w:sz="4" w:space="0"/>
                    <w:right w:val="single" w:color="auto" w:sz="4" w:space="0"/>
                  </w:tcBorders>
                  <w:vAlign w:val="center"/>
                </w:tcPr>
                <w:p w14:paraId="1125A99C">
                  <w:pPr>
                    <w:spacing w:line="240" w:lineRule="auto"/>
                    <w:ind w:firstLine="0" w:firstLineChars="0"/>
                    <w:jc w:val="center"/>
                    <w:rPr>
                      <w:color w:val="auto"/>
                      <w:sz w:val="21"/>
                      <w:szCs w:val="21"/>
                    </w:rPr>
                  </w:pPr>
                  <w:r>
                    <w:rPr>
                      <w:rFonts w:hint="eastAsia"/>
                      <w:color w:val="auto"/>
                      <w:sz w:val="21"/>
                      <w:szCs w:val="21"/>
                    </w:rPr>
                    <w:t>序号</w:t>
                  </w:r>
                </w:p>
              </w:tc>
              <w:tc>
                <w:tcPr>
                  <w:tcW w:w="1370" w:type="dxa"/>
                  <w:tcBorders>
                    <w:top w:val="single" w:color="auto" w:sz="4" w:space="0"/>
                    <w:left w:val="single" w:color="auto" w:sz="4" w:space="0"/>
                    <w:bottom w:val="single" w:color="auto" w:sz="4" w:space="0"/>
                    <w:right w:val="single" w:color="auto" w:sz="4" w:space="0"/>
                  </w:tcBorders>
                  <w:vAlign w:val="center"/>
                </w:tcPr>
                <w:p w14:paraId="47DD8132">
                  <w:pPr>
                    <w:spacing w:line="240" w:lineRule="auto"/>
                    <w:ind w:firstLine="0" w:firstLineChars="0"/>
                    <w:jc w:val="center"/>
                    <w:rPr>
                      <w:color w:val="auto"/>
                      <w:sz w:val="21"/>
                      <w:szCs w:val="21"/>
                    </w:rPr>
                  </w:pPr>
                  <w:r>
                    <w:rPr>
                      <w:rFonts w:hint="eastAsia"/>
                      <w:color w:val="auto"/>
                      <w:sz w:val="21"/>
                      <w:szCs w:val="21"/>
                    </w:rPr>
                    <w:t>污染源</w:t>
                  </w:r>
                </w:p>
              </w:tc>
              <w:tc>
                <w:tcPr>
                  <w:tcW w:w="1534" w:type="dxa"/>
                  <w:tcBorders>
                    <w:top w:val="single" w:color="auto" w:sz="4" w:space="0"/>
                    <w:left w:val="single" w:color="auto" w:sz="4" w:space="0"/>
                    <w:bottom w:val="single" w:color="auto" w:sz="4" w:space="0"/>
                    <w:right w:val="single" w:color="auto" w:sz="4" w:space="0"/>
                  </w:tcBorders>
                  <w:vAlign w:val="center"/>
                </w:tcPr>
                <w:p w14:paraId="602012DC">
                  <w:pPr>
                    <w:spacing w:line="240" w:lineRule="auto"/>
                    <w:ind w:firstLine="0" w:firstLineChars="0"/>
                    <w:jc w:val="center"/>
                    <w:rPr>
                      <w:color w:val="auto"/>
                      <w:sz w:val="21"/>
                      <w:szCs w:val="21"/>
                    </w:rPr>
                  </w:pPr>
                  <w:r>
                    <w:rPr>
                      <w:rFonts w:hint="eastAsia"/>
                      <w:color w:val="auto"/>
                      <w:sz w:val="21"/>
                      <w:szCs w:val="21"/>
                    </w:rPr>
                    <w:t>监测点位</w:t>
                  </w:r>
                </w:p>
              </w:tc>
              <w:tc>
                <w:tcPr>
                  <w:tcW w:w="2022" w:type="dxa"/>
                  <w:tcBorders>
                    <w:top w:val="single" w:color="auto" w:sz="4" w:space="0"/>
                    <w:left w:val="single" w:color="auto" w:sz="4" w:space="0"/>
                    <w:bottom w:val="single" w:color="auto" w:sz="4" w:space="0"/>
                    <w:right w:val="single" w:color="auto" w:sz="4" w:space="0"/>
                  </w:tcBorders>
                  <w:vAlign w:val="center"/>
                </w:tcPr>
                <w:p w14:paraId="3F63BC24">
                  <w:pPr>
                    <w:spacing w:line="240" w:lineRule="auto"/>
                    <w:ind w:firstLine="0" w:firstLineChars="0"/>
                    <w:jc w:val="center"/>
                    <w:rPr>
                      <w:color w:val="auto"/>
                      <w:sz w:val="21"/>
                      <w:szCs w:val="21"/>
                    </w:rPr>
                  </w:pPr>
                  <w:r>
                    <w:rPr>
                      <w:rFonts w:hint="eastAsia"/>
                      <w:color w:val="auto"/>
                      <w:sz w:val="21"/>
                      <w:szCs w:val="21"/>
                    </w:rPr>
                    <w:t>监测项目</w:t>
                  </w:r>
                </w:p>
              </w:tc>
              <w:tc>
                <w:tcPr>
                  <w:tcW w:w="1155" w:type="dxa"/>
                  <w:tcBorders>
                    <w:top w:val="single" w:color="auto" w:sz="4" w:space="0"/>
                    <w:left w:val="single" w:color="auto" w:sz="4" w:space="0"/>
                    <w:bottom w:val="single" w:color="auto" w:sz="4" w:space="0"/>
                    <w:right w:val="single" w:color="auto" w:sz="4" w:space="0"/>
                  </w:tcBorders>
                  <w:vAlign w:val="center"/>
                </w:tcPr>
                <w:p w14:paraId="5FDF3B91">
                  <w:pPr>
                    <w:spacing w:line="240" w:lineRule="auto"/>
                    <w:ind w:firstLine="0" w:firstLineChars="0"/>
                    <w:jc w:val="center"/>
                    <w:rPr>
                      <w:color w:val="auto"/>
                      <w:sz w:val="21"/>
                      <w:szCs w:val="21"/>
                    </w:rPr>
                  </w:pPr>
                  <w:r>
                    <w:rPr>
                      <w:rFonts w:hint="eastAsia"/>
                      <w:color w:val="auto"/>
                      <w:sz w:val="21"/>
                      <w:szCs w:val="21"/>
                    </w:rPr>
                    <w:t>监测频次</w:t>
                  </w:r>
                </w:p>
              </w:tc>
              <w:tc>
                <w:tcPr>
                  <w:tcW w:w="1320" w:type="dxa"/>
                  <w:tcBorders>
                    <w:top w:val="single" w:color="auto" w:sz="4" w:space="0"/>
                    <w:left w:val="single" w:color="auto" w:sz="4" w:space="0"/>
                    <w:bottom w:val="single" w:color="auto" w:sz="4" w:space="0"/>
                    <w:right w:val="single" w:color="auto" w:sz="4" w:space="0"/>
                  </w:tcBorders>
                  <w:vAlign w:val="center"/>
                </w:tcPr>
                <w:p w14:paraId="332065F2">
                  <w:pPr>
                    <w:spacing w:line="240" w:lineRule="auto"/>
                    <w:ind w:firstLine="0" w:firstLineChars="0"/>
                    <w:jc w:val="center"/>
                    <w:rPr>
                      <w:color w:val="auto"/>
                      <w:sz w:val="21"/>
                      <w:szCs w:val="21"/>
                    </w:rPr>
                  </w:pPr>
                  <w:r>
                    <w:rPr>
                      <w:rFonts w:hint="eastAsia"/>
                      <w:color w:val="auto"/>
                      <w:sz w:val="21"/>
                      <w:szCs w:val="21"/>
                    </w:rPr>
                    <w:t>监测方法依据</w:t>
                  </w:r>
                </w:p>
              </w:tc>
            </w:tr>
            <w:tr w14:paraId="7E7B5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9" w:type="dxa"/>
                  <w:vMerge w:val="restart"/>
                  <w:tcBorders>
                    <w:top w:val="single" w:color="auto" w:sz="4" w:space="0"/>
                    <w:left w:val="single" w:color="auto" w:sz="4" w:space="0"/>
                    <w:right w:val="single" w:color="auto" w:sz="4" w:space="0"/>
                  </w:tcBorders>
                  <w:vAlign w:val="center"/>
                </w:tcPr>
                <w:p w14:paraId="60A91BB9">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有组织</w:t>
                  </w:r>
                </w:p>
              </w:tc>
              <w:tc>
                <w:tcPr>
                  <w:tcW w:w="1370" w:type="dxa"/>
                  <w:tcBorders>
                    <w:top w:val="single" w:color="auto" w:sz="4" w:space="0"/>
                    <w:left w:val="single" w:color="auto" w:sz="4" w:space="0"/>
                    <w:bottom w:val="single" w:color="auto" w:sz="4" w:space="0"/>
                    <w:right w:val="single" w:color="auto" w:sz="4" w:space="0"/>
                  </w:tcBorders>
                  <w:shd w:val="clear" w:color="auto" w:fill="auto"/>
                  <w:vAlign w:val="center"/>
                </w:tcPr>
                <w:p w14:paraId="69F24F47">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中药材</w:t>
                  </w:r>
                  <w:r>
                    <w:rPr>
                      <w:rFonts w:hint="eastAsia" w:cs="Times New Roman"/>
                      <w:color w:val="auto"/>
                      <w:sz w:val="21"/>
                      <w:szCs w:val="21"/>
                      <w:lang w:val="en-US" w:eastAsia="zh-CN"/>
                    </w:rPr>
                    <w:t>生产及药渣暂存</w:t>
                  </w:r>
                  <w:r>
                    <w:rPr>
                      <w:rFonts w:hint="eastAsia" w:ascii="Times New Roman" w:hAnsi="Times New Roman" w:eastAsia="宋体" w:cs="Times New Roman"/>
                      <w:color w:val="auto"/>
                      <w:sz w:val="21"/>
                      <w:szCs w:val="21"/>
                      <w:lang w:val="en-US" w:eastAsia="zh-CN"/>
                    </w:rPr>
                    <w:t>散发</w:t>
                  </w:r>
                </w:p>
              </w:tc>
              <w:tc>
                <w:tcPr>
                  <w:tcW w:w="1534" w:type="dxa"/>
                  <w:tcBorders>
                    <w:top w:val="single" w:color="auto" w:sz="4" w:space="0"/>
                    <w:left w:val="single" w:color="auto" w:sz="4" w:space="0"/>
                    <w:bottom w:val="single" w:color="auto" w:sz="4" w:space="0"/>
                    <w:right w:val="single" w:color="auto" w:sz="4" w:space="0"/>
                  </w:tcBorders>
                  <w:shd w:val="clear" w:color="auto" w:fill="auto"/>
                  <w:vAlign w:val="center"/>
                </w:tcPr>
                <w:p w14:paraId="257BE60B">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中药材异味排气筒</w:t>
                  </w:r>
                </w:p>
              </w:tc>
              <w:tc>
                <w:tcPr>
                  <w:tcW w:w="2022" w:type="dxa"/>
                  <w:tcBorders>
                    <w:top w:val="single" w:color="auto" w:sz="4" w:space="0"/>
                    <w:left w:val="single" w:color="auto" w:sz="4" w:space="0"/>
                    <w:bottom w:val="single" w:color="auto" w:sz="4" w:space="0"/>
                    <w:right w:val="single" w:color="auto" w:sz="4" w:space="0"/>
                  </w:tcBorders>
                  <w:vAlign w:val="center"/>
                </w:tcPr>
                <w:p w14:paraId="3A6F5900">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臭气浓度</w:t>
                  </w:r>
                </w:p>
              </w:tc>
              <w:tc>
                <w:tcPr>
                  <w:tcW w:w="1155" w:type="dxa"/>
                  <w:tcBorders>
                    <w:top w:val="single" w:color="auto" w:sz="4" w:space="0"/>
                    <w:left w:val="single" w:color="auto" w:sz="4" w:space="0"/>
                    <w:bottom w:val="single" w:color="auto" w:sz="4" w:space="0"/>
                    <w:right w:val="single" w:color="auto" w:sz="4" w:space="0"/>
                  </w:tcBorders>
                  <w:vAlign w:val="center"/>
                </w:tcPr>
                <w:p w14:paraId="769AC561">
                  <w:pPr>
                    <w:spacing w:line="240" w:lineRule="auto"/>
                    <w:ind w:firstLine="0" w:firstLineChars="0"/>
                    <w:jc w:val="center"/>
                    <w:rPr>
                      <w:color w:val="auto"/>
                      <w:sz w:val="21"/>
                      <w:szCs w:val="21"/>
                    </w:rPr>
                  </w:pPr>
                  <w:r>
                    <w:rPr>
                      <w:rFonts w:hint="eastAsia"/>
                      <w:color w:val="auto"/>
                      <w:sz w:val="21"/>
                      <w:szCs w:val="21"/>
                    </w:rPr>
                    <w:t>1次/</w:t>
                  </w:r>
                  <w:r>
                    <w:rPr>
                      <w:rFonts w:hint="eastAsia"/>
                      <w:color w:val="auto"/>
                      <w:sz w:val="21"/>
                      <w:szCs w:val="21"/>
                      <w:lang w:val="en-US" w:eastAsia="zh-CN"/>
                    </w:rPr>
                    <w:t>半</w:t>
                  </w:r>
                  <w:r>
                    <w:rPr>
                      <w:rFonts w:hint="eastAsia"/>
                      <w:color w:val="auto"/>
                      <w:sz w:val="21"/>
                      <w:szCs w:val="21"/>
                    </w:rPr>
                    <w:t>年</w:t>
                  </w:r>
                </w:p>
              </w:tc>
              <w:tc>
                <w:tcPr>
                  <w:tcW w:w="1320" w:type="dxa"/>
                  <w:vMerge w:val="restart"/>
                  <w:tcBorders>
                    <w:top w:val="single" w:color="auto" w:sz="4" w:space="0"/>
                    <w:left w:val="single" w:color="auto" w:sz="4" w:space="0"/>
                    <w:right w:val="single" w:color="auto" w:sz="4" w:space="0"/>
                  </w:tcBorders>
                  <w:vAlign w:val="center"/>
                </w:tcPr>
                <w:p w14:paraId="76899D15">
                  <w:pPr>
                    <w:spacing w:line="240" w:lineRule="auto"/>
                    <w:ind w:firstLine="0" w:firstLineChars="0"/>
                    <w:jc w:val="center"/>
                    <w:rPr>
                      <w:color w:val="auto"/>
                      <w:sz w:val="21"/>
                      <w:szCs w:val="21"/>
                    </w:rPr>
                  </w:pPr>
                  <w:r>
                    <w:rPr>
                      <w:rFonts w:hint="eastAsia"/>
                      <w:color w:val="auto"/>
                      <w:sz w:val="21"/>
                      <w:szCs w:val="21"/>
                    </w:rPr>
                    <w:t>《排污单位自行监测技术指南</w:t>
                  </w:r>
                  <w:r>
                    <w:rPr>
                      <w:rFonts w:hint="eastAsia"/>
                      <w:color w:val="auto"/>
                      <w:sz w:val="21"/>
                      <w:szCs w:val="21"/>
                      <w:lang w:val="en-US" w:eastAsia="zh-CN"/>
                    </w:rPr>
                    <w:t xml:space="preserve"> </w:t>
                  </w:r>
                  <w:r>
                    <w:rPr>
                      <w:rFonts w:hint="eastAsia"/>
                      <w:color w:val="auto"/>
                      <w:sz w:val="21"/>
                      <w:szCs w:val="21"/>
                    </w:rPr>
                    <w:t>中药、生物药品制品、化学药品制剂制造业》（HJ1256—2022）</w:t>
                  </w:r>
                  <w:r>
                    <w:rPr>
                      <w:rFonts w:hint="eastAsia"/>
                      <w:color w:val="auto"/>
                      <w:sz w:val="21"/>
                      <w:szCs w:val="21"/>
                      <w:lang w:val="en-US" w:eastAsia="zh-CN"/>
                    </w:rPr>
                    <w:t>、《排污许可证申请与核发技术规范制药工业—中成药生产》（HJ1064—2019）</w:t>
                  </w:r>
                </w:p>
              </w:tc>
            </w:tr>
            <w:tr w14:paraId="29A8E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9" w:hRule="atLeast"/>
                <w:jc w:val="center"/>
              </w:trPr>
              <w:tc>
                <w:tcPr>
                  <w:tcW w:w="499" w:type="dxa"/>
                  <w:vMerge w:val="continue"/>
                  <w:tcBorders>
                    <w:left w:val="single" w:color="auto" w:sz="4" w:space="0"/>
                    <w:right w:val="single" w:color="auto" w:sz="4" w:space="0"/>
                  </w:tcBorders>
                  <w:vAlign w:val="center"/>
                </w:tcPr>
                <w:p w14:paraId="7EB555E9">
                  <w:pPr>
                    <w:spacing w:line="240" w:lineRule="auto"/>
                    <w:ind w:firstLine="0" w:firstLineChars="0"/>
                    <w:jc w:val="center"/>
                    <w:rPr>
                      <w:rFonts w:hint="eastAsia"/>
                      <w:color w:val="auto"/>
                      <w:sz w:val="21"/>
                      <w:szCs w:val="21"/>
                    </w:rPr>
                  </w:pPr>
                </w:p>
              </w:tc>
              <w:tc>
                <w:tcPr>
                  <w:tcW w:w="1370" w:type="dxa"/>
                  <w:tcBorders>
                    <w:top w:val="single" w:color="auto" w:sz="4" w:space="0"/>
                    <w:left w:val="single" w:color="auto" w:sz="4" w:space="0"/>
                    <w:bottom w:val="single" w:color="auto" w:sz="4" w:space="0"/>
                    <w:right w:val="single" w:color="auto" w:sz="4" w:space="0"/>
                  </w:tcBorders>
                  <w:shd w:val="clear" w:color="auto" w:fill="auto"/>
                  <w:vAlign w:val="center"/>
                </w:tcPr>
                <w:p w14:paraId="55F1BA63">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中药饮片车间干燥、炒制、粉碎、筛分</w:t>
                  </w:r>
                  <w:r>
                    <w:rPr>
                      <w:rFonts w:hint="eastAsia" w:ascii="Times New Roman" w:hAnsi="Times New Roman" w:eastAsia="宋体" w:cs="Times New Roman"/>
                      <w:color w:val="auto"/>
                      <w:sz w:val="21"/>
                      <w:szCs w:val="21"/>
                      <w:lang w:val="en-US" w:eastAsia="zh-CN"/>
                    </w:rPr>
                    <w:t>工序</w:t>
                  </w:r>
                </w:p>
              </w:tc>
              <w:tc>
                <w:tcPr>
                  <w:tcW w:w="1534" w:type="dxa"/>
                  <w:tcBorders>
                    <w:top w:val="single" w:color="auto" w:sz="4" w:space="0"/>
                    <w:left w:val="single" w:color="auto" w:sz="4" w:space="0"/>
                    <w:bottom w:val="single" w:color="auto" w:sz="4" w:space="0"/>
                    <w:right w:val="single" w:color="auto" w:sz="4" w:space="0"/>
                  </w:tcBorders>
                  <w:shd w:val="clear" w:color="auto" w:fill="auto"/>
                  <w:vAlign w:val="center"/>
                </w:tcPr>
                <w:p w14:paraId="22E7FD8A">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普通</w:t>
                  </w:r>
                  <w:r>
                    <w:rPr>
                      <w:rFonts w:hint="eastAsia" w:ascii="Times New Roman" w:hAnsi="Times New Roman" w:eastAsia="宋体" w:cs="Times New Roman"/>
                      <w:color w:val="auto"/>
                      <w:sz w:val="21"/>
                      <w:szCs w:val="21"/>
                    </w:rPr>
                    <w:t>中药饮片车间干燥、炒制、粉碎、筛分</w:t>
                  </w:r>
                  <w:r>
                    <w:rPr>
                      <w:rFonts w:hint="eastAsia" w:ascii="Times New Roman" w:hAnsi="Times New Roman" w:eastAsia="宋体" w:cs="Times New Roman"/>
                      <w:color w:val="auto"/>
                      <w:sz w:val="21"/>
                      <w:szCs w:val="21"/>
                      <w:lang w:val="en-US" w:eastAsia="zh-CN"/>
                    </w:rPr>
                    <w:t>工序排气筒</w:t>
                  </w:r>
                </w:p>
              </w:tc>
              <w:tc>
                <w:tcPr>
                  <w:tcW w:w="2022" w:type="dxa"/>
                  <w:tcBorders>
                    <w:top w:val="single" w:color="auto" w:sz="4" w:space="0"/>
                    <w:left w:val="single" w:color="auto" w:sz="4" w:space="0"/>
                    <w:bottom w:val="single" w:color="auto" w:sz="4" w:space="0"/>
                    <w:right w:val="single" w:color="auto" w:sz="4" w:space="0"/>
                  </w:tcBorders>
                  <w:vAlign w:val="center"/>
                </w:tcPr>
                <w:p w14:paraId="4095D426">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颗粒物</w:t>
                  </w:r>
                </w:p>
              </w:tc>
              <w:tc>
                <w:tcPr>
                  <w:tcW w:w="1155" w:type="dxa"/>
                  <w:tcBorders>
                    <w:top w:val="single" w:color="auto" w:sz="4" w:space="0"/>
                    <w:left w:val="single" w:color="auto" w:sz="4" w:space="0"/>
                    <w:bottom w:val="single" w:color="auto" w:sz="4" w:space="0"/>
                    <w:right w:val="single" w:color="auto" w:sz="4" w:space="0"/>
                  </w:tcBorders>
                  <w:vAlign w:val="center"/>
                </w:tcPr>
                <w:p w14:paraId="7F3A95E1">
                  <w:pPr>
                    <w:spacing w:line="240" w:lineRule="auto"/>
                    <w:ind w:firstLine="0" w:firstLineChars="0"/>
                    <w:jc w:val="center"/>
                    <w:rPr>
                      <w:rFonts w:hint="eastAsia"/>
                      <w:color w:val="auto"/>
                      <w:sz w:val="21"/>
                      <w:szCs w:val="21"/>
                    </w:rPr>
                  </w:pPr>
                  <w:r>
                    <w:rPr>
                      <w:rFonts w:hint="eastAsia"/>
                      <w:color w:val="auto"/>
                      <w:sz w:val="21"/>
                      <w:szCs w:val="21"/>
                    </w:rPr>
                    <w:t>1次/</w:t>
                  </w:r>
                  <w:r>
                    <w:rPr>
                      <w:rFonts w:hint="eastAsia"/>
                      <w:color w:val="auto"/>
                      <w:sz w:val="21"/>
                      <w:szCs w:val="21"/>
                      <w:lang w:val="en-US" w:eastAsia="zh-CN"/>
                    </w:rPr>
                    <w:t>半</w:t>
                  </w:r>
                  <w:r>
                    <w:rPr>
                      <w:rFonts w:hint="eastAsia"/>
                      <w:color w:val="auto"/>
                      <w:sz w:val="21"/>
                      <w:szCs w:val="21"/>
                    </w:rPr>
                    <w:t>年</w:t>
                  </w:r>
                </w:p>
              </w:tc>
              <w:tc>
                <w:tcPr>
                  <w:tcW w:w="1320" w:type="dxa"/>
                  <w:vMerge w:val="continue"/>
                  <w:tcBorders>
                    <w:left w:val="single" w:color="auto" w:sz="4" w:space="0"/>
                    <w:right w:val="single" w:color="auto" w:sz="4" w:space="0"/>
                  </w:tcBorders>
                  <w:vAlign w:val="center"/>
                </w:tcPr>
                <w:p w14:paraId="45668CC5">
                  <w:pPr>
                    <w:spacing w:line="240" w:lineRule="auto"/>
                    <w:ind w:firstLine="0" w:firstLineChars="0"/>
                    <w:jc w:val="center"/>
                    <w:rPr>
                      <w:rFonts w:hint="eastAsia"/>
                      <w:color w:val="auto"/>
                      <w:sz w:val="21"/>
                      <w:szCs w:val="21"/>
                    </w:rPr>
                  </w:pPr>
                </w:p>
              </w:tc>
            </w:tr>
            <w:tr w14:paraId="626CD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9" w:type="dxa"/>
                  <w:vMerge w:val="continue"/>
                  <w:tcBorders>
                    <w:left w:val="single" w:color="auto" w:sz="4" w:space="0"/>
                    <w:right w:val="single" w:color="auto" w:sz="4" w:space="0"/>
                  </w:tcBorders>
                  <w:vAlign w:val="center"/>
                </w:tcPr>
                <w:p w14:paraId="0918EEA8">
                  <w:pPr>
                    <w:spacing w:line="240" w:lineRule="auto"/>
                    <w:ind w:firstLine="0" w:firstLineChars="0"/>
                    <w:jc w:val="center"/>
                    <w:rPr>
                      <w:rFonts w:hint="eastAsia"/>
                      <w:color w:val="auto"/>
                      <w:sz w:val="21"/>
                      <w:szCs w:val="21"/>
                    </w:rPr>
                  </w:pPr>
                </w:p>
              </w:tc>
              <w:tc>
                <w:tcPr>
                  <w:tcW w:w="1370" w:type="dxa"/>
                  <w:tcBorders>
                    <w:top w:val="single" w:color="auto" w:sz="4" w:space="0"/>
                    <w:left w:val="single" w:color="auto" w:sz="4" w:space="0"/>
                    <w:bottom w:val="single" w:color="auto" w:sz="4" w:space="0"/>
                    <w:right w:val="single" w:color="auto" w:sz="4" w:space="0"/>
                  </w:tcBorders>
                  <w:shd w:val="clear" w:color="auto" w:fill="auto"/>
                  <w:vAlign w:val="center"/>
                </w:tcPr>
                <w:p w14:paraId="3B9EFD17">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口服饮片车间、颗粒剂车间及制丸车间</w:t>
                  </w:r>
                </w:p>
              </w:tc>
              <w:tc>
                <w:tcPr>
                  <w:tcW w:w="1534" w:type="dxa"/>
                  <w:tcBorders>
                    <w:top w:val="single" w:color="auto" w:sz="4" w:space="0"/>
                    <w:left w:val="single" w:color="auto" w:sz="4" w:space="0"/>
                    <w:bottom w:val="single" w:color="auto" w:sz="4" w:space="0"/>
                    <w:right w:val="single" w:color="auto" w:sz="4" w:space="0"/>
                  </w:tcBorders>
                  <w:shd w:val="clear" w:color="auto" w:fill="auto"/>
                  <w:vAlign w:val="center"/>
                </w:tcPr>
                <w:p w14:paraId="4E9E30DA">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口服饮片车间、颗粒剂车间及制丸车间排气筒</w:t>
                  </w:r>
                </w:p>
              </w:tc>
              <w:tc>
                <w:tcPr>
                  <w:tcW w:w="2022" w:type="dxa"/>
                  <w:tcBorders>
                    <w:top w:val="single" w:color="auto" w:sz="4" w:space="0"/>
                    <w:left w:val="single" w:color="auto" w:sz="4" w:space="0"/>
                    <w:bottom w:val="single" w:color="auto" w:sz="4" w:space="0"/>
                    <w:right w:val="single" w:color="auto" w:sz="4" w:space="0"/>
                  </w:tcBorders>
                  <w:vAlign w:val="center"/>
                </w:tcPr>
                <w:p w14:paraId="1856FC41">
                  <w:pPr>
                    <w:spacing w:line="240" w:lineRule="auto"/>
                    <w:ind w:firstLine="0" w:firstLineChars="0"/>
                    <w:jc w:val="center"/>
                    <w:rPr>
                      <w:rFonts w:hint="eastAsia"/>
                      <w:color w:val="auto"/>
                      <w:sz w:val="21"/>
                      <w:szCs w:val="21"/>
                    </w:rPr>
                  </w:pPr>
                  <w:r>
                    <w:rPr>
                      <w:rFonts w:hint="eastAsia"/>
                      <w:color w:val="auto"/>
                      <w:sz w:val="21"/>
                      <w:szCs w:val="21"/>
                      <w:lang w:val="en-US" w:eastAsia="zh-CN"/>
                    </w:rPr>
                    <w:t>颗粒物</w:t>
                  </w:r>
                </w:p>
              </w:tc>
              <w:tc>
                <w:tcPr>
                  <w:tcW w:w="1155" w:type="dxa"/>
                  <w:tcBorders>
                    <w:top w:val="single" w:color="auto" w:sz="4" w:space="0"/>
                    <w:left w:val="single" w:color="auto" w:sz="4" w:space="0"/>
                    <w:bottom w:val="single" w:color="auto" w:sz="4" w:space="0"/>
                    <w:right w:val="single" w:color="auto" w:sz="4" w:space="0"/>
                  </w:tcBorders>
                  <w:vAlign w:val="center"/>
                </w:tcPr>
                <w:p w14:paraId="07BFD91D">
                  <w:pPr>
                    <w:spacing w:line="240" w:lineRule="auto"/>
                    <w:ind w:firstLine="0" w:firstLineChars="0"/>
                    <w:jc w:val="center"/>
                    <w:rPr>
                      <w:rFonts w:hint="eastAsia"/>
                      <w:color w:val="auto"/>
                      <w:sz w:val="21"/>
                      <w:szCs w:val="21"/>
                    </w:rPr>
                  </w:pPr>
                  <w:r>
                    <w:rPr>
                      <w:rFonts w:hint="eastAsia"/>
                      <w:color w:val="auto"/>
                      <w:sz w:val="21"/>
                      <w:szCs w:val="21"/>
                    </w:rPr>
                    <w:t>1次/</w:t>
                  </w:r>
                  <w:r>
                    <w:rPr>
                      <w:rFonts w:hint="eastAsia"/>
                      <w:color w:val="auto"/>
                      <w:sz w:val="21"/>
                      <w:szCs w:val="21"/>
                      <w:lang w:val="en-US" w:eastAsia="zh-CN"/>
                    </w:rPr>
                    <w:t>半</w:t>
                  </w:r>
                  <w:r>
                    <w:rPr>
                      <w:rFonts w:hint="eastAsia"/>
                      <w:color w:val="auto"/>
                      <w:sz w:val="21"/>
                      <w:szCs w:val="21"/>
                    </w:rPr>
                    <w:t>年</w:t>
                  </w:r>
                </w:p>
              </w:tc>
              <w:tc>
                <w:tcPr>
                  <w:tcW w:w="1320" w:type="dxa"/>
                  <w:vMerge w:val="continue"/>
                  <w:tcBorders>
                    <w:left w:val="single" w:color="auto" w:sz="4" w:space="0"/>
                    <w:right w:val="single" w:color="auto" w:sz="4" w:space="0"/>
                  </w:tcBorders>
                  <w:vAlign w:val="center"/>
                </w:tcPr>
                <w:p w14:paraId="279DDEF0">
                  <w:pPr>
                    <w:spacing w:line="240" w:lineRule="auto"/>
                    <w:ind w:firstLine="0" w:firstLineChars="0"/>
                    <w:jc w:val="center"/>
                    <w:rPr>
                      <w:rFonts w:hint="eastAsia"/>
                      <w:color w:val="auto"/>
                      <w:sz w:val="21"/>
                      <w:szCs w:val="21"/>
                    </w:rPr>
                  </w:pPr>
                </w:p>
              </w:tc>
            </w:tr>
            <w:tr w14:paraId="49816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9" w:type="dxa"/>
                  <w:vMerge w:val="continue"/>
                  <w:tcBorders>
                    <w:left w:val="single" w:color="auto" w:sz="4" w:space="0"/>
                    <w:right w:val="single" w:color="auto" w:sz="4" w:space="0"/>
                  </w:tcBorders>
                  <w:vAlign w:val="center"/>
                </w:tcPr>
                <w:p w14:paraId="5EA041A8">
                  <w:pPr>
                    <w:spacing w:line="240" w:lineRule="auto"/>
                    <w:ind w:firstLine="0" w:firstLineChars="0"/>
                    <w:jc w:val="center"/>
                    <w:rPr>
                      <w:rFonts w:hint="eastAsia"/>
                      <w:color w:val="auto"/>
                      <w:sz w:val="21"/>
                      <w:szCs w:val="21"/>
                    </w:rPr>
                  </w:pPr>
                </w:p>
              </w:tc>
              <w:tc>
                <w:tcPr>
                  <w:tcW w:w="1370" w:type="dxa"/>
                  <w:tcBorders>
                    <w:top w:val="single" w:color="auto" w:sz="4" w:space="0"/>
                    <w:left w:val="single" w:color="auto" w:sz="4" w:space="0"/>
                    <w:bottom w:val="single" w:color="auto" w:sz="4" w:space="0"/>
                    <w:right w:val="single" w:color="auto" w:sz="4" w:space="0"/>
                  </w:tcBorders>
                  <w:shd w:val="clear" w:color="auto" w:fill="auto"/>
                  <w:vAlign w:val="center"/>
                </w:tcPr>
                <w:p w14:paraId="56980E28">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污水处理站</w:t>
                  </w:r>
                  <w:r>
                    <w:rPr>
                      <w:rFonts w:hint="eastAsia" w:ascii="Times New Roman" w:hAnsi="Times New Roman" w:eastAsia="宋体" w:cs="Times New Roman"/>
                      <w:color w:val="auto"/>
                      <w:sz w:val="21"/>
                      <w:szCs w:val="21"/>
                      <w:lang w:val="en-US" w:eastAsia="zh-CN"/>
                    </w:rPr>
                    <w:t>除臭装置</w:t>
                  </w:r>
                </w:p>
              </w:tc>
              <w:tc>
                <w:tcPr>
                  <w:tcW w:w="1534" w:type="dxa"/>
                  <w:tcBorders>
                    <w:top w:val="single" w:color="auto" w:sz="4" w:space="0"/>
                    <w:left w:val="single" w:color="auto" w:sz="4" w:space="0"/>
                    <w:bottom w:val="single" w:color="auto" w:sz="4" w:space="0"/>
                    <w:right w:val="single" w:color="auto" w:sz="4" w:space="0"/>
                  </w:tcBorders>
                  <w:shd w:val="clear" w:color="auto" w:fill="auto"/>
                  <w:vAlign w:val="center"/>
                </w:tcPr>
                <w:p w14:paraId="0E9CD04B">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污水处理站</w:t>
                  </w:r>
                  <w:r>
                    <w:rPr>
                      <w:rFonts w:hint="eastAsia" w:ascii="Times New Roman" w:hAnsi="Times New Roman" w:eastAsia="宋体" w:cs="Times New Roman"/>
                      <w:color w:val="auto"/>
                      <w:sz w:val="21"/>
                      <w:szCs w:val="21"/>
                      <w:lang w:val="en-US" w:eastAsia="zh-CN"/>
                    </w:rPr>
                    <w:t>除臭装置排气筒</w:t>
                  </w:r>
                </w:p>
              </w:tc>
              <w:tc>
                <w:tcPr>
                  <w:tcW w:w="2022" w:type="dxa"/>
                  <w:tcBorders>
                    <w:top w:val="single" w:color="auto" w:sz="4" w:space="0"/>
                    <w:left w:val="single" w:color="auto" w:sz="4" w:space="0"/>
                    <w:bottom w:val="single" w:color="auto" w:sz="4" w:space="0"/>
                    <w:right w:val="single" w:color="auto" w:sz="4" w:space="0"/>
                  </w:tcBorders>
                  <w:vAlign w:val="center"/>
                </w:tcPr>
                <w:p w14:paraId="7CE0C9A4">
                  <w:pPr>
                    <w:spacing w:line="240" w:lineRule="auto"/>
                    <w:ind w:firstLine="0" w:firstLineChars="0"/>
                    <w:jc w:val="center"/>
                    <w:rPr>
                      <w:rFonts w:hint="eastAsia"/>
                      <w:color w:val="auto"/>
                      <w:sz w:val="21"/>
                      <w:szCs w:val="21"/>
                    </w:rPr>
                  </w:pPr>
                  <w:r>
                    <w:rPr>
                      <w:color w:val="auto"/>
                      <w:sz w:val="21"/>
                      <w:szCs w:val="21"/>
                    </w:rPr>
                    <w:t>NH</w:t>
                  </w:r>
                  <w:r>
                    <w:rPr>
                      <w:color w:val="auto"/>
                      <w:sz w:val="21"/>
                      <w:szCs w:val="21"/>
                      <w:vertAlign w:val="subscript"/>
                    </w:rPr>
                    <w:t>3</w:t>
                  </w:r>
                  <w:r>
                    <w:rPr>
                      <w:rFonts w:hint="eastAsia"/>
                      <w:color w:val="auto"/>
                      <w:sz w:val="21"/>
                      <w:szCs w:val="21"/>
                    </w:rPr>
                    <w:t>、H</w:t>
                  </w:r>
                  <w:r>
                    <w:rPr>
                      <w:rFonts w:hint="eastAsia"/>
                      <w:color w:val="auto"/>
                      <w:sz w:val="21"/>
                      <w:szCs w:val="21"/>
                      <w:vertAlign w:val="subscript"/>
                    </w:rPr>
                    <w:t>2</w:t>
                  </w:r>
                  <w:r>
                    <w:rPr>
                      <w:rFonts w:hint="eastAsia"/>
                      <w:color w:val="auto"/>
                      <w:sz w:val="21"/>
                      <w:szCs w:val="21"/>
                    </w:rPr>
                    <w:t>S、臭气浓度</w:t>
                  </w:r>
                </w:p>
              </w:tc>
              <w:tc>
                <w:tcPr>
                  <w:tcW w:w="1155" w:type="dxa"/>
                  <w:tcBorders>
                    <w:top w:val="single" w:color="auto" w:sz="4" w:space="0"/>
                    <w:left w:val="single" w:color="auto" w:sz="4" w:space="0"/>
                    <w:bottom w:val="single" w:color="auto" w:sz="4" w:space="0"/>
                    <w:right w:val="single" w:color="auto" w:sz="4" w:space="0"/>
                  </w:tcBorders>
                  <w:vAlign w:val="center"/>
                </w:tcPr>
                <w:p w14:paraId="080B9D58">
                  <w:pPr>
                    <w:spacing w:line="240" w:lineRule="auto"/>
                    <w:ind w:firstLine="0" w:firstLineChars="0"/>
                    <w:jc w:val="center"/>
                    <w:rPr>
                      <w:rFonts w:hint="eastAsia"/>
                      <w:color w:val="auto"/>
                      <w:sz w:val="21"/>
                      <w:szCs w:val="21"/>
                    </w:rPr>
                  </w:pPr>
                  <w:r>
                    <w:rPr>
                      <w:rFonts w:hint="eastAsia"/>
                      <w:color w:val="auto"/>
                      <w:sz w:val="21"/>
                      <w:szCs w:val="21"/>
                    </w:rPr>
                    <w:t>1次/</w:t>
                  </w:r>
                  <w:r>
                    <w:rPr>
                      <w:rFonts w:hint="eastAsia"/>
                      <w:color w:val="auto"/>
                      <w:sz w:val="21"/>
                      <w:szCs w:val="21"/>
                      <w:lang w:val="en-US" w:eastAsia="zh-CN"/>
                    </w:rPr>
                    <w:t>半</w:t>
                  </w:r>
                  <w:r>
                    <w:rPr>
                      <w:rFonts w:hint="eastAsia"/>
                      <w:color w:val="auto"/>
                      <w:sz w:val="21"/>
                      <w:szCs w:val="21"/>
                    </w:rPr>
                    <w:t>年</w:t>
                  </w:r>
                </w:p>
              </w:tc>
              <w:tc>
                <w:tcPr>
                  <w:tcW w:w="1320" w:type="dxa"/>
                  <w:vMerge w:val="continue"/>
                  <w:tcBorders>
                    <w:left w:val="single" w:color="auto" w:sz="4" w:space="0"/>
                    <w:right w:val="single" w:color="auto" w:sz="4" w:space="0"/>
                  </w:tcBorders>
                  <w:vAlign w:val="center"/>
                </w:tcPr>
                <w:p w14:paraId="0A80BAA4">
                  <w:pPr>
                    <w:spacing w:line="240" w:lineRule="auto"/>
                    <w:ind w:firstLine="0" w:firstLineChars="0"/>
                    <w:jc w:val="center"/>
                    <w:rPr>
                      <w:rFonts w:hint="eastAsia"/>
                      <w:color w:val="auto"/>
                      <w:sz w:val="21"/>
                      <w:szCs w:val="21"/>
                    </w:rPr>
                  </w:pPr>
                </w:p>
              </w:tc>
            </w:tr>
            <w:tr w14:paraId="45FB8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9" w:type="dxa"/>
                  <w:vMerge w:val="continue"/>
                  <w:tcBorders>
                    <w:left w:val="single" w:color="auto" w:sz="4" w:space="0"/>
                    <w:right w:val="single" w:color="auto" w:sz="4" w:space="0"/>
                  </w:tcBorders>
                  <w:vAlign w:val="center"/>
                </w:tcPr>
                <w:p w14:paraId="6205AE5B">
                  <w:pPr>
                    <w:spacing w:line="240" w:lineRule="auto"/>
                    <w:ind w:firstLine="0" w:firstLineChars="0"/>
                    <w:jc w:val="center"/>
                    <w:rPr>
                      <w:color w:val="auto"/>
                      <w:sz w:val="21"/>
                      <w:szCs w:val="21"/>
                    </w:rPr>
                  </w:pPr>
                </w:p>
              </w:tc>
              <w:tc>
                <w:tcPr>
                  <w:tcW w:w="1370" w:type="dxa"/>
                  <w:tcBorders>
                    <w:top w:val="single" w:color="auto" w:sz="4" w:space="0"/>
                    <w:left w:val="single" w:color="auto" w:sz="4" w:space="0"/>
                    <w:bottom w:val="single" w:color="auto" w:sz="4" w:space="0"/>
                    <w:right w:val="single" w:color="auto" w:sz="4" w:space="0"/>
                  </w:tcBorders>
                  <w:shd w:val="clear" w:color="auto" w:fill="auto"/>
                  <w:vAlign w:val="center"/>
                </w:tcPr>
                <w:p w14:paraId="5ABFD708">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质检工序</w:t>
                  </w:r>
                </w:p>
              </w:tc>
              <w:tc>
                <w:tcPr>
                  <w:tcW w:w="1534" w:type="dxa"/>
                  <w:tcBorders>
                    <w:top w:val="single" w:color="auto" w:sz="4" w:space="0"/>
                    <w:left w:val="single" w:color="auto" w:sz="4" w:space="0"/>
                    <w:bottom w:val="single" w:color="auto" w:sz="4" w:space="0"/>
                    <w:right w:val="single" w:color="auto" w:sz="4" w:space="0"/>
                  </w:tcBorders>
                  <w:shd w:val="clear" w:color="auto" w:fill="auto"/>
                  <w:vAlign w:val="center"/>
                </w:tcPr>
                <w:p w14:paraId="5BB19C86">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实验废气</w:t>
                  </w:r>
                  <w:r>
                    <w:rPr>
                      <w:rFonts w:hint="eastAsia" w:ascii="Times New Roman" w:hAnsi="Times New Roman" w:eastAsia="宋体" w:cs="Times New Roman"/>
                      <w:color w:val="auto"/>
                      <w:sz w:val="21"/>
                      <w:szCs w:val="21"/>
                      <w:lang w:val="en-US" w:eastAsia="zh-CN"/>
                    </w:rPr>
                    <w:t>排气筒</w:t>
                  </w:r>
                </w:p>
              </w:tc>
              <w:tc>
                <w:tcPr>
                  <w:tcW w:w="2022" w:type="dxa"/>
                  <w:tcBorders>
                    <w:top w:val="single" w:color="auto" w:sz="4" w:space="0"/>
                    <w:left w:val="single" w:color="auto" w:sz="4" w:space="0"/>
                    <w:bottom w:val="single" w:color="auto" w:sz="4" w:space="0"/>
                    <w:right w:val="single" w:color="auto" w:sz="4" w:space="0"/>
                  </w:tcBorders>
                  <w:vAlign w:val="center"/>
                </w:tcPr>
                <w:p w14:paraId="166C7ED7">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NMHC</w:t>
                  </w:r>
                </w:p>
              </w:tc>
              <w:tc>
                <w:tcPr>
                  <w:tcW w:w="1155" w:type="dxa"/>
                  <w:tcBorders>
                    <w:top w:val="single" w:color="auto" w:sz="4" w:space="0"/>
                    <w:left w:val="single" w:color="auto" w:sz="4" w:space="0"/>
                    <w:bottom w:val="single" w:color="auto" w:sz="4" w:space="0"/>
                    <w:right w:val="single" w:color="auto" w:sz="4" w:space="0"/>
                  </w:tcBorders>
                  <w:vAlign w:val="center"/>
                </w:tcPr>
                <w:p w14:paraId="41D9EEDC">
                  <w:pPr>
                    <w:spacing w:line="240" w:lineRule="auto"/>
                    <w:ind w:firstLine="0" w:firstLineChars="0"/>
                    <w:jc w:val="center"/>
                    <w:rPr>
                      <w:color w:val="auto"/>
                      <w:sz w:val="21"/>
                      <w:szCs w:val="21"/>
                    </w:rPr>
                  </w:pPr>
                  <w:r>
                    <w:rPr>
                      <w:rFonts w:hint="eastAsia"/>
                      <w:color w:val="auto"/>
                      <w:sz w:val="21"/>
                      <w:szCs w:val="21"/>
                    </w:rPr>
                    <w:t>1次/</w:t>
                  </w:r>
                  <w:r>
                    <w:rPr>
                      <w:rFonts w:hint="eastAsia"/>
                      <w:color w:val="auto"/>
                      <w:sz w:val="21"/>
                      <w:szCs w:val="21"/>
                      <w:lang w:val="en-US" w:eastAsia="zh-CN"/>
                    </w:rPr>
                    <w:t>半</w:t>
                  </w:r>
                  <w:r>
                    <w:rPr>
                      <w:rFonts w:hint="eastAsia"/>
                      <w:color w:val="auto"/>
                      <w:sz w:val="21"/>
                      <w:szCs w:val="21"/>
                    </w:rPr>
                    <w:t>年</w:t>
                  </w:r>
                </w:p>
              </w:tc>
              <w:tc>
                <w:tcPr>
                  <w:tcW w:w="1320" w:type="dxa"/>
                  <w:vMerge w:val="continue"/>
                  <w:tcBorders>
                    <w:left w:val="single" w:color="auto" w:sz="4" w:space="0"/>
                    <w:right w:val="single" w:color="auto" w:sz="4" w:space="0"/>
                  </w:tcBorders>
                  <w:vAlign w:val="center"/>
                </w:tcPr>
                <w:p w14:paraId="7F037C53">
                  <w:pPr>
                    <w:spacing w:line="240" w:lineRule="auto"/>
                    <w:ind w:firstLine="0" w:firstLineChars="0"/>
                    <w:jc w:val="center"/>
                    <w:rPr>
                      <w:color w:val="auto"/>
                      <w:sz w:val="21"/>
                      <w:szCs w:val="21"/>
                    </w:rPr>
                  </w:pPr>
                </w:p>
              </w:tc>
            </w:tr>
            <w:tr w14:paraId="6272F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9" w:type="dxa"/>
                  <w:vMerge w:val="restart"/>
                  <w:tcBorders>
                    <w:left w:val="single" w:color="auto" w:sz="4" w:space="0"/>
                    <w:right w:val="single" w:color="auto" w:sz="4" w:space="0"/>
                  </w:tcBorders>
                  <w:vAlign w:val="center"/>
                </w:tcPr>
                <w:p w14:paraId="4631DA1F">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无组织</w:t>
                  </w:r>
                </w:p>
              </w:tc>
              <w:tc>
                <w:tcPr>
                  <w:tcW w:w="29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DC04200">
                  <w:pPr>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厂界</w:t>
                  </w:r>
                </w:p>
              </w:tc>
              <w:tc>
                <w:tcPr>
                  <w:tcW w:w="2022" w:type="dxa"/>
                  <w:tcBorders>
                    <w:top w:val="single" w:color="auto" w:sz="4" w:space="0"/>
                    <w:left w:val="single" w:color="auto" w:sz="4" w:space="0"/>
                    <w:bottom w:val="single" w:color="auto" w:sz="4" w:space="0"/>
                    <w:right w:val="single" w:color="auto" w:sz="4" w:space="0"/>
                  </w:tcBorders>
                  <w:vAlign w:val="center"/>
                </w:tcPr>
                <w:p w14:paraId="58862321">
                  <w:pPr>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颗粒物、NMHC、臭气浓度、硫化氢、氨</w:t>
                  </w:r>
                </w:p>
              </w:tc>
              <w:tc>
                <w:tcPr>
                  <w:tcW w:w="1155" w:type="dxa"/>
                  <w:tcBorders>
                    <w:top w:val="single" w:color="auto" w:sz="4" w:space="0"/>
                    <w:left w:val="single" w:color="auto" w:sz="4" w:space="0"/>
                    <w:bottom w:val="single" w:color="auto" w:sz="4" w:space="0"/>
                    <w:right w:val="single" w:color="auto" w:sz="4" w:space="0"/>
                  </w:tcBorders>
                  <w:vAlign w:val="center"/>
                </w:tcPr>
                <w:p w14:paraId="40B0BAAC">
                  <w:pPr>
                    <w:spacing w:line="240" w:lineRule="auto"/>
                    <w:ind w:firstLine="0" w:firstLineChars="0"/>
                    <w:jc w:val="center"/>
                    <w:rPr>
                      <w:rFonts w:hint="eastAsia"/>
                      <w:color w:val="auto"/>
                      <w:sz w:val="21"/>
                      <w:szCs w:val="21"/>
                    </w:rPr>
                  </w:pPr>
                  <w:r>
                    <w:rPr>
                      <w:rFonts w:hint="eastAsia"/>
                      <w:color w:val="auto"/>
                      <w:sz w:val="21"/>
                      <w:szCs w:val="21"/>
                    </w:rPr>
                    <w:t>1次/</w:t>
                  </w:r>
                  <w:r>
                    <w:rPr>
                      <w:rFonts w:hint="eastAsia"/>
                      <w:color w:val="auto"/>
                      <w:sz w:val="21"/>
                      <w:szCs w:val="21"/>
                      <w:lang w:val="en-US" w:eastAsia="zh-CN"/>
                    </w:rPr>
                    <w:t>半</w:t>
                  </w:r>
                  <w:r>
                    <w:rPr>
                      <w:rFonts w:hint="eastAsia"/>
                      <w:color w:val="auto"/>
                      <w:sz w:val="21"/>
                      <w:szCs w:val="21"/>
                    </w:rPr>
                    <w:t>年</w:t>
                  </w:r>
                </w:p>
              </w:tc>
              <w:tc>
                <w:tcPr>
                  <w:tcW w:w="1320" w:type="dxa"/>
                  <w:vMerge w:val="continue"/>
                  <w:tcBorders>
                    <w:left w:val="single" w:color="auto" w:sz="4" w:space="0"/>
                    <w:right w:val="single" w:color="auto" w:sz="4" w:space="0"/>
                  </w:tcBorders>
                  <w:vAlign w:val="center"/>
                </w:tcPr>
                <w:p w14:paraId="2479EF0E">
                  <w:pPr>
                    <w:spacing w:line="240" w:lineRule="auto"/>
                    <w:ind w:firstLine="0" w:firstLineChars="0"/>
                    <w:jc w:val="center"/>
                    <w:rPr>
                      <w:color w:val="auto"/>
                      <w:sz w:val="21"/>
                      <w:szCs w:val="21"/>
                    </w:rPr>
                  </w:pPr>
                </w:p>
              </w:tc>
            </w:tr>
            <w:tr w14:paraId="01124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9" w:type="dxa"/>
                  <w:vMerge w:val="continue"/>
                  <w:tcBorders>
                    <w:left w:val="single" w:color="auto" w:sz="4" w:space="0"/>
                    <w:bottom w:val="single" w:color="auto" w:sz="4" w:space="0"/>
                    <w:right w:val="single" w:color="auto" w:sz="4" w:space="0"/>
                  </w:tcBorders>
                  <w:vAlign w:val="center"/>
                </w:tcPr>
                <w:p w14:paraId="49F242AE">
                  <w:pPr>
                    <w:spacing w:line="240" w:lineRule="auto"/>
                    <w:ind w:firstLine="0" w:firstLineChars="0"/>
                    <w:jc w:val="center"/>
                    <w:rPr>
                      <w:rFonts w:hint="eastAsia"/>
                      <w:color w:val="auto"/>
                      <w:sz w:val="21"/>
                      <w:szCs w:val="21"/>
                      <w:lang w:val="en-US" w:eastAsia="zh-CN"/>
                    </w:rPr>
                  </w:pPr>
                </w:p>
              </w:tc>
              <w:tc>
                <w:tcPr>
                  <w:tcW w:w="290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67C9D43">
                  <w:pPr>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厂区内</w:t>
                  </w:r>
                </w:p>
              </w:tc>
              <w:tc>
                <w:tcPr>
                  <w:tcW w:w="2022" w:type="dxa"/>
                  <w:tcBorders>
                    <w:top w:val="single" w:color="auto" w:sz="4" w:space="0"/>
                    <w:left w:val="single" w:color="auto" w:sz="4" w:space="0"/>
                    <w:bottom w:val="single" w:color="auto" w:sz="4" w:space="0"/>
                    <w:right w:val="single" w:color="auto" w:sz="4" w:space="0"/>
                  </w:tcBorders>
                  <w:vAlign w:val="center"/>
                </w:tcPr>
                <w:p w14:paraId="7EFE0D00">
                  <w:pPr>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NMHC</w:t>
                  </w:r>
                </w:p>
              </w:tc>
              <w:tc>
                <w:tcPr>
                  <w:tcW w:w="1155" w:type="dxa"/>
                  <w:tcBorders>
                    <w:top w:val="single" w:color="auto" w:sz="4" w:space="0"/>
                    <w:left w:val="single" w:color="auto" w:sz="4" w:space="0"/>
                    <w:bottom w:val="single" w:color="auto" w:sz="4" w:space="0"/>
                    <w:right w:val="single" w:color="auto" w:sz="4" w:space="0"/>
                  </w:tcBorders>
                  <w:vAlign w:val="center"/>
                </w:tcPr>
                <w:p w14:paraId="7333F845">
                  <w:pPr>
                    <w:spacing w:line="240" w:lineRule="auto"/>
                    <w:ind w:firstLine="0" w:firstLineChars="0"/>
                    <w:jc w:val="center"/>
                    <w:rPr>
                      <w:rFonts w:hint="eastAsia"/>
                      <w:color w:val="auto"/>
                      <w:sz w:val="21"/>
                      <w:szCs w:val="21"/>
                    </w:rPr>
                  </w:pPr>
                  <w:r>
                    <w:rPr>
                      <w:rFonts w:hint="eastAsia"/>
                      <w:color w:val="auto"/>
                      <w:sz w:val="21"/>
                      <w:szCs w:val="21"/>
                    </w:rPr>
                    <w:t>1次/</w:t>
                  </w:r>
                  <w:r>
                    <w:rPr>
                      <w:rFonts w:hint="eastAsia"/>
                      <w:color w:val="auto"/>
                      <w:sz w:val="21"/>
                      <w:szCs w:val="21"/>
                      <w:lang w:val="en-US" w:eastAsia="zh-CN"/>
                    </w:rPr>
                    <w:t>半</w:t>
                  </w:r>
                  <w:r>
                    <w:rPr>
                      <w:rFonts w:hint="eastAsia"/>
                      <w:color w:val="auto"/>
                      <w:sz w:val="21"/>
                      <w:szCs w:val="21"/>
                    </w:rPr>
                    <w:t>年</w:t>
                  </w:r>
                </w:p>
              </w:tc>
              <w:tc>
                <w:tcPr>
                  <w:tcW w:w="1320" w:type="dxa"/>
                  <w:vMerge w:val="continue"/>
                  <w:tcBorders>
                    <w:left w:val="single" w:color="auto" w:sz="4" w:space="0"/>
                    <w:bottom w:val="single" w:color="auto" w:sz="4" w:space="0"/>
                    <w:right w:val="single" w:color="auto" w:sz="4" w:space="0"/>
                  </w:tcBorders>
                  <w:vAlign w:val="center"/>
                </w:tcPr>
                <w:p w14:paraId="1434A19D">
                  <w:pPr>
                    <w:spacing w:line="240" w:lineRule="auto"/>
                    <w:ind w:firstLine="0" w:firstLineChars="0"/>
                    <w:jc w:val="center"/>
                    <w:rPr>
                      <w:color w:val="auto"/>
                      <w:sz w:val="21"/>
                      <w:szCs w:val="21"/>
                    </w:rPr>
                  </w:pPr>
                </w:p>
              </w:tc>
            </w:tr>
          </w:tbl>
          <w:p w14:paraId="4B9FC650">
            <w:pPr>
              <w:keepNext w:val="0"/>
              <w:keepLines w:val="0"/>
              <w:pageBreakBefore w:val="0"/>
              <w:widowControl w:val="0"/>
              <w:kinsoku/>
              <w:wordWrap w:val="0"/>
              <w:overflowPunct/>
              <w:topLinePunct w:val="0"/>
              <w:bidi w:val="0"/>
              <w:adjustRightInd/>
              <w:snapToGrid/>
              <w:ind w:firstLine="0" w:firstLineChars="0"/>
              <w:textAlignment w:val="auto"/>
              <w:rPr>
                <w:b/>
                <w:color w:val="auto"/>
              </w:rPr>
            </w:pPr>
            <w:r>
              <w:rPr>
                <w:b/>
                <w:color w:val="auto"/>
              </w:rPr>
              <w:t>二、地表水环境影响分析</w:t>
            </w:r>
          </w:p>
          <w:p w14:paraId="1CD598B6">
            <w:pPr>
              <w:keepNext w:val="0"/>
              <w:keepLines w:val="0"/>
              <w:pageBreakBefore w:val="0"/>
              <w:widowControl w:val="0"/>
              <w:kinsoku/>
              <w:wordWrap w:val="0"/>
              <w:overflowPunct/>
              <w:topLinePunct w:val="0"/>
              <w:bidi w:val="0"/>
              <w:adjustRightInd/>
              <w:snapToGrid/>
              <w:ind w:firstLine="0" w:firstLineChars="0"/>
              <w:textAlignment w:val="auto"/>
              <w:rPr>
                <w:rFonts w:hint="default" w:eastAsia="宋体"/>
                <w:color w:val="auto"/>
                <w:lang w:val="en-US" w:eastAsia="zh-CN"/>
              </w:rPr>
            </w:pPr>
            <w:r>
              <w:rPr>
                <w:rFonts w:hint="eastAsia"/>
                <w:b/>
                <w:bCs/>
                <w:color w:val="auto"/>
              </w:rPr>
              <w:t>1.废水</w:t>
            </w:r>
            <w:r>
              <w:rPr>
                <w:rFonts w:hint="eastAsia"/>
                <w:b/>
                <w:bCs/>
                <w:color w:val="auto"/>
                <w:lang w:val="en-US" w:eastAsia="zh-CN"/>
              </w:rPr>
              <w:t>产排情况及达标分析</w:t>
            </w:r>
          </w:p>
          <w:p w14:paraId="0A3DA2AF">
            <w:pPr>
              <w:rPr>
                <w:rFonts w:hint="default" w:ascii="Times New Roman" w:hAnsi="Times New Roman" w:cs="Times New Roman"/>
                <w:sz w:val="24"/>
                <w:szCs w:val="24"/>
                <w:lang w:val="en-US" w:eastAsia="zh-CN"/>
              </w:rPr>
            </w:pPr>
            <w:r>
              <w:rPr>
                <w:rFonts w:hint="eastAsia"/>
                <w:color w:val="auto"/>
                <w:lang w:val="zh-CN"/>
              </w:rPr>
              <w:t>根据项目给排水分析，项目排水实行雨污分流的排水体制，</w:t>
            </w:r>
            <w:r>
              <w:rPr>
                <w:rFonts w:hint="eastAsia"/>
                <w:b/>
                <w:bCs/>
                <w:color w:val="auto"/>
                <w:u w:val="single"/>
                <w:lang w:val="zh-CN"/>
              </w:rPr>
              <w:t>本项目运营期间排水包括生活污水及生产废水，</w:t>
            </w:r>
            <w:r>
              <w:rPr>
                <w:rFonts w:hint="eastAsia"/>
                <w:b/>
                <w:bCs/>
                <w:sz w:val="24"/>
                <w:szCs w:val="24"/>
                <w:u w:val="single"/>
                <w:lang w:val="en-US" w:eastAsia="zh-CN"/>
              </w:rPr>
              <w:t>废水总量为175.576</w:t>
            </w:r>
            <w:r>
              <w:rPr>
                <w:rFonts w:hint="default"/>
                <w:b/>
                <w:bCs/>
                <w:u w:val="single"/>
                <w:lang w:val="en-US" w:eastAsia="zh-CN"/>
              </w:rPr>
              <w:t>m</w:t>
            </w:r>
            <w:r>
              <w:rPr>
                <w:rFonts w:hint="default"/>
                <w:b/>
                <w:bCs/>
                <w:u w:val="single"/>
                <w:vertAlign w:val="superscript"/>
                <w:lang w:val="en-US" w:eastAsia="zh-CN"/>
              </w:rPr>
              <w:t>3</w:t>
            </w:r>
            <w:r>
              <w:rPr>
                <w:rFonts w:hint="default"/>
                <w:b/>
                <w:bCs/>
                <w:u w:val="single"/>
                <w:lang w:val="en-US" w:eastAsia="zh-CN"/>
              </w:rPr>
              <w:t>/d</w:t>
            </w:r>
            <w:r>
              <w:rPr>
                <w:rFonts w:hint="eastAsia"/>
                <w:b/>
                <w:bCs/>
                <w:u w:val="single"/>
                <w:lang w:val="en-US" w:eastAsia="zh-CN"/>
              </w:rPr>
              <w:t>、56184.92</w:t>
            </w:r>
            <w:r>
              <w:rPr>
                <w:rFonts w:hint="default"/>
                <w:b/>
                <w:bCs/>
                <w:u w:val="single"/>
                <w:lang w:val="en-US" w:eastAsia="zh-CN"/>
              </w:rPr>
              <w:t>m</w:t>
            </w:r>
            <w:r>
              <w:rPr>
                <w:rFonts w:hint="default"/>
                <w:b/>
                <w:bCs/>
                <w:u w:val="single"/>
                <w:vertAlign w:val="superscript"/>
                <w:lang w:val="en-US" w:eastAsia="zh-CN"/>
              </w:rPr>
              <w:t>3</w:t>
            </w:r>
            <w:r>
              <w:rPr>
                <w:rFonts w:hint="default"/>
                <w:b/>
                <w:bCs/>
                <w:u w:val="single"/>
                <w:lang w:val="en-US" w:eastAsia="zh-CN"/>
              </w:rPr>
              <w:t>/a，</w:t>
            </w:r>
            <w:r>
              <w:rPr>
                <w:rFonts w:hint="eastAsia"/>
                <w:b/>
                <w:bCs/>
                <w:color w:val="auto"/>
                <w:u w:val="single"/>
                <w:lang w:val="zh-CN"/>
              </w:rPr>
              <w:t>其中</w:t>
            </w:r>
            <w:r>
              <w:rPr>
                <w:rFonts w:hint="eastAsia"/>
                <w:b/>
                <w:bCs/>
                <w:color w:val="auto"/>
                <w:u w:val="single"/>
                <w:lang w:val="en-US" w:eastAsia="zh-CN"/>
              </w:rPr>
              <w:t>之间工序</w:t>
            </w:r>
            <w:r>
              <w:rPr>
                <w:rFonts w:hint="eastAsia"/>
                <w:b/>
                <w:bCs/>
                <w:sz w:val="24"/>
                <w:szCs w:val="24"/>
                <w:u w:val="single"/>
                <w:lang w:val="en-US" w:eastAsia="zh-CN"/>
              </w:rPr>
              <w:t>实验废水作为危废处置</w:t>
            </w:r>
            <w:r>
              <w:rPr>
                <w:rFonts w:hint="eastAsia"/>
                <w:b/>
                <w:bCs/>
                <w:color w:val="auto"/>
                <w:u w:val="single"/>
                <w:lang w:val="zh-CN"/>
              </w:rPr>
              <w:t>，</w:t>
            </w:r>
            <w:r>
              <w:rPr>
                <w:rFonts w:hint="eastAsia"/>
                <w:b/>
                <w:bCs/>
                <w:color w:val="auto"/>
                <w:u w:val="single"/>
                <w:lang w:val="en-US" w:eastAsia="zh-CN"/>
              </w:rPr>
              <w:t>因此综合生产废水</w:t>
            </w:r>
            <w:r>
              <w:rPr>
                <w:b/>
                <w:bCs/>
                <w:sz w:val="24"/>
                <w:szCs w:val="24"/>
                <w:u w:val="single"/>
              </w:rPr>
              <w:t>主要有</w:t>
            </w:r>
            <w:r>
              <w:rPr>
                <w:rFonts w:hint="eastAsia"/>
                <w:b/>
                <w:bCs/>
                <w:sz w:val="24"/>
                <w:szCs w:val="24"/>
                <w:u w:val="single"/>
              </w:rPr>
              <w:t>药材清洗、润药</w:t>
            </w:r>
            <w:r>
              <w:rPr>
                <w:rFonts w:hint="eastAsia"/>
                <w:b/>
                <w:bCs/>
                <w:sz w:val="24"/>
                <w:szCs w:val="24"/>
                <w:u w:val="single"/>
                <w:lang w:val="en-US" w:eastAsia="zh-CN"/>
              </w:rPr>
              <w:t>废</w:t>
            </w:r>
            <w:r>
              <w:rPr>
                <w:rFonts w:hint="eastAsia"/>
                <w:b/>
                <w:bCs/>
                <w:sz w:val="24"/>
                <w:szCs w:val="24"/>
                <w:u w:val="single"/>
              </w:rPr>
              <w:t>水</w:t>
            </w:r>
            <w:r>
              <w:rPr>
                <w:b/>
                <w:bCs/>
                <w:sz w:val="24"/>
                <w:szCs w:val="24"/>
                <w:u w:val="single"/>
              </w:rPr>
              <w:t>、</w:t>
            </w:r>
            <w:r>
              <w:rPr>
                <w:rFonts w:hint="eastAsia"/>
                <w:b/>
                <w:bCs/>
                <w:sz w:val="24"/>
                <w:szCs w:val="24"/>
                <w:u w:val="single"/>
                <w:lang w:val="en-US" w:eastAsia="zh-CN"/>
              </w:rPr>
              <w:t>煮提废水、发酵工序废水、毒性饮片炮制废水、</w:t>
            </w:r>
            <w:r>
              <w:rPr>
                <w:b/>
                <w:bCs/>
                <w:sz w:val="24"/>
                <w:szCs w:val="24"/>
                <w:u w:val="single"/>
              </w:rPr>
              <w:t>设备清洗废水、</w:t>
            </w:r>
            <w:r>
              <w:rPr>
                <w:rFonts w:hint="eastAsia"/>
                <w:b/>
                <w:bCs/>
                <w:sz w:val="24"/>
                <w:szCs w:val="24"/>
                <w:u w:val="single"/>
                <w:lang w:val="en-US" w:eastAsia="zh-CN"/>
              </w:rPr>
              <w:t>地面清洗废水、纯水</w:t>
            </w:r>
            <w:r>
              <w:rPr>
                <w:b/>
                <w:bCs/>
                <w:sz w:val="24"/>
                <w:szCs w:val="24"/>
                <w:u w:val="single"/>
              </w:rPr>
              <w:t>制水系统排水</w:t>
            </w:r>
            <w:r>
              <w:rPr>
                <w:rFonts w:hint="eastAsia"/>
                <w:b/>
                <w:bCs/>
                <w:sz w:val="24"/>
                <w:szCs w:val="24"/>
                <w:u w:val="single"/>
                <w:lang w:val="en-US" w:eastAsia="zh-CN"/>
              </w:rPr>
              <w:t>等，废水总量为170.776</w:t>
            </w:r>
            <w:r>
              <w:rPr>
                <w:rFonts w:hint="default"/>
                <w:b/>
                <w:bCs/>
                <w:u w:val="single"/>
                <w:lang w:val="en-US" w:eastAsia="zh-CN"/>
              </w:rPr>
              <w:t>m</w:t>
            </w:r>
            <w:r>
              <w:rPr>
                <w:rFonts w:hint="default"/>
                <w:b/>
                <w:bCs/>
                <w:u w:val="single"/>
                <w:vertAlign w:val="superscript"/>
                <w:lang w:val="en-US" w:eastAsia="zh-CN"/>
              </w:rPr>
              <w:t>3</w:t>
            </w:r>
            <w:r>
              <w:rPr>
                <w:rFonts w:hint="default"/>
                <w:b/>
                <w:bCs/>
                <w:u w:val="single"/>
                <w:lang w:val="en-US" w:eastAsia="zh-CN"/>
              </w:rPr>
              <w:t>/d</w:t>
            </w:r>
            <w:r>
              <w:rPr>
                <w:rFonts w:hint="eastAsia"/>
                <w:b/>
                <w:bCs/>
                <w:u w:val="single"/>
                <w:lang w:val="en-US" w:eastAsia="zh-CN"/>
              </w:rPr>
              <w:t>、</w:t>
            </w:r>
            <w:r>
              <w:rPr>
                <w:rFonts w:hint="eastAsia"/>
                <w:b/>
                <w:bCs/>
                <w:sz w:val="24"/>
                <w:szCs w:val="24"/>
                <w:u w:val="single"/>
                <w:lang w:val="en-US" w:eastAsia="zh-CN"/>
              </w:rPr>
              <w:t>54643.16</w:t>
            </w:r>
            <w:r>
              <w:rPr>
                <w:rFonts w:hint="default"/>
                <w:b/>
                <w:bCs/>
                <w:u w:val="single"/>
                <w:lang w:val="en-US" w:eastAsia="zh-CN"/>
              </w:rPr>
              <w:t>m</w:t>
            </w:r>
            <w:r>
              <w:rPr>
                <w:rFonts w:hint="default"/>
                <w:b/>
                <w:bCs/>
                <w:u w:val="single"/>
                <w:vertAlign w:val="superscript"/>
                <w:lang w:val="en-US" w:eastAsia="zh-CN"/>
              </w:rPr>
              <w:t>3</w:t>
            </w:r>
            <w:r>
              <w:rPr>
                <w:rFonts w:hint="default"/>
                <w:b/>
                <w:bCs/>
                <w:u w:val="single"/>
                <w:lang w:val="en-US" w:eastAsia="zh-CN"/>
              </w:rPr>
              <w:t>/a</w:t>
            </w:r>
            <w:r>
              <w:rPr>
                <w:rFonts w:hint="eastAsia"/>
                <w:b/>
                <w:bCs/>
                <w:u w:val="single"/>
                <w:lang w:val="en-US" w:eastAsia="zh-CN"/>
              </w:rPr>
              <w:t>，</w:t>
            </w:r>
            <w:r>
              <w:rPr>
                <w:rFonts w:hint="default" w:ascii="Times New Roman" w:hAnsi="Times New Roman" w:cs="Times New Roman"/>
                <w:sz w:val="24"/>
                <w:szCs w:val="24"/>
              </w:rPr>
              <w:t>经</w:t>
            </w:r>
            <w:r>
              <w:rPr>
                <w:rFonts w:hint="eastAsia" w:cs="Times New Roman"/>
                <w:sz w:val="24"/>
                <w:szCs w:val="24"/>
                <w:lang w:val="en-US" w:eastAsia="zh-CN"/>
              </w:rPr>
              <w:t>厂区</w:t>
            </w:r>
            <w:r>
              <w:rPr>
                <w:rFonts w:hint="default" w:ascii="Times New Roman" w:hAnsi="Times New Roman" w:cs="Times New Roman"/>
                <w:sz w:val="24"/>
                <w:szCs w:val="24"/>
              </w:rPr>
              <w:t>污水处理站处理后</w:t>
            </w:r>
            <w:r>
              <w:rPr>
                <w:rFonts w:hint="eastAsia" w:ascii="Times New Roman" w:hAnsi="Times New Roman" w:cs="Times New Roman"/>
                <w:sz w:val="24"/>
                <w:szCs w:val="24"/>
                <w:lang w:eastAsia="zh-CN"/>
              </w:rPr>
              <w:t>（</w:t>
            </w:r>
            <w:r>
              <w:rPr>
                <w:rFonts w:hint="eastAsia"/>
                <w:color w:val="auto"/>
                <w:lang w:val="en-US" w:eastAsia="zh-CN"/>
              </w:rPr>
              <w:t>采用“混凝+UASB+生物接触氧化”工艺处理，设计处理能力210m</w:t>
            </w:r>
            <w:r>
              <w:rPr>
                <w:rFonts w:hint="eastAsia"/>
                <w:color w:val="auto"/>
                <w:vertAlign w:val="superscript"/>
                <w:lang w:val="en-US" w:eastAsia="zh-CN"/>
              </w:rPr>
              <w:t>3</w:t>
            </w:r>
            <w:r>
              <w:rPr>
                <w:rFonts w:hint="eastAsia"/>
                <w:color w:val="auto"/>
                <w:lang w:val="en-US" w:eastAsia="zh-CN"/>
              </w:rPr>
              <w:t>/d</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满足</w:t>
            </w:r>
            <w:r>
              <w:rPr>
                <w:rFonts w:hint="eastAsia"/>
                <w:lang w:val="zh-CN"/>
              </w:rPr>
              <w:t>《中药类制药工业水污染物排放标准》（GB21906-2008）表2标准及</w:t>
            </w:r>
            <w:r>
              <w:rPr>
                <w:rFonts w:hint="eastAsia" w:cs="Times New Roman"/>
                <w:sz w:val="24"/>
                <w:szCs w:val="24"/>
                <w:lang w:val="en-US" w:eastAsia="zh-CN"/>
              </w:rPr>
              <w:t>南乐县</w:t>
            </w:r>
            <w:r>
              <w:rPr>
                <w:rFonts w:hint="default" w:ascii="Times New Roman" w:hAnsi="Times New Roman" w:cs="Times New Roman"/>
                <w:sz w:val="24"/>
                <w:szCs w:val="24"/>
                <w:lang w:val="en-US" w:eastAsia="zh-CN"/>
              </w:rPr>
              <w:t>污水处理厂纳管标准</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排入</w:t>
            </w:r>
            <w:r>
              <w:rPr>
                <w:rFonts w:hint="eastAsia" w:ascii="Times New Roman" w:hAnsi="Times New Roman" w:cs="Times New Roman"/>
                <w:sz w:val="24"/>
                <w:szCs w:val="24"/>
                <w:lang w:val="en-US" w:eastAsia="zh-CN"/>
              </w:rPr>
              <w:t>南乐县污水处理厂</w:t>
            </w:r>
            <w:r>
              <w:rPr>
                <w:rFonts w:hint="eastAsia" w:cs="Times New Roman"/>
                <w:sz w:val="24"/>
                <w:szCs w:val="24"/>
                <w:lang w:val="en-US" w:eastAsia="zh-CN"/>
              </w:rPr>
              <w:t>；生活污水经化粪池处理后排入厂区污水处理站</w:t>
            </w:r>
            <w:r>
              <w:rPr>
                <w:rFonts w:hint="default" w:ascii="Times New Roman" w:hAnsi="Times New Roman" w:cs="Times New Roman"/>
                <w:sz w:val="24"/>
                <w:szCs w:val="24"/>
                <w:lang w:val="en-US" w:eastAsia="zh-CN"/>
              </w:rPr>
              <w:t>。</w:t>
            </w:r>
          </w:p>
          <w:p w14:paraId="1947FBF9">
            <w:pPr>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（1）综合生产废水</w:t>
            </w:r>
          </w:p>
          <w:p w14:paraId="67B8F0FF">
            <w:pPr>
              <w:pStyle w:val="18"/>
              <w:ind w:firstLine="420"/>
              <w:rPr>
                <w:rFonts w:hint="eastAsia"/>
                <w:lang w:val="en-US" w:eastAsia="zh-CN"/>
              </w:rPr>
            </w:pPr>
            <w:r>
              <w:rPr>
                <w:rFonts w:hint="default" w:ascii="Times New Roman" w:hAnsi="Times New Roman" w:eastAsia="宋体" w:cs="Times New Roman"/>
                <w:b/>
                <w:bCs/>
                <w:sz w:val="24"/>
                <w:szCs w:val="24"/>
                <w:u w:val="none"/>
              </w:rPr>
              <w:fldChar w:fldCharType="begin"/>
            </w:r>
            <w:r>
              <w:rPr>
                <w:rFonts w:hint="default" w:ascii="Times New Roman" w:hAnsi="Times New Roman" w:eastAsia="宋体" w:cs="Times New Roman"/>
                <w:b/>
                <w:bCs/>
                <w:sz w:val="24"/>
                <w:szCs w:val="24"/>
                <w:u w:val="none"/>
              </w:rPr>
              <w:instrText xml:space="preserve"> = 1 \* GB3 \* MERGEFORMAT </w:instrText>
            </w:r>
            <w:r>
              <w:rPr>
                <w:rFonts w:hint="default" w:ascii="Times New Roman" w:hAnsi="Times New Roman" w:eastAsia="宋体" w:cs="Times New Roman"/>
                <w:b/>
                <w:bCs/>
                <w:sz w:val="24"/>
                <w:szCs w:val="24"/>
                <w:u w:val="none"/>
              </w:rPr>
              <w:fldChar w:fldCharType="separate"/>
            </w:r>
            <w:r>
              <w:rPr>
                <w:rFonts w:hint="eastAsia" w:ascii="Times New Roman" w:hAnsi="Times New Roman" w:eastAsia="宋体" w:cs="Times New Roman"/>
                <w:b/>
                <w:bCs/>
                <w:sz w:val="24"/>
                <w:szCs w:val="24"/>
                <w:u w:val="none"/>
              </w:rPr>
              <w:t>①</w:t>
            </w:r>
            <w:r>
              <w:rPr>
                <w:rFonts w:hint="default" w:ascii="Times New Roman" w:hAnsi="Times New Roman" w:eastAsia="宋体" w:cs="Times New Roman"/>
                <w:b/>
                <w:bCs/>
                <w:sz w:val="24"/>
                <w:szCs w:val="24"/>
                <w:u w:val="none"/>
              </w:rPr>
              <w:fldChar w:fldCharType="end"/>
            </w:r>
            <w:r>
              <w:rPr>
                <w:rFonts w:hint="eastAsia" w:ascii="Times New Roman" w:hAnsi="Times New Roman" w:eastAsia="宋体" w:cs="Times New Roman"/>
                <w:b/>
                <w:bCs/>
                <w:sz w:val="24"/>
                <w:szCs w:val="24"/>
                <w:u w:val="none"/>
              </w:rPr>
              <w:t>药材清洗、润药</w:t>
            </w:r>
            <w:r>
              <w:rPr>
                <w:rFonts w:hint="eastAsia" w:ascii="Times New Roman" w:hAnsi="Times New Roman" w:eastAsia="宋体" w:cs="Times New Roman"/>
                <w:b/>
                <w:bCs/>
                <w:sz w:val="24"/>
                <w:szCs w:val="24"/>
                <w:u w:val="none"/>
                <w:lang w:val="en-US" w:eastAsia="zh-CN"/>
              </w:rPr>
              <w:t>废</w:t>
            </w:r>
            <w:r>
              <w:rPr>
                <w:rFonts w:hint="eastAsia" w:ascii="Times New Roman" w:hAnsi="Times New Roman" w:eastAsia="宋体" w:cs="Times New Roman"/>
                <w:b/>
                <w:bCs/>
                <w:sz w:val="24"/>
                <w:szCs w:val="24"/>
                <w:u w:val="none"/>
              </w:rPr>
              <w:t>水</w:t>
            </w:r>
            <w:r>
              <w:rPr>
                <w:rFonts w:hint="eastAsia" w:cs="Times New Roman"/>
                <w:b/>
                <w:bCs/>
                <w:sz w:val="24"/>
                <w:szCs w:val="24"/>
                <w:u w:val="none"/>
                <w:lang w:eastAsia="zh-CN"/>
              </w:rPr>
              <w:t>：</w:t>
            </w:r>
            <w:r>
              <w:rPr>
                <w:rFonts w:hint="eastAsia" w:cs="Times New Roman"/>
                <w:sz w:val="24"/>
                <w:szCs w:val="24"/>
                <w:u w:val="none"/>
                <w:lang w:val="en-US" w:eastAsia="zh-CN"/>
              </w:rPr>
              <w:t>本项目</w:t>
            </w:r>
            <w:r>
              <w:rPr>
                <w:rFonts w:hint="eastAsia"/>
                <w:b w:val="0"/>
                <w:sz w:val="24"/>
                <w:szCs w:val="24"/>
                <w:u w:val="none"/>
              </w:rPr>
              <w:t>药材清洗</w:t>
            </w:r>
            <w:r>
              <w:rPr>
                <w:rFonts w:hint="eastAsia"/>
                <w:b w:val="0"/>
                <w:sz w:val="24"/>
                <w:szCs w:val="24"/>
                <w:u w:val="none"/>
                <w:lang w:val="en-US" w:eastAsia="zh-CN"/>
              </w:rPr>
              <w:t>废</w:t>
            </w:r>
            <w:r>
              <w:rPr>
                <w:rFonts w:hint="eastAsia"/>
                <w:b w:val="0"/>
                <w:sz w:val="24"/>
                <w:szCs w:val="24"/>
                <w:u w:val="none"/>
              </w:rPr>
              <w:t>水量</w:t>
            </w:r>
            <w:r>
              <w:rPr>
                <w:rFonts w:hint="eastAsia"/>
                <w:b w:val="0"/>
                <w:sz w:val="24"/>
                <w:szCs w:val="24"/>
                <w:u w:val="none"/>
                <w:lang w:val="en-US" w:eastAsia="zh-CN"/>
              </w:rPr>
              <w:t>约</w:t>
            </w:r>
            <w:r>
              <w:rPr>
                <w:rFonts w:hint="eastAsia"/>
                <w:b w:val="0"/>
                <w:sz w:val="24"/>
                <w:szCs w:val="24"/>
                <w:u w:val="none"/>
              </w:rPr>
              <w:t>为</w:t>
            </w:r>
            <w:r>
              <w:rPr>
                <w:rFonts w:hint="eastAsia"/>
                <w:b w:val="0"/>
                <w:sz w:val="24"/>
                <w:szCs w:val="24"/>
                <w:u w:val="none"/>
                <w:lang w:val="en-US" w:eastAsia="zh-CN"/>
              </w:rPr>
              <w:t>9.49</w:t>
            </w:r>
            <w:r>
              <w:rPr>
                <w:rFonts w:hint="eastAsia"/>
                <w:b w:val="0"/>
                <w:sz w:val="24"/>
                <w:szCs w:val="24"/>
                <w:u w:val="none"/>
              </w:rPr>
              <w:t>m</w:t>
            </w:r>
            <w:r>
              <w:rPr>
                <w:rFonts w:hint="eastAsia"/>
                <w:b w:val="0"/>
                <w:sz w:val="24"/>
                <w:szCs w:val="24"/>
                <w:u w:val="none"/>
                <w:vertAlign w:val="superscript"/>
              </w:rPr>
              <w:t>3</w:t>
            </w:r>
            <w:r>
              <w:rPr>
                <w:rFonts w:hint="eastAsia"/>
                <w:b w:val="0"/>
                <w:sz w:val="24"/>
                <w:szCs w:val="24"/>
                <w:u w:val="none"/>
              </w:rPr>
              <w:t>/d</w:t>
            </w:r>
            <w:r>
              <w:rPr>
                <w:rFonts w:hint="eastAsia"/>
                <w:b w:val="0"/>
                <w:sz w:val="24"/>
                <w:szCs w:val="24"/>
                <w:u w:val="none"/>
                <w:lang w:eastAsia="zh-CN"/>
              </w:rPr>
              <w:t>、</w:t>
            </w:r>
            <w:r>
              <w:rPr>
                <w:rFonts w:hint="eastAsia"/>
                <w:b w:val="0"/>
                <w:sz w:val="24"/>
                <w:szCs w:val="24"/>
                <w:u w:val="none"/>
                <w:lang w:val="en-US" w:eastAsia="zh-CN"/>
              </w:rPr>
              <w:t>3037.8</w:t>
            </w:r>
            <w:r>
              <w:rPr>
                <w:rFonts w:hint="eastAsia"/>
                <w:b w:val="0"/>
                <w:sz w:val="24"/>
                <w:szCs w:val="24"/>
                <w:u w:val="none"/>
              </w:rPr>
              <w:t>m</w:t>
            </w:r>
            <w:r>
              <w:rPr>
                <w:rFonts w:hint="eastAsia"/>
                <w:b w:val="0"/>
                <w:sz w:val="24"/>
                <w:szCs w:val="24"/>
                <w:u w:val="none"/>
                <w:vertAlign w:val="superscript"/>
              </w:rPr>
              <w:t>3</w:t>
            </w:r>
            <w:r>
              <w:rPr>
                <w:rFonts w:hint="eastAsia"/>
                <w:b w:val="0"/>
                <w:sz w:val="24"/>
                <w:szCs w:val="24"/>
                <w:u w:val="none"/>
              </w:rPr>
              <w:t>/a</w:t>
            </w:r>
            <w:r>
              <w:rPr>
                <w:rFonts w:hint="default"/>
                <w:lang w:val="en-US" w:eastAsia="zh-CN"/>
              </w:rPr>
              <w:t>，废水排入厂内污水处理站处理</w:t>
            </w:r>
            <w:r>
              <w:rPr>
                <w:rFonts w:hint="eastAsia"/>
                <w:lang w:val="en-US" w:eastAsia="zh-CN"/>
              </w:rPr>
              <w:t>。</w:t>
            </w:r>
          </w:p>
          <w:p w14:paraId="623B2393">
            <w:pPr>
              <w:pStyle w:val="18"/>
              <w:ind w:firstLine="420"/>
              <w:rPr>
                <w:rFonts w:hint="eastAsia"/>
                <w:lang w:val="en-US" w:eastAsia="zh-CN"/>
              </w:rPr>
            </w:pPr>
            <w:r>
              <w:rPr>
                <w:sz w:val="24"/>
                <w:szCs w:val="24"/>
                <w:u w:val="none"/>
              </w:rPr>
              <w:fldChar w:fldCharType="begin"/>
            </w:r>
            <w:r>
              <w:rPr>
                <w:sz w:val="24"/>
                <w:szCs w:val="24"/>
                <w:u w:val="none"/>
              </w:rPr>
              <w:instrText xml:space="preserve"> = 2 \* GB3 \* MERGEFORMAT </w:instrText>
            </w:r>
            <w:r>
              <w:rPr>
                <w:sz w:val="24"/>
                <w:szCs w:val="24"/>
                <w:u w:val="none"/>
              </w:rPr>
              <w:fldChar w:fldCharType="separate"/>
            </w:r>
            <w:r>
              <w:rPr>
                <w:rFonts w:hint="eastAsia" w:ascii="宋体" w:hAnsi="宋体" w:cs="宋体"/>
                <w:sz w:val="24"/>
                <w:szCs w:val="24"/>
                <w:u w:val="none"/>
              </w:rPr>
              <w:t>②</w:t>
            </w:r>
            <w:r>
              <w:rPr>
                <w:sz w:val="24"/>
                <w:szCs w:val="24"/>
                <w:u w:val="none"/>
              </w:rPr>
              <w:fldChar w:fldCharType="end"/>
            </w:r>
            <w:r>
              <w:rPr>
                <w:rFonts w:hint="default" w:ascii="Times New Roman" w:hAnsi="Times New Roman" w:cs="Times New Roman"/>
                <w:b/>
                <w:bCs w:val="0"/>
                <w:sz w:val="24"/>
                <w:szCs w:val="24"/>
                <w:highlight w:val="none"/>
                <w:u w:val="none"/>
                <w:lang w:eastAsia="zh-CN"/>
              </w:rPr>
              <w:t>蒸</w:t>
            </w:r>
            <w:r>
              <w:rPr>
                <w:rFonts w:hint="eastAsia" w:cs="Times New Roman"/>
                <w:b/>
                <w:bCs w:val="0"/>
                <w:sz w:val="24"/>
                <w:szCs w:val="24"/>
                <w:highlight w:val="none"/>
                <w:u w:val="none"/>
                <w:lang w:eastAsia="zh-CN"/>
              </w:rPr>
              <w:t>（</w:t>
            </w:r>
            <w:r>
              <w:rPr>
                <w:rFonts w:hint="eastAsia" w:ascii="Times New Roman" w:hAnsi="Times New Roman" w:cs="Times New Roman"/>
                <w:b/>
                <w:bCs w:val="0"/>
                <w:sz w:val="24"/>
                <w:szCs w:val="24"/>
                <w:u w:val="none"/>
                <w:lang w:val="en-US" w:eastAsia="zh-CN"/>
              </w:rPr>
              <w:t>煮</w:t>
            </w:r>
            <w:r>
              <w:rPr>
                <w:rFonts w:hint="eastAsia" w:cs="Times New Roman"/>
                <w:b/>
                <w:bCs w:val="0"/>
                <w:sz w:val="24"/>
                <w:szCs w:val="24"/>
                <w:highlight w:val="none"/>
                <w:u w:val="none"/>
                <w:lang w:eastAsia="zh-CN"/>
              </w:rPr>
              <w:t>）</w:t>
            </w:r>
            <w:r>
              <w:rPr>
                <w:rFonts w:hint="default" w:ascii="Times New Roman" w:hAnsi="Times New Roman" w:cs="Times New Roman"/>
                <w:b/>
                <w:bCs w:val="0"/>
                <w:sz w:val="24"/>
                <w:szCs w:val="24"/>
                <w:highlight w:val="none"/>
                <w:u w:val="none"/>
                <w:lang w:eastAsia="zh-CN"/>
              </w:rPr>
              <w:t>制工序</w:t>
            </w:r>
            <w:r>
              <w:rPr>
                <w:rFonts w:hint="eastAsia" w:cs="Times New Roman"/>
                <w:b/>
                <w:bCs w:val="0"/>
                <w:sz w:val="24"/>
                <w:szCs w:val="24"/>
                <w:highlight w:val="none"/>
                <w:u w:val="none"/>
                <w:lang w:eastAsia="zh-CN"/>
              </w:rPr>
              <w:t>、</w:t>
            </w:r>
            <w:r>
              <w:rPr>
                <w:rFonts w:hint="eastAsia" w:cs="Times New Roman"/>
                <w:b/>
                <w:bCs w:val="0"/>
                <w:sz w:val="24"/>
                <w:szCs w:val="24"/>
                <w:highlight w:val="none"/>
                <w:u w:val="none"/>
                <w:lang w:val="en-US" w:eastAsia="zh-CN"/>
              </w:rPr>
              <w:t>提取工序废水：</w:t>
            </w:r>
            <w:r>
              <w:rPr>
                <w:rFonts w:hint="eastAsia"/>
                <w:b w:val="0"/>
                <w:sz w:val="24"/>
                <w:szCs w:val="24"/>
                <w:u w:val="none"/>
                <w:lang w:val="en-US" w:eastAsia="zh-CN"/>
              </w:rPr>
              <w:t>本项目煮提工序废</w:t>
            </w:r>
            <w:r>
              <w:rPr>
                <w:rFonts w:hint="eastAsia"/>
                <w:b w:val="0"/>
                <w:sz w:val="24"/>
                <w:szCs w:val="24"/>
                <w:u w:val="none"/>
              </w:rPr>
              <w:t>水量</w:t>
            </w:r>
            <w:r>
              <w:rPr>
                <w:rFonts w:hint="eastAsia"/>
                <w:b w:val="0"/>
                <w:sz w:val="24"/>
                <w:szCs w:val="24"/>
                <w:u w:val="none"/>
                <w:lang w:val="en-US" w:eastAsia="zh-CN"/>
              </w:rPr>
              <w:t>约</w:t>
            </w:r>
            <w:r>
              <w:rPr>
                <w:rFonts w:hint="eastAsia"/>
                <w:b w:val="0"/>
                <w:sz w:val="24"/>
                <w:szCs w:val="24"/>
                <w:u w:val="none"/>
              </w:rPr>
              <w:t>为</w:t>
            </w:r>
            <w:r>
              <w:rPr>
                <w:rFonts w:hint="eastAsia"/>
                <w:b w:val="0"/>
                <w:sz w:val="24"/>
                <w:szCs w:val="24"/>
                <w:u w:val="none"/>
                <w:lang w:val="en-US" w:eastAsia="zh-CN"/>
              </w:rPr>
              <w:t>138.13</w:t>
            </w:r>
            <w:r>
              <w:rPr>
                <w:rFonts w:hint="eastAsia"/>
                <w:b w:val="0"/>
                <w:sz w:val="24"/>
                <w:szCs w:val="24"/>
                <w:u w:val="none"/>
              </w:rPr>
              <w:t>m</w:t>
            </w:r>
            <w:r>
              <w:rPr>
                <w:rFonts w:hint="eastAsia"/>
                <w:b w:val="0"/>
                <w:sz w:val="24"/>
                <w:szCs w:val="24"/>
                <w:u w:val="none"/>
                <w:vertAlign w:val="superscript"/>
              </w:rPr>
              <w:t>3</w:t>
            </w:r>
            <w:r>
              <w:rPr>
                <w:rFonts w:hint="eastAsia"/>
                <w:b w:val="0"/>
                <w:sz w:val="24"/>
                <w:szCs w:val="24"/>
                <w:u w:val="none"/>
              </w:rPr>
              <w:t>/d</w:t>
            </w:r>
            <w:r>
              <w:rPr>
                <w:rFonts w:hint="eastAsia"/>
                <w:b w:val="0"/>
                <w:sz w:val="24"/>
                <w:szCs w:val="24"/>
                <w:u w:val="none"/>
                <w:lang w:eastAsia="zh-CN"/>
              </w:rPr>
              <w:t>、</w:t>
            </w:r>
            <w:r>
              <w:rPr>
                <w:rFonts w:hint="eastAsia"/>
                <w:b w:val="0"/>
                <w:sz w:val="24"/>
                <w:szCs w:val="24"/>
                <w:u w:val="none"/>
                <w:lang w:val="en-US" w:eastAsia="zh-CN"/>
              </w:rPr>
              <w:t>44200</w:t>
            </w:r>
            <w:r>
              <w:rPr>
                <w:rFonts w:hint="eastAsia"/>
                <w:b w:val="0"/>
                <w:sz w:val="24"/>
                <w:szCs w:val="24"/>
                <w:u w:val="none"/>
              </w:rPr>
              <w:t>m</w:t>
            </w:r>
            <w:r>
              <w:rPr>
                <w:rFonts w:hint="eastAsia"/>
                <w:b w:val="0"/>
                <w:sz w:val="24"/>
                <w:szCs w:val="24"/>
                <w:u w:val="none"/>
                <w:vertAlign w:val="superscript"/>
              </w:rPr>
              <w:t>3</w:t>
            </w:r>
            <w:r>
              <w:rPr>
                <w:rFonts w:hint="eastAsia"/>
                <w:b w:val="0"/>
                <w:sz w:val="24"/>
                <w:szCs w:val="24"/>
                <w:u w:val="none"/>
              </w:rPr>
              <w:t>/a</w:t>
            </w:r>
            <w:r>
              <w:rPr>
                <w:rFonts w:hint="eastAsia"/>
                <w:sz w:val="24"/>
                <w:szCs w:val="24"/>
                <w:u w:val="none"/>
                <w:lang w:eastAsia="zh-CN"/>
              </w:rPr>
              <w:t>，</w:t>
            </w:r>
            <w:r>
              <w:rPr>
                <w:rFonts w:hint="default"/>
                <w:lang w:val="en-US" w:eastAsia="zh-CN"/>
              </w:rPr>
              <w:t>废水排入厂内污水处理站处理</w:t>
            </w:r>
            <w:r>
              <w:rPr>
                <w:rFonts w:hint="eastAsia"/>
                <w:lang w:val="en-US" w:eastAsia="zh-CN"/>
              </w:rPr>
              <w:t>。</w:t>
            </w:r>
          </w:p>
          <w:p w14:paraId="74C30CA4">
            <w:pPr>
              <w:pStyle w:val="18"/>
              <w:ind w:firstLine="420"/>
              <w:rPr>
                <w:rFonts w:hint="eastAsia"/>
                <w:lang w:val="en-US" w:eastAsia="zh-CN"/>
              </w:rPr>
            </w:pPr>
            <w:r>
              <w:rPr>
                <w:b/>
                <w:bCs/>
                <w:sz w:val="24"/>
                <w:szCs w:val="24"/>
                <w:u w:val="none"/>
              </w:rPr>
              <w:fldChar w:fldCharType="begin"/>
            </w:r>
            <w:r>
              <w:rPr>
                <w:b/>
                <w:bCs/>
                <w:sz w:val="24"/>
                <w:szCs w:val="24"/>
                <w:u w:val="none"/>
              </w:rPr>
              <w:instrText xml:space="preserve"> = 3 \* GB3 \* MERGEFORMAT </w:instrText>
            </w:r>
            <w:r>
              <w:rPr>
                <w:b/>
                <w:bCs/>
                <w:sz w:val="24"/>
                <w:szCs w:val="24"/>
                <w:u w:val="none"/>
              </w:rPr>
              <w:fldChar w:fldCharType="separate"/>
            </w:r>
            <w:r>
              <w:rPr>
                <w:rFonts w:hint="eastAsia" w:ascii="宋体" w:hAnsi="宋体" w:cs="宋体"/>
                <w:b/>
                <w:bCs/>
                <w:sz w:val="24"/>
                <w:szCs w:val="24"/>
                <w:u w:val="none"/>
              </w:rPr>
              <w:t>③</w:t>
            </w:r>
            <w:r>
              <w:rPr>
                <w:b/>
                <w:bCs/>
                <w:sz w:val="24"/>
                <w:szCs w:val="24"/>
                <w:u w:val="none"/>
              </w:rPr>
              <w:fldChar w:fldCharType="end"/>
            </w:r>
            <w:r>
              <w:rPr>
                <w:rFonts w:hint="eastAsia"/>
                <w:b/>
                <w:bCs/>
                <w:lang w:val="en-US" w:eastAsia="zh-CN"/>
              </w:rPr>
              <w:t>发酵工序废水：</w:t>
            </w:r>
            <w:r>
              <w:rPr>
                <w:rFonts w:hint="eastAsia"/>
                <w:b w:val="0"/>
                <w:bCs w:val="0"/>
                <w:lang w:val="en-US" w:eastAsia="zh-CN"/>
              </w:rPr>
              <w:t>本项目发酵</w:t>
            </w:r>
            <w:r>
              <w:rPr>
                <w:rFonts w:hint="default"/>
                <w:lang w:val="en-US" w:eastAsia="zh-CN"/>
              </w:rPr>
              <w:t>工艺废水量为</w:t>
            </w:r>
            <w:r>
              <w:rPr>
                <w:rFonts w:hint="eastAsia"/>
                <w:lang w:val="en-US" w:eastAsia="zh-CN"/>
              </w:rPr>
              <w:t>15</w:t>
            </w:r>
            <w:r>
              <w:rPr>
                <w:rFonts w:hint="default"/>
                <w:lang w:val="en-US" w:eastAsia="zh-CN"/>
              </w:rPr>
              <w:t>m</w:t>
            </w:r>
            <w:r>
              <w:rPr>
                <w:rFonts w:hint="default"/>
                <w:vertAlign w:val="superscript"/>
                <w:lang w:val="en-US" w:eastAsia="zh-CN"/>
              </w:rPr>
              <w:t>3</w:t>
            </w:r>
            <w:r>
              <w:rPr>
                <w:rFonts w:hint="default"/>
                <w:lang w:val="en-US" w:eastAsia="zh-CN"/>
              </w:rPr>
              <w:t>/d</w:t>
            </w:r>
            <w:r>
              <w:rPr>
                <w:rFonts w:hint="eastAsia"/>
                <w:lang w:val="en-US" w:eastAsia="zh-CN"/>
              </w:rPr>
              <w:t>、4800</w:t>
            </w:r>
            <w:r>
              <w:rPr>
                <w:rFonts w:hint="default"/>
                <w:lang w:val="en-US" w:eastAsia="zh-CN"/>
              </w:rPr>
              <w:t>m</w:t>
            </w:r>
            <w:r>
              <w:rPr>
                <w:rFonts w:hint="default"/>
                <w:vertAlign w:val="superscript"/>
                <w:lang w:val="en-US" w:eastAsia="zh-CN"/>
              </w:rPr>
              <w:t>3</w:t>
            </w:r>
            <w:r>
              <w:rPr>
                <w:rFonts w:hint="default"/>
                <w:lang w:val="en-US" w:eastAsia="zh-CN"/>
              </w:rPr>
              <w:t>/a，废水排入厂内污水处理站处理，废水排入厂内污水处理站处理</w:t>
            </w:r>
            <w:r>
              <w:rPr>
                <w:rFonts w:hint="eastAsia"/>
                <w:lang w:val="en-US" w:eastAsia="zh-CN"/>
              </w:rPr>
              <w:t>。</w:t>
            </w:r>
          </w:p>
          <w:p w14:paraId="75F9F5B0">
            <w:pPr>
              <w:pStyle w:val="18"/>
              <w:ind w:firstLine="420"/>
              <w:rPr>
                <w:rFonts w:hint="eastAsia" w:ascii="Times New Roman" w:hAnsi="Times New Roman" w:eastAsia="宋体" w:cs="Times New Roman"/>
                <w:sz w:val="24"/>
                <w:szCs w:val="24"/>
                <w:u w:val="none"/>
                <w:lang w:val="en-US" w:eastAsia="zh-CN"/>
              </w:rPr>
            </w:pPr>
            <w:r>
              <w:rPr>
                <w:b/>
                <w:bCs/>
                <w:sz w:val="24"/>
                <w:szCs w:val="24"/>
                <w:u w:val="none"/>
              </w:rPr>
              <w:fldChar w:fldCharType="begin"/>
            </w:r>
            <w:r>
              <w:rPr>
                <w:b/>
                <w:bCs/>
                <w:sz w:val="24"/>
                <w:szCs w:val="24"/>
                <w:u w:val="none"/>
              </w:rPr>
              <w:instrText xml:space="preserve"> = 4 \* GB3 \* MERGEFORMAT </w:instrText>
            </w:r>
            <w:r>
              <w:rPr>
                <w:b/>
                <w:bCs/>
                <w:sz w:val="24"/>
                <w:szCs w:val="24"/>
                <w:u w:val="none"/>
              </w:rPr>
              <w:fldChar w:fldCharType="separate"/>
            </w:r>
            <w:r>
              <w:rPr>
                <w:rFonts w:hint="eastAsia" w:ascii="宋体" w:hAnsi="宋体" w:cs="宋体"/>
                <w:b/>
                <w:bCs/>
                <w:sz w:val="24"/>
                <w:szCs w:val="24"/>
                <w:u w:val="none"/>
              </w:rPr>
              <w:t>④</w:t>
            </w:r>
            <w:r>
              <w:rPr>
                <w:b/>
                <w:bCs/>
                <w:sz w:val="24"/>
                <w:szCs w:val="24"/>
                <w:u w:val="none"/>
              </w:rPr>
              <w:fldChar w:fldCharType="end"/>
            </w:r>
            <w:r>
              <w:rPr>
                <w:rFonts w:hint="eastAsia"/>
                <w:b/>
                <w:bCs/>
                <w:sz w:val="24"/>
                <w:szCs w:val="24"/>
                <w:u w:val="none"/>
              </w:rPr>
              <w:t>毒性中药饮片</w:t>
            </w:r>
            <w:r>
              <w:rPr>
                <w:rFonts w:hint="eastAsia"/>
                <w:b/>
                <w:bCs/>
                <w:sz w:val="24"/>
                <w:szCs w:val="24"/>
                <w:u w:val="none"/>
                <w:lang w:val="en-US" w:eastAsia="zh-CN"/>
              </w:rPr>
              <w:t>炮制废水：</w:t>
            </w:r>
            <w:r>
              <w:rPr>
                <w:rFonts w:hint="eastAsia" w:ascii="Times New Roman" w:hAnsi="Times New Roman" w:eastAsia="宋体" w:cs="Times New Roman"/>
                <w:sz w:val="24"/>
                <w:szCs w:val="24"/>
                <w:u w:val="none"/>
              </w:rPr>
              <w:t>废水产生量为</w:t>
            </w:r>
            <w:r>
              <w:rPr>
                <w:rFonts w:hint="eastAsia"/>
                <w:sz w:val="24"/>
                <w:szCs w:val="24"/>
                <w:u w:val="none"/>
              </w:rPr>
              <w:t>0.0</w:t>
            </w:r>
            <w:r>
              <w:rPr>
                <w:rFonts w:hint="eastAsia"/>
                <w:sz w:val="24"/>
                <w:szCs w:val="24"/>
                <w:u w:val="none"/>
                <w:lang w:val="en-US" w:eastAsia="zh-CN"/>
              </w:rPr>
              <w:t>16</w:t>
            </w:r>
            <w:r>
              <w:rPr>
                <w:rFonts w:hint="eastAsia"/>
                <w:sz w:val="24"/>
                <w:szCs w:val="24"/>
                <w:u w:val="none"/>
              </w:rPr>
              <w:t>m</w:t>
            </w:r>
            <w:r>
              <w:rPr>
                <w:rFonts w:hint="eastAsia"/>
                <w:sz w:val="24"/>
                <w:szCs w:val="24"/>
                <w:u w:val="none"/>
                <w:vertAlign w:val="superscript"/>
              </w:rPr>
              <w:t>3</w:t>
            </w:r>
            <w:r>
              <w:rPr>
                <w:rFonts w:hint="eastAsia"/>
                <w:sz w:val="24"/>
                <w:szCs w:val="24"/>
                <w:u w:val="none"/>
              </w:rPr>
              <w:t>/d</w:t>
            </w:r>
            <w:r>
              <w:rPr>
                <w:rFonts w:hint="eastAsia"/>
                <w:sz w:val="24"/>
                <w:szCs w:val="24"/>
                <w:u w:val="none"/>
                <w:lang w:eastAsia="zh-CN"/>
              </w:rPr>
              <w:t>、</w:t>
            </w:r>
            <w:r>
              <w:rPr>
                <w:rFonts w:hint="eastAsia"/>
                <w:sz w:val="24"/>
                <w:szCs w:val="24"/>
                <w:u w:val="none"/>
                <w:lang w:val="en-US" w:eastAsia="zh-CN"/>
              </w:rPr>
              <w:t>5.12</w:t>
            </w:r>
            <w:r>
              <w:rPr>
                <w:rFonts w:hint="eastAsia"/>
                <w:sz w:val="24"/>
                <w:szCs w:val="24"/>
                <w:u w:val="none"/>
              </w:rPr>
              <w:t>m</w:t>
            </w:r>
            <w:r>
              <w:rPr>
                <w:rFonts w:hint="eastAsia"/>
                <w:sz w:val="24"/>
                <w:szCs w:val="24"/>
                <w:u w:val="none"/>
                <w:vertAlign w:val="superscript"/>
              </w:rPr>
              <w:t>3</w:t>
            </w:r>
            <w:r>
              <w:rPr>
                <w:rFonts w:hint="eastAsia"/>
                <w:sz w:val="24"/>
                <w:szCs w:val="24"/>
                <w:u w:val="none"/>
              </w:rPr>
              <w:t>/a</w:t>
            </w:r>
            <w:r>
              <w:rPr>
                <w:rFonts w:hint="eastAsia" w:ascii="Times New Roman" w:hAnsi="Times New Roman" w:eastAsia="宋体" w:cs="Times New Roman"/>
                <w:sz w:val="24"/>
                <w:szCs w:val="24"/>
                <w:u w:val="none"/>
              </w:rPr>
              <w:t>，</w:t>
            </w:r>
            <w:r>
              <w:rPr>
                <w:rFonts w:hint="default" w:ascii="Times New Roman" w:hAnsi="Times New Roman" w:eastAsia="宋体" w:cs="Times New Roman"/>
                <w:color w:val="auto"/>
                <w:sz w:val="24"/>
                <w:szCs w:val="24"/>
              </w:rPr>
              <w:t>）经收集池收集（容积约</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）后加明矾进行高温煮沸（用电加热）去除毒性后再进入污水处理站。</w:t>
            </w:r>
          </w:p>
          <w:p w14:paraId="277523CA">
            <w:pPr>
              <w:rPr>
                <w:rFonts w:hint="eastAsia"/>
                <w:sz w:val="24"/>
                <w:szCs w:val="24"/>
                <w:u w:val="none"/>
              </w:rPr>
            </w:pPr>
            <w:r>
              <w:rPr>
                <w:rFonts w:hint="eastAsia"/>
                <w:b/>
                <w:bCs/>
                <w:sz w:val="24"/>
                <w:szCs w:val="24"/>
                <w:u w:val="none"/>
              </w:rPr>
              <w:t>⑤设备清洗</w:t>
            </w:r>
            <w:r>
              <w:rPr>
                <w:rFonts w:hint="eastAsia"/>
                <w:b/>
                <w:bCs/>
                <w:sz w:val="24"/>
                <w:szCs w:val="24"/>
                <w:lang w:val="en-US" w:eastAsia="zh-CN"/>
              </w:rPr>
              <w:t>废水：</w:t>
            </w:r>
            <w:r>
              <w:rPr>
                <w:rFonts w:hint="eastAsia"/>
                <w:sz w:val="24"/>
                <w:szCs w:val="24"/>
                <w:u w:val="none"/>
              </w:rPr>
              <w:t>废水排放量</w:t>
            </w:r>
            <w:r>
              <w:rPr>
                <w:rFonts w:hint="eastAsia"/>
                <w:sz w:val="24"/>
                <w:szCs w:val="24"/>
                <w:u w:val="none"/>
                <w:lang w:val="en-US" w:eastAsia="zh-CN"/>
              </w:rPr>
              <w:t>3.2m</w:t>
            </w:r>
            <w:r>
              <w:rPr>
                <w:rFonts w:hint="eastAsia"/>
                <w:sz w:val="24"/>
                <w:szCs w:val="24"/>
                <w:u w:val="none"/>
                <w:vertAlign w:val="superscript"/>
                <w:lang w:val="en-US" w:eastAsia="zh-CN"/>
              </w:rPr>
              <w:t>3</w:t>
            </w:r>
            <w:r>
              <w:rPr>
                <w:rFonts w:hint="eastAsia"/>
                <w:sz w:val="24"/>
                <w:szCs w:val="24"/>
                <w:u w:val="none"/>
              </w:rPr>
              <w:t>/d</w:t>
            </w:r>
            <w:r>
              <w:rPr>
                <w:rFonts w:hint="eastAsia"/>
                <w:sz w:val="24"/>
                <w:szCs w:val="24"/>
                <w:u w:val="none"/>
                <w:lang w:val="en-US" w:eastAsia="zh-CN"/>
              </w:rPr>
              <w:t>、1024m</w:t>
            </w:r>
            <w:r>
              <w:rPr>
                <w:rFonts w:hint="eastAsia"/>
                <w:sz w:val="24"/>
                <w:szCs w:val="24"/>
                <w:u w:val="none"/>
                <w:vertAlign w:val="superscript"/>
                <w:lang w:val="en-US" w:eastAsia="zh-CN"/>
              </w:rPr>
              <w:t>3</w:t>
            </w:r>
            <w:r>
              <w:rPr>
                <w:rFonts w:hint="eastAsia"/>
                <w:sz w:val="24"/>
                <w:szCs w:val="24"/>
                <w:u w:val="none"/>
                <w:lang w:val="en-US" w:eastAsia="zh-CN"/>
              </w:rPr>
              <w:t>/a</w:t>
            </w:r>
            <w:r>
              <w:rPr>
                <w:rFonts w:hint="eastAsia"/>
                <w:sz w:val="24"/>
                <w:szCs w:val="24"/>
                <w:u w:val="none"/>
              </w:rPr>
              <w:t>，排入厂内污水处理站处理。</w:t>
            </w:r>
          </w:p>
          <w:p w14:paraId="2D06EEAC">
            <w:pPr>
              <w:rPr>
                <w:rFonts w:hint="eastAsia"/>
                <w:sz w:val="24"/>
                <w:szCs w:val="24"/>
                <w:u w:val="none"/>
              </w:rPr>
            </w:pPr>
            <w:r>
              <w:rPr>
                <w:rFonts w:hint="eastAsia"/>
                <w:b/>
                <w:bCs/>
                <w:sz w:val="24"/>
                <w:szCs w:val="24"/>
                <w:u w:val="none"/>
                <w:lang w:eastAsia="zh-CN"/>
              </w:rPr>
              <w:t>⑥</w:t>
            </w:r>
            <w:r>
              <w:rPr>
                <w:rFonts w:hint="eastAsia"/>
                <w:b/>
                <w:bCs/>
                <w:sz w:val="24"/>
                <w:szCs w:val="24"/>
                <w:lang w:val="en-US" w:eastAsia="zh-CN"/>
              </w:rPr>
              <w:t>地面清洗废水：</w:t>
            </w:r>
            <w:r>
              <w:rPr>
                <w:rFonts w:hint="eastAsia"/>
                <w:sz w:val="24"/>
                <w:szCs w:val="24"/>
                <w:u w:val="none"/>
              </w:rPr>
              <w:t>废水排放量</w:t>
            </w:r>
            <w:r>
              <w:rPr>
                <w:rFonts w:hint="eastAsia"/>
                <w:sz w:val="24"/>
                <w:szCs w:val="24"/>
                <w:u w:val="none"/>
                <w:lang w:val="en-US" w:eastAsia="zh-CN"/>
              </w:rPr>
              <w:t>4m</w:t>
            </w:r>
            <w:r>
              <w:rPr>
                <w:rFonts w:hint="eastAsia"/>
                <w:sz w:val="24"/>
                <w:szCs w:val="24"/>
                <w:u w:val="none"/>
                <w:vertAlign w:val="superscript"/>
                <w:lang w:val="en-US" w:eastAsia="zh-CN"/>
              </w:rPr>
              <w:t>3</w:t>
            </w:r>
            <w:r>
              <w:rPr>
                <w:rFonts w:hint="eastAsia"/>
                <w:sz w:val="24"/>
                <w:szCs w:val="24"/>
                <w:u w:val="none"/>
              </w:rPr>
              <w:t>/d</w:t>
            </w:r>
            <w:r>
              <w:rPr>
                <w:rFonts w:hint="eastAsia"/>
                <w:sz w:val="24"/>
                <w:szCs w:val="24"/>
                <w:u w:val="none"/>
                <w:lang w:val="en-US" w:eastAsia="zh-CN"/>
              </w:rPr>
              <w:t>、1280m</w:t>
            </w:r>
            <w:r>
              <w:rPr>
                <w:rFonts w:hint="eastAsia"/>
                <w:sz w:val="24"/>
                <w:szCs w:val="24"/>
                <w:u w:val="none"/>
                <w:vertAlign w:val="superscript"/>
                <w:lang w:val="en-US" w:eastAsia="zh-CN"/>
              </w:rPr>
              <w:t>3</w:t>
            </w:r>
            <w:r>
              <w:rPr>
                <w:rFonts w:hint="eastAsia"/>
                <w:sz w:val="24"/>
                <w:szCs w:val="24"/>
                <w:u w:val="none"/>
                <w:lang w:val="en-US" w:eastAsia="zh-CN"/>
              </w:rPr>
              <w:t>/a</w:t>
            </w:r>
            <w:r>
              <w:rPr>
                <w:rFonts w:hint="eastAsia"/>
                <w:sz w:val="24"/>
                <w:szCs w:val="24"/>
                <w:u w:val="none"/>
              </w:rPr>
              <w:t>，排入厂内污水处理站处理。</w:t>
            </w:r>
          </w:p>
          <w:p w14:paraId="63D916EB">
            <w:pPr>
              <w:rPr>
                <w:rFonts w:hint="eastAsia" w:eastAsia="宋体"/>
                <w:sz w:val="24"/>
                <w:szCs w:val="24"/>
                <w:u w:val="none"/>
                <w:lang w:eastAsia="zh-CN"/>
              </w:rPr>
            </w:pPr>
            <w:r>
              <w:rPr>
                <w:rFonts w:hint="eastAsia"/>
                <w:b/>
                <w:bCs/>
                <w:sz w:val="24"/>
                <w:szCs w:val="24"/>
                <w:u w:val="none"/>
                <w:lang w:eastAsia="zh-CN"/>
              </w:rPr>
              <w:t>⑦</w:t>
            </w:r>
            <w:r>
              <w:rPr>
                <w:rFonts w:hint="eastAsia"/>
                <w:b/>
                <w:bCs/>
                <w:sz w:val="24"/>
                <w:szCs w:val="24"/>
                <w:u w:val="none"/>
                <w:lang w:val="en-US" w:eastAsia="zh-CN"/>
              </w:rPr>
              <w:t>纯水</w:t>
            </w:r>
            <w:r>
              <w:rPr>
                <w:b/>
                <w:bCs/>
                <w:sz w:val="24"/>
                <w:szCs w:val="24"/>
                <w:u w:val="none"/>
              </w:rPr>
              <w:t>制水系统</w:t>
            </w:r>
            <w:r>
              <w:rPr>
                <w:rFonts w:hint="eastAsia"/>
                <w:b/>
                <w:bCs/>
                <w:sz w:val="24"/>
                <w:szCs w:val="24"/>
                <w:u w:val="none"/>
                <w:lang w:val="en-US" w:eastAsia="zh-CN"/>
              </w:rPr>
              <w:t>产生的浓水：</w:t>
            </w:r>
            <w:r>
              <w:rPr>
                <w:rFonts w:hint="eastAsia"/>
                <w:sz w:val="24"/>
                <w:szCs w:val="24"/>
                <w:u w:val="none"/>
                <w:lang w:val="en-US" w:eastAsia="zh-CN"/>
              </w:rPr>
              <w:t>制水系统</w:t>
            </w:r>
            <w:r>
              <w:rPr>
                <w:sz w:val="24"/>
                <w:szCs w:val="24"/>
                <w:u w:val="none"/>
              </w:rPr>
              <w:t>制备过程中产生的</w:t>
            </w:r>
            <w:r>
              <w:rPr>
                <w:rFonts w:hint="eastAsia"/>
                <w:sz w:val="24"/>
                <w:szCs w:val="24"/>
                <w:u w:val="none"/>
                <w:lang w:val="en-US" w:eastAsia="zh-CN"/>
              </w:rPr>
              <w:t>浓水</w:t>
            </w:r>
            <w:r>
              <w:rPr>
                <w:sz w:val="24"/>
                <w:szCs w:val="24"/>
                <w:u w:val="none"/>
              </w:rPr>
              <w:t>量</w:t>
            </w:r>
            <w:r>
              <w:rPr>
                <w:rFonts w:hint="eastAsia"/>
                <w:sz w:val="24"/>
                <w:szCs w:val="24"/>
                <w:u w:val="none"/>
                <w:lang w:val="en-US" w:eastAsia="zh-CN"/>
              </w:rPr>
              <w:t>为0.94m</w:t>
            </w:r>
            <w:r>
              <w:rPr>
                <w:rFonts w:hint="eastAsia"/>
                <w:sz w:val="24"/>
                <w:szCs w:val="24"/>
                <w:u w:val="none"/>
                <w:vertAlign w:val="superscript"/>
                <w:lang w:val="en-US" w:eastAsia="zh-CN"/>
              </w:rPr>
              <w:t>3</w:t>
            </w:r>
            <w:r>
              <w:rPr>
                <w:rFonts w:hint="eastAsia"/>
                <w:sz w:val="24"/>
                <w:szCs w:val="24"/>
                <w:u w:val="none"/>
              </w:rPr>
              <w:t>/d</w:t>
            </w:r>
            <w:r>
              <w:rPr>
                <w:rFonts w:hint="eastAsia"/>
                <w:sz w:val="24"/>
                <w:szCs w:val="24"/>
                <w:u w:val="none"/>
                <w:lang w:val="en-US" w:eastAsia="zh-CN"/>
              </w:rPr>
              <w:t>、302m</w:t>
            </w:r>
            <w:r>
              <w:rPr>
                <w:rFonts w:hint="eastAsia"/>
                <w:sz w:val="24"/>
                <w:szCs w:val="24"/>
                <w:u w:val="none"/>
                <w:vertAlign w:val="superscript"/>
                <w:lang w:val="en-US" w:eastAsia="zh-CN"/>
              </w:rPr>
              <w:t>3</w:t>
            </w:r>
            <w:r>
              <w:rPr>
                <w:rFonts w:hint="eastAsia"/>
                <w:sz w:val="24"/>
                <w:szCs w:val="24"/>
                <w:u w:val="none"/>
                <w:lang w:val="en-US" w:eastAsia="zh-CN"/>
              </w:rPr>
              <w:t>/a</w:t>
            </w:r>
            <w:r>
              <w:rPr>
                <w:rFonts w:hint="eastAsia"/>
                <w:sz w:val="24"/>
                <w:szCs w:val="24"/>
                <w:u w:val="none"/>
                <w:lang w:eastAsia="zh-CN"/>
              </w:rPr>
              <w:t>，</w:t>
            </w:r>
            <w:r>
              <w:rPr>
                <w:rFonts w:hint="eastAsia"/>
                <w:sz w:val="24"/>
                <w:szCs w:val="24"/>
                <w:u w:val="none"/>
              </w:rPr>
              <w:t>排入厂内污水处理站处理。</w:t>
            </w:r>
          </w:p>
          <w:p w14:paraId="7E4FBD22">
            <w:pPr>
              <w:rPr>
                <w:b/>
                <w:bCs/>
                <w:sz w:val="24"/>
                <w:szCs w:val="24"/>
                <w:u w:val="single"/>
              </w:rPr>
            </w:pPr>
            <w:r>
              <w:rPr>
                <w:rFonts w:hint="eastAsia"/>
                <w:b/>
                <w:bCs/>
                <w:sz w:val="24"/>
                <w:szCs w:val="24"/>
                <w:u w:val="single"/>
                <w:lang w:eastAsia="zh-CN"/>
              </w:rPr>
              <w:t>⑧</w:t>
            </w:r>
            <w:r>
              <w:rPr>
                <w:rFonts w:hint="eastAsia"/>
                <w:b/>
                <w:bCs/>
                <w:sz w:val="24"/>
                <w:szCs w:val="24"/>
                <w:u w:val="single"/>
              </w:rPr>
              <w:t>质检</w:t>
            </w:r>
            <w:r>
              <w:rPr>
                <w:rFonts w:hint="eastAsia"/>
                <w:b/>
                <w:bCs/>
                <w:sz w:val="24"/>
                <w:szCs w:val="24"/>
                <w:u w:val="single"/>
                <w:lang w:val="en-US" w:eastAsia="zh-CN"/>
              </w:rPr>
              <w:t>工序实验废水：</w:t>
            </w:r>
            <w:r>
              <w:rPr>
                <w:rFonts w:hint="eastAsia"/>
                <w:b/>
                <w:bCs/>
                <w:sz w:val="24"/>
                <w:szCs w:val="24"/>
                <w:u w:val="single"/>
              </w:rPr>
              <w:t>项目实验设备</w:t>
            </w:r>
            <w:r>
              <w:rPr>
                <w:rFonts w:hint="eastAsia"/>
                <w:b/>
                <w:bCs/>
                <w:sz w:val="24"/>
                <w:szCs w:val="24"/>
                <w:u w:val="single"/>
                <w:lang w:val="en-US" w:eastAsia="zh-CN"/>
              </w:rPr>
              <w:t>和器皿</w:t>
            </w:r>
            <w:r>
              <w:rPr>
                <w:rFonts w:hint="eastAsia"/>
                <w:b/>
                <w:bCs/>
                <w:sz w:val="24"/>
                <w:szCs w:val="24"/>
                <w:u w:val="single"/>
              </w:rPr>
              <w:t>清洗废水</w:t>
            </w:r>
            <w:r>
              <w:rPr>
                <w:rFonts w:hint="eastAsia"/>
                <w:b/>
                <w:bCs/>
                <w:sz w:val="24"/>
                <w:szCs w:val="24"/>
                <w:u w:val="single"/>
                <w:lang w:val="en-US" w:eastAsia="zh-CN"/>
              </w:rPr>
              <w:t>全部</w:t>
            </w:r>
            <w:r>
              <w:rPr>
                <w:rFonts w:hint="eastAsia"/>
                <w:b/>
                <w:bCs/>
                <w:sz w:val="24"/>
                <w:szCs w:val="24"/>
                <w:u w:val="single"/>
              </w:rPr>
              <w:t>收集作为</w:t>
            </w:r>
            <w:r>
              <w:rPr>
                <w:rFonts w:hint="eastAsia"/>
                <w:b/>
                <w:bCs/>
                <w:sz w:val="24"/>
                <w:szCs w:val="24"/>
                <w:u w:val="single"/>
                <w:lang w:val="en-US" w:eastAsia="zh-CN"/>
              </w:rPr>
              <w:t>危险废物</w:t>
            </w:r>
            <w:r>
              <w:rPr>
                <w:rFonts w:hint="eastAsia"/>
                <w:b/>
                <w:bCs/>
                <w:sz w:val="24"/>
                <w:szCs w:val="24"/>
                <w:u w:val="single"/>
              </w:rPr>
              <w:t>废液委托处置。废水排放量按用水量的</w:t>
            </w:r>
            <w:r>
              <w:rPr>
                <w:rFonts w:hint="eastAsia"/>
                <w:b/>
                <w:bCs/>
                <w:sz w:val="24"/>
                <w:szCs w:val="24"/>
                <w:u w:val="single"/>
                <w:lang w:val="en-US" w:eastAsia="zh-CN"/>
              </w:rPr>
              <w:t>9</w:t>
            </w:r>
            <w:r>
              <w:rPr>
                <w:rFonts w:hint="eastAsia"/>
                <w:b/>
                <w:bCs/>
                <w:sz w:val="24"/>
                <w:szCs w:val="24"/>
                <w:u w:val="single"/>
              </w:rPr>
              <w:t>0%计算，则废水排放量为0.0</w:t>
            </w:r>
            <w:r>
              <w:rPr>
                <w:rFonts w:hint="eastAsia"/>
                <w:b/>
                <w:bCs/>
                <w:sz w:val="24"/>
                <w:szCs w:val="24"/>
                <w:u w:val="single"/>
                <w:lang w:val="en-US" w:eastAsia="zh-CN"/>
              </w:rPr>
              <w:t>18m</w:t>
            </w:r>
            <w:r>
              <w:rPr>
                <w:rFonts w:hint="eastAsia"/>
                <w:b/>
                <w:bCs/>
                <w:sz w:val="24"/>
                <w:szCs w:val="24"/>
                <w:u w:val="single"/>
                <w:vertAlign w:val="superscript"/>
                <w:lang w:val="en-US" w:eastAsia="zh-CN"/>
              </w:rPr>
              <w:t>3</w:t>
            </w:r>
            <w:r>
              <w:rPr>
                <w:rFonts w:hint="eastAsia"/>
                <w:b/>
                <w:bCs/>
                <w:sz w:val="24"/>
                <w:szCs w:val="24"/>
                <w:u w:val="single"/>
              </w:rPr>
              <w:t>/d</w:t>
            </w:r>
            <w:r>
              <w:rPr>
                <w:rFonts w:hint="eastAsia"/>
                <w:b/>
                <w:bCs/>
                <w:sz w:val="24"/>
                <w:szCs w:val="24"/>
                <w:u w:val="single"/>
                <w:lang w:eastAsia="zh-CN"/>
              </w:rPr>
              <w:t>、</w:t>
            </w:r>
            <w:r>
              <w:rPr>
                <w:rFonts w:hint="eastAsia"/>
                <w:b/>
                <w:bCs/>
                <w:sz w:val="24"/>
                <w:szCs w:val="24"/>
                <w:u w:val="single"/>
                <w:lang w:val="en-US" w:eastAsia="zh-CN"/>
              </w:rPr>
              <w:t>5.76m</w:t>
            </w:r>
            <w:r>
              <w:rPr>
                <w:rFonts w:hint="eastAsia"/>
                <w:b/>
                <w:bCs/>
                <w:sz w:val="24"/>
                <w:szCs w:val="24"/>
                <w:u w:val="single"/>
                <w:vertAlign w:val="superscript"/>
                <w:lang w:val="en-US" w:eastAsia="zh-CN"/>
              </w:rPr>
              <w:t>3</w:t>
            </w:r>
            <w:r>
              <w:rPr>
                <w:rFonts w:hint="eastAsia"/>
                <w:b/>
                <w:bCs/>
                <w:sz w:val="24"/>
                <w:szCs w:val="24"/>
                <w:u w:val="single"/>
              </w:rPr>
              <w:t>/</w:t>
            </w:r>
            <w:r>
              <w:rPr>
                <w:rFonts w:hint="eastAsia"/>
                <w:b/>
                <w:bCs/>
                <w:sz w:val="24"/>
                <w:szCs w:val="24"/>
                <w:u w:val="single"/>
                <w:lang w:val="en-US" w:eastAsia="zh-CN"/>
              </w:rPr>
              <w:t>a</w:t>
            </w:r>
            <w:r>
              <w:rPr>
                <w:rFonts w:hint="eastAsia"/>
                <w:b/>
                <w:bCs/>
                <w:sz w:val="24"/>
                <w:szCs w:val="24"/>
                <w:u w:val="single"/>
                <w:lang w:eastAsia="zh-CN"/>
              </w:rPr>
              <w:t>，</w:t>
            </w:r>
            <w:r>
              <w:rPr>
                <w:b/>
                <w:bCs/>
                <w:sz w:val="24"/>
                <w:szCs w:val="24"/>
                <w:u w:val="single"/>
              </w:rPr>
              <w:t>对照《国家危险废物名录》（2021版），属于</w:t>
            </w:r>
            <w:r>
              <w:rPr>
                <w:rFonts w:hint="eastAsia"/>
                <w:b/>
                <w:bCs/>
                <w:sz w:val="24"/>
                <w:szCs w:val="24"/>
                <w:u w:val="single"/>
              </w:rPr>
              <w:t>其他废物</w:t>
            </w:r>
            <w:r>
              <w:rPr>
                <w:b/>
                <w:bCs/>
                <w:sz w:val="24"/>
                <w:szCs w:val="24"/>
                <w:u w:val="single"/>
              </w:rPr>
              <w:t>（HW</w:t>
            </w:r>
            <w:r>
              <w:rPr>
                <w:rFonts w:hint="eastAsia"/>
                <w:b/>
                <w:bCs/>
                <w:sz w:val="24"/>
                <w:szCs w:val="24"/>
                <w:u w:val="single"/>
              </w:rPr>
              <w:t>49</w:t>
            </w:r>
            <w:r>
              <w:rPr>
                <w:b/>
                <w:bCs/>
                <w:sz w:val="24"/>
                <w:szCs w:val="24"/>
                <w:u w:val="single"/>
              </w:rPr>
              <w:t>），经收集后暂存于危险废物暂存间，交由</w:t>
            </w:r>
            <w:r>
              <w:rPr>
                <w:rFonts w:hint="eastAsia"/>
                <w:b/>
                <w:bCs/>
                <w:sz w:val="24"/>
                <w:szCs w:val="24"/>
                <w:u w:val="single"/>
                <w:lang w:val="en-US" w:eastAsia="zh-CN"/>
              </w:rPr>
              <w:t>有资质</w:t>
            </w:r>
            <w:r>
              <w:rPr>
                <w:b/>
                <w:bCs/>
                <w:sz w:val="24"/>
                <w:szCs w:val="24"/>
                <w:u w:val="single"/>
              </w:rPr>
              <w:t>单位处置。</w:t>
            </w:r>
          </w:p>
          <w:p w14:paraId="168A5017">
            <w:pPr>
              <w:pStyle w:val="46"/>
              <w:keepNext w:val="0"/>
              <w:keepLines w:val="0"/>
              <w:pageBreakBefore w:val="0"/>
              <w:widowControl w:val="0"/>
              <w:numPr>
                <w:ilvl w:val="0"/>
                <w:numId w:val="0"/>
              </w:numPr>
              <w:tabs>
                <w:tab w:val="left" w:pos="1106"/>
              </w:tabs>
              <w:kinsoku/>
              <w:wordWrap/>
              <w:overflowPunct/>
              <w:topLinePunct w:val="0"/>
              <w:autoSpaceDE/>
              <w:autoSpaceDN/>
              <w:bidi w:val="0"/>
              <w:adjustRightInd/>
              <w:snapToGrid/>
              <w:spacing w:line="360" w:lineRule="auto"/>
              <w:ind w:firstLine="482" w:firstLineChars="200"/>
              <w:textAlignment w:val="auto"/>
              <w:rPr>
                <w:rFonts w:hint="eastAsia"/>
                <w:b/>
                <w:bCs/>
                <w:sz w:val="24"/>
                <w:szCs w:val="24"/>
                <w:u w:val="none"/>
                <w:lang w:val="en-US" w:eastAsia="zh-CN"/>
              </w:rPr>
            </w:pPr>
            <w:r>
              <w:rPr>
                <w:rFonts w:hint="eastAsia"/>
                <w:b/>
                <w:bCs/>
                <w:sz w:val="24"/>
                <w:szCs w:val="24"/>
                <w:u w:val="none"/>
                <w:lang w:eastAsia="zh-CN"/>
              </w:rPr>
              <w:t>（</w:t>
            </w:r>
            <w:r>
              <w:rPr>
                <w:rFonts w:hint="eastAsia"/>
                <w:b/>
                <w:bCs/>
                <w:sz w:val="24"/>
                <w:szCs w:val="24"/>
                <w:u w:val="none"/>
                <w:lang w:val="en-US" w:eastAsia="zh-CN"/>
              </w:rPr>
              <w:t>2</w:t>
            </w:r>
            <w:r>
              <w:rPr>
                <w:rFonts w:hint="eastAsia"/>
                <w:b/>
                <w:bCs/>
                <w:sz w:val="24"/>
                <w:szCs w:val="24"/>
                <w:u w:val="none"/>
                <w:lang w:eastAsia="zh-CN"/>
              </w:rPr>
              <w:t>）</w:t>
            </w:r>
            <w:r>
              <w:rPr>
                <w:rFonts w:hint="eastAsia"/>
                <w:b/>
                <w:bCs/>
                <w:sz w:val="24"/>
                <w:szCs w:val="24"/>
                <w:u w:val="none"/>
                <w:lang w:val="en-US" w:eastAsia="zh-CN"/>
              </w:rPr>
              <w:t>办公</w:t>
            </w:r>
            <w:r>
              <w:rPr>
                <w:b/>
                <w:bCs/>
                <w:sz w:val="24"/>
                <w:szCs w:val="24"/>
                <w:u w:val="none"/>
              </w:rPr>
              <w:t>生活</w:t>
            </w:r>
            <w:r>
              <w:rPr>
                <w:rFonts w:hint="eastAsia"/>
                <w:b/>
                <w:bCs/>
                <w:sz w:val="24"/>
                <w:szCs w:val="24"/>
                <w:u w:val="none"/>
                <w:lang w:val="en-US" w:eastAsia="zh-CN"/>
              </w:rPr>
              <w:t>污水</w:t>
            </w:r>
          </w:p>
          <w:p w14:paraId="7F8AC7F8">
            <w:pPr>
              <w:pStyle w:val="46"/>
              <w:keepNext w:val="0"/>
              <w:keepLines w:val="0"/>
              <w:pageBreakBefore w:val="0"/>
              <w:widowControl w:val="0"/>
              <w:numPr>
                <w:ilvl w:val="0"/>
                <w:numId w:val="0"/>
              </w:numPr>
              <w:tabs>
                <w:tab w:val="left" w:pos="1106"/>
              </w:tabs>
              <w:kinsoku/>
              <w:wordWrap/>
              <w:overflowPunct/>
              <w:topLinePunct w:val="0"/>
              <w:autoSpaceDE/>
              <w:autoSpaceDN/>
              <w:bidi w:val="0"/>
              <w:adjustRightInd/>
              <w:snapToGrid/>
              <w:spacing w:line="360" w:lineRule="auto"/>
              <w:ind w:firstLine="480" w:firstLineChars="200"/>
              <w:textAlignment w:val="auto"/>
              <w:rPr>
                <w:rFonts w:hint="eastAsia"/>
                <w:sz w:val="24"/>
                <w:szCs w:val="24"/>
                <w:u w:val="none"/>
              </w:rPr>
            </w:pPr>
            <w:r>
              <w:rPr>
                <w:rFonts w:hint="eastAsia" w:ascii="Times New Roman" w:hAnsi="Times New Roman" w:eastAsia="宋体" w:cs="Times New Roman"/>
                <w:sz w:val="24"/>
                <w:szCs w:val="24"/>
                <w:u w:val="none"/>
                <w:lang w:val="en-US" w:eastAsia="zh-CN"/>
              </w:rPr>
              <w:t>办公生活污水</w:t>
            </w:r>
            <w:r>
              <w:rPr>
                <w:rFonts w:hint="eastAsia" w:ascii="Times New Roman" w:hAnsi="Times New Roman" w:eastAsia="宋体" w:cs="Times New Roman"/>
                <w:sz w:val="24"/>
                <w:szCs w:val="24"/>
                <w:u w:val="none"/>
              </w:rPr>
              <w:t>产生量</w:t>
            </w:r>
            <w:r>
              <w:rPr>
                <w:rFonts w:hint="eastAsia"/>
                <w:color w:val="auto"/>
                <w:spacing w:val="2"/>
                <w:sz w:val="24"/>
                <w:lang w:val="en-US" w:eastAsia="zh-CN"/>
              </w:rPr>
              <w:t>4.8</w:t>
            </w:r>
            <w:r>
              <w:rPr>
                <w:rFonts w:hint="eastAsia"/>
                <w:color w:val="auto"/>
                <w:spacing w:val="2"/>
                <w:sz w:val="24"/>
              </w:rPr>
              <w:t>m</w:t>
            </w:r>
            <w:r>
              <w:rPr>
                <w:rFonts w:hint="eastAsia"/>
                <w:color w:val="auto"/>
                <w:spacing w:val="2"/>
                <w:sz w:val="24"/>
                <w:vertAlign w:val="superscript"/>
              </w:rPr>
              <w:t>3</w:t>
            </w:r>
            <w:r>
              <w:rPr>
                <w:rFonts w:hint="eastAsia"/>
                <w:color w:val="auto"/>
                <w:spacing w:val="2"/>
                <w:sz w:val="24"/>
              </w:rPr>
              <w:t>/d、</w:t>
            </w:r>
            <w:r>
              <w:rPr>
                <w:rFonts w:hint="eastAsia"/>
                <w:color w:val="auto"/>
                <w:spacing w:val="2"/>
                <w:sz w:val="24"/>
                <w:lang w:val="en-US" w:eastAsia="zh-CN"/>
              </w:rPr>
              <w:t>1536</w:t>
            </w:r>
            <w:r>
              <w:rPr>
                <w:rFonts w:hint="eastAsia"/>
                <w:color w:val="auto"/>
                <w:spacing w:val="2"/>
                <w:sz w:val="24"/>
              </w:rPr>
              <w:t>m</w:t>
            </w:r>
            <w:r>
              <w:rPr>
                <w:rFonts w:hint="eastAsia"/>
                <w:color w:val="auto"/>
                <w:spacing w:val="2"/>
                <w:sz w:val="24"/>
                <w:vertAlign w:val="superscript"/>
              </w:rPr>
              <w:t>3</w:t>
            </w:r>
            <w:r>
              <w:rPr>
                <w:rFonts w:hint="eastAsia"/>
                <w:color w:val="auto"/>
                <w:spacing w:val="2"/>
                <w:sz w:val="24"/>
              </w:rPr>
              <w:t>/a</w:t>
            </w:r>
            <w:r>
              <w:rPr>
                <w:rFonts w:hint="eastAsia"/>
                <w:sz w:val="24"/>
                <w:szCs w:val="24"/>
                <w:u w:val="none"/>
              </w:rPr>
              <w:t>，排入厂内</w:t>
            </w:r>
            <w:r>
              <w:rPr>
                <w:rFonts w:hint="eastAsia"/>
                <w:sz w:val="24"/>
                <w:szCs w:val="24"/>
                <w:u w:val="none"/>
                <w:lang w:val="en-US" w:eastAsia="zh-CN"/>
              </w:rPr>
              <w:t>已建化粪池，处理后排入厂区污水处理站</w:t>
            </w:r>
            <w:r>
              <w:rPr>
                <w:rFonts w:hint="eastAsia"/>
                <w:sz w:val="24"/>
                <w:szCs w:val="24"/>
                <w:u w:val="none"/>
              </w:rPr>
              <w:t>。</w:t>
            </w:r>
          </w:p>
          <w:p w14:paraId="430BBAD6">
            <w:pPr>
              <w:rPr>
                <w:rFonts w:hint="eastAsia"/>
                <w:color w:val="auto"/>
                <w:lang w:val="en-US" w:eastAsia="zh-CN"/>
              </w:rPr>
            </w:pPr>
            <w:r>
              <w:rPr>
                <w:rFonts w:hint="eastAsia"/>
                <w:color w:val="auto"/>
                <w:lang w:val="en-US" w:eastAsia="zh-CN"/>
              </w:rPr>
              <w:t>根据《制药工业水污染物排放标准  中药类》编制说明可知，中药制药企业生产废水的污染物主要是常规污染物，即COD、BOD</w:t>
            </w:r>
            <w:r>
              <w:rPr>
                <w:rFonts w:hint="eastAsia"/>
                <w:color w:val="auto"/>
                <w:vertAlign w:val="subscript"/>
                <w:lang w:val="en-US" w:eastAsia="zh-CN"/>
              </w:rPr>
              <w:t>5</w:t>
            </w:r>
            <w:r>
              <w:rPr>
                <w:rFonts w:hint="eastAsia"/>
                <w:color w:val="auto"/>
                <w:lang w:val="en-US" w:eastAsia="zh-CN"/>
              </w:rPr>
              <w:t>、SS、pH、氨氮等。水质排放情况详见下表。</w:t>
            </w:r>
          </w:p>
          <w:p w14:paraId="25CAA249">
            <w:pPr>
              <w:keepNext w:val="0"/>
              <w:keepLines w:val="0"/>
              <w:pageBreakBefore w:val="0"/>
              <w:widowControl w:val="0"/>
              <w:numPr>
                <w:ilvl w:val="0"/>
                <w:numId w:val="9"/>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lang w:val="en-GB"/>
              </w:rPr>
            </w:pPr>
            <w:r>
              <w:rPr>
                <w:rFonts w:hint="eastAsia" w:ascii="Times New Roman" w:hAnsi="Times New Roman" w:eastAsia="宋体" w:cs="Times New Roman"/>
                <w:b/>
                <w:bCs/>
                <w:color w:val="auto"/>
                <w:sz w:val="21"/>
                <w:szCs w:val="21"/>
                <w:lang w:val="zh-CN"/>
              </w:rPr>
              <w:t>中药企业废水处理与排放情况</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1"/>
              <w:gridCol w:w="914"/>
              <w:gridCol w:w="742"/>
              <w:gridCol w:w="870"/>
              <w:gridCol w:w="752"/>
              <w:gridCol w:w="595"/>
              <w:gridCol w:w="809"/>
              <w:gridCol w:w="809"/>
              <w:gridCol w:w="809"/>
              <w:gridCol w:w="809"/>
            </w:tblGrid>
            <w:tr w14:paraId="426A3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pct"/>
                  <w:vAlign w:val="center"/>
                </w:tcPr>
                <w:p w14:paraId="02E45DF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企业名称</w:t>
                  </w:r>
                </w:p>
              </w:tc>
              <w:tc>
                <w:tcPr>
                  <w:tcW w:w="565" w:type="pct"/>
                  <w:vAlign w:val="center"/>
                </w:tcPr>
                <w:p w14:paraId="135B2B5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eastAsia="宋体"/>
                      <w:color w:val="auto"/>
                      <w:sz w:val="18"/>
                      <w:szCs w:val="18"/>
                      <w:vertAlign w:val="baseline"/>
                      <w:lang w:val="en-US" w:eastAsia="zh-CN"/>
                    </w:rPr>
                  </w:pPr>
                  <w:r>
                    <w:rPr>
                      <w:rFonts w:hint="eastAsia"/>
                      <w:color w:val="auto"/>
                      <w:sz w:val="18"/>
                      <w:szCs w:val="18"/>
                      <w:vertAlign w:val="baseline"/>
                      <w:lang w:val="en-US" w:eastAsia="zh-CN"/>
                    </w:rPr>
                    <w:t>水质</w:t>
                  </w:r>
                </w:p>
              </w:tc>
              <w:tc>
                <w:tcPr>
                  <w:tcW w:w="459" w:type="pct"/>
                  <w:vAlign w:val="center"/>
                </w:tcPr>
                <w:p w14:paraId="38E0C48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COD</w:t>
                  </w:r>
                </w:p>
              </w:tc>
              <w:tc>
                <w:tcPr>
                  <w:tcW w:w="538" w:type="pct"/>
                  <w:vAlign w:val="center"/>
                </w:tcPr>
                <w:p w14:paraId="7EB30EB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BOD</w:t>
                  </w:r>
                </w:p>
              </w:tc>
              <w:tc>
                <w:tcPr>
                  <w:tcW w:w="465" w:type="pct"/>
                  <w:vAlign w:val="center"/>
                </w:tcPr>
                <w:p w14:paraId="299B802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SS</w:t>
                  </w:r>
                </w:p>
              </w:tc>
              <w:tc>
                <w:tcPr>
                  <w:tcW w:w="368" w:type="pct"/>
                  <w:vAlign w:val="center"/>
                </w:tcPr>
                <w:p w14:paraId="4AA8DD3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pH</w:t>
                  </w:r>
                </w:p>
              </w:tc>
              <w:tc>
                <w:tcPr>
                  <w:tcW w:w="500" w:type="pct"/>
                  <w:vAlign w:val="center"/>
                </w:tcPr>
                <w:p w14:paraId="64DAE914">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NH3-N</w:t>
                  </w:r>
                </w:p>
              </w:tc>
              <w:tc>
                <w:tcPr>
                  <w:tcW w:w="500" w:type="pct"/>
                  <w:vAlign w:val="center"/>
                </w:tcPr>
                <w:p w14:paraId="5ADEE21D">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eastAsia="宋体"/>
                      <w:color w:val="auto"/>
                      <w:sz w:val="18"/>
                      <w:szCs w:val="18"/>
                      <w:vertAlign w:val="baseline"/>
                      <w:lang w:val="en-US" w:eastAsia="zh-CN"/>
                    </w:rPr>
                  </w:pPr>
                  <w:r>
                    <w:rPr>
                      <w:rFonts w:hint="eastAsia"/>
                      <w:color w:val="auto"/>
                      <w:sz w:val="18"/>
                      <w:szCs w:val="18"/>
                      <w:vertAlign w:val="baseline"/>
                      <w:lang w:val="en-US" w:eastAsia="zh-CN"/>
                    </w:rPr>
                    <w:t>色度</w:t>
                  </w:r>
                </w:p>
              </w:tc>
              <w:tc>
                <w:tcPr>
                  <w:tcW w:w="500" w:type="pct"/>
                  <w:vAlign w:val="center"/>
                </w:tcPr>
                <w:p w14:paraId="6814A18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eastAsia="宋体"/>
                      <w:color w:val="auto"/>
                      <w:sz w:val="18"/>
                      <w:szCs w:val="18"/>
                      <w:vertAlign w:val="baseline"/>
                      <w:lang w:val="en-US" w:eastAsia="zh-CN"/>
                    </w:rPr>
                  </w:pPr>
                  <w:r>
                    <w:rPr>
                      <w:rFonts w:hint="eastAsia"/>
                      <w:color w:val="auto"/>
                      <w:sz w:val="18"/>
                      <w:szCs w:val="18"/>
                      <w:vertAlign w:val="baseline"/>
                      <w:lang w:val="en-US" w:eastAsia="zh-CN"/>
                    </w:rPr>
                    <w:t>处理工艺</w:t>
                  </w:r>
                </w:p>
              </w:tc>
              <w:tc>
                <w:tcPr>
                  <w:tcW w:w="500" w:type="pct"/>
                  <w:vAlign w:val="center"/>
                </w:tcPr>
                <w:p w14:paraId="70C2A070">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eastAsia="宋体"/>
                      <w:color w:val="auto"/>
                      <w:sz w:val="18"/>
                      <w:szCs w:val="18"/>
                      <w:vertAlign w:val="baseline"/>
                      <w:lang w:val="en-US" w:eastAsia="zh-CN"/>
                    </w:rPr>
                  </w:pPr>
                  <w:r>
                    <w:rPr>
                      <w:rFonts w:hint="eastAsia"/>
                      <w:color w:val="auto"/>
                      <w:sz w:val="18"/>
                      <w:szCs w:val="18"/>
                      <w:vertAlign w:val="baseline"/>
                      <w:lang w:val="en-US" w:eastAsia="zh-CN"/>
                    </w:rPr>
                    <w:t>设计处理能力</w:t>
                  </w:r>
                </w:p>
              </w:tc>
            </w:tr>
            <w:tr w14:paraId="4C088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pct"/>
                  <w:vMerge w:val="restart"/>
                  <w:vAlign w:val="center"/>
                </w:tcPr>
                <w:p w14:paraId="0EB66BA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山东xx股份有限公司</w:t>
                  </w:r>
                </w:p>
              </w:tc>
              <w:tc>
                <w:tcPr>
                  <w:tcW w:w="565" w:type="pct"/>
                  <w:vAlign w:val="center"/>
                </w:tcPr>
                <w:p w14:paraId="6B61396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eastAsia="宋体"/>
                      <w:color w:val="auto"/>
                      <w:sz w:val="18"/>
                      <w:szCs w:val="18"/>
                      <w:vertAlign w:val="baseline"/>
                      <w:lang w:val="en-US" w:eastAsia="zh-CN"/>
                    </w:rPr>
                  </w:pPr>
                  <w:r>
                    <w:rPr>
                      <w:rFonts w:hint="eastAsia"/>
                      <w:color w:val="auto"/>
                      <w:sz w:val="18"/>
                      <w:szCs w:val="18"/>
                      <w:vertAlign w:val="baseline"/>
                      <w:lang w:val="en-US" w:eastAsia="zh-CN"/>
                    </w:rPr>
                    <w:t>进水</w:t>
                  </w:r>
                </w:p>
              </w:tc>
              <w:tc>
                <w:tcPr>
                  <w:tcW w:w="459" w:type="pct"/>
                  <w:vAlign w:val="center"/>
                </w:tcPr>
                <w:p w14:paraId="62F960D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681</w:t>
                  </w:r>
                </w:p>
              </w:tc>
              <w:tc>
                <w:tcPr>
                  <w:tcW w:w="538" w:type="pct"/>
                  <w:vAlign w:val="center"/>
                </w:tcPr>
                <w:p w14:paraId="47E9846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136</w:t>
                  </w:r>
                </w:p>
              </w:tc>
              <w:tc>
                <w:tcPr>
                  <w:tcW w:w="465" w:type="pct"/>
                  <w:vAlign w:val="center"/>
                </w:tcPr>
                <w:p w14:paraId="620F0132">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321</w:t>
                  </w:r>
                </w:p>
              </w:tc>
              <w:tc>
                <w:tcPr>
                  <w:tcW w:w="368" w:type="pct"/>
                  <w:vAlign w:val="center"/>
                </w:tcPr>
                <w:p w14:paraId="4347C3C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7.8</w:t>
                  </w:r>
                </w:p>
              </w:tc>
              <w:tc>
                <w:tcPr>
                  <w:tcW w:w="500" w:type="pct"/>
                  <w:vAlign w:val="center"/>
                </w:tcPr>
                <w:p w14:paraId="0261C44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eastAsia="宋体"/>
                      <w:color w:val="auto"/>
                      <w:sz w:val="18"/>
                      <w:szCs w:val="18"/>
                      <w:vertAlign w:val="baseline"/>
                      <w:lang w:val="en-US" w:eastAsia="zh-CN"/>
                    </w:rPr>
                  </w:pPr>
                  <w:r>
                    <w:rPr>
                      <w:rFonts w:hint="eastAsia"/>
                      <w:color w:val="auto"/>
                      <w:sz w:val="18"/>
                      <w:szCs w:val="18"/>
                      <w:vertAlign w:val="baseline"/>
                      <w:lang w:val="en-US" w:eastAsia="zh-CN"/>
                    </w:rPr>
                    <w:t>/</w:t>
                  </w:r>
                </w:p>
              </w:tc>
              <w:tc>
                <w:tcPr>
                  <w:tcW w:w="500" w:type="pct"/>
                  <w:vAlign w:val="center"/>
                </w:tcPr>
                <w:p w14:paraId="3AAAB455">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97</w:t>
                  </w:r>
                </w:p>
              </w:tc>
              <w:tc>
                <w:tcPr>
                  <w:tcW w:w="500" w:type="pct"/>
                  <w:vMerge w:val="restart"/>
                  <w:vAlign w:val="center"/>
                </w:tcPr>
                <w:p w14:paraId="29031CD8">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sz w:val="18"/>
                      <w:szCs w:val="18"/>
                      <w:vertAlign w:val="baseline"/>
                      <w:lang w:val="zh-CN"/>
                    </w:rPr>
                  </w:pPr>
                  <w:r>
                    <w:rPr>
                      <w:rFonts w:hint="eastAsia"/>
                      <w:color w:val="auto"/>
                      <w:sz w:val="18"/>
                      <w:szCs w:val="18"/>
                      <w:vertAlign w:val="baseline"/>
                      <w:lang w:val="zh-CN"/>
                    </w:rPr>
                    <w:t>UASB</w:t>
                  </w:r>
                  <w:r>
                    <w:rPr>
                      <w:rFonts w:hint="eastAsia"/>
                      <w:color w:val="auto"/>
                      <w:sz w:val="18"/>
                      <w:szCs w:val="18"/>
                      <w:vertAlign w:val="baseline"/>
                      <w:lang w:val="en-US" w:eastAsia="zh-CN"/>
                    </w:rPr>
                    <w:t>+</w:t>
                  </w:r>
                  <w:r>
                    <w:rPr>
                      <w:rFonts w:hint="eastAsia"/>
                      <w:color w:val="auto"/>
                      <w:sz w:val="18"/>
                      <w:szCs w:val="18"/>
                      <w:vertAlign w:val="baseline"/>
                      <w:lang w:val="zh-CN"/>
                    </w:rPr>
                    <w:t>好氧</w:t>
                  </w:r>
                </w:p>
              </w:tc>
              <w:tc>
                <w:tcPr>
                  <w:tcW w:w="500" w:type="pct"/>
                  <w:vMerge w:val="restart"/>
                  <w:vAlign w:val="center"/>
                </w:tcPr>
                <w:p w14:paraId="00163C8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sz w:val="18"/>
                      <w:szCs w:val="18"/>
                      <w:vertAlign w:val="baseline"/>
                      <w:lang w:val="zh-CN"/>
                    </w:rPr>
                  </w:pPr>
                  <w:r>
                    <w:rPr>
                      <w:rFonts w:hint="eastAsia"/>
                      <w:color w:val="auto"/>
                      <w:sz w:val="18"/>
                      <w:szCs w:val="18"/>
                      <w:vertAlign w:val="baseline"/>
                      <w:lang w:val="zh-CN"/>
                    </w:rPr>
                    <w:t>3500</w:t>
                  </w:r>
                </w:p>
              </w:tc>
            </w:tr>
            <w:tr w14:paraId="08BD9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pct"/>
                  <w:vMerge w:val="continue"/>
                  <w:vAlign w:val="center"/>
                </w:tcPr>
                <w:p w14:paraId="0057875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sz w:val="18"/>
                      <w:szCs w:val="18"/>
                      <w:vertAlign w:val="baseline"/>
                      <w:lang w:val="zh-CN"/>
                    </w:rPr>
                  </w:pPr>
                </w:p>
              </w:tc>
              <w:tc>
                <w:tcPr>
                  <w:tcW w:w="565" w:type="pct"/>
                  <w:vAlign w:val="center"/>
                </w:tcPr>
                <w:p w14:paraId="3724782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eastAsia="宋体"/>
                      <w:color w:val="auto"/>
                      <w:sz w:val="18"/>
                      <w:szCs w:val="18"/>
                      <w:vertAlign w:val="baseline"/>
                      <w:lang w:val="en-US" w:eastAsia="zh-CN"/>
                    </w:rPr>
                  </w:pPr>
                  <w:r>
                    <w:rPr>
                      <w:rFonts w:hint="eastAsia"/>
                      <w:color w:val="auto"/>
                      <w:sz w:val="18"/>
                      <w:szCs w:val="18"/>
                      <w:vertAlign w:val="baseline"/>
                      <w:lang w:val="en-US" w:eastAsia="zh-CN"/>
                    </w:rPr>
                    <w:t>出水</w:t>
                  </w:r>
                </w:p>
              </w:tc>
              <w:tc>
                <w:tcPr>
                  <w:tcW w:w="459" w:type="pct"/>
                  <w:vAlign w:val="center"/>
                </w:tcPr>
                <w:p w14:paraId="473F59F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87</w:t>
                  </w:r>
                </w:p>
              </w:tc>
              <w:tc>
                <w:tcPr>
                  <w:tcW w:w="538" w:type="pct"/>
                  <w:vAlign w:val="center"/>
                </w:tcPr>
                <w:p w14:paraId="213D9B2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21.6</w:t>
                  </w:r>
                </w:p>
              </w:tc>
              <w:tc>
                <w:tcPr>
                  <w:tcW w:w="465" w:type="pct"/>
                  <w:vAlign w:val="center"/>
                </w:tcPr>
                <w:p w14:paraId="5B3C0B9D">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70</w:t>
                  </w:r>
                </w:p>
              </w:tc>
              <w:tc>
                <w:tcPr>
                  <w:tcW w:w="368" w:type="pct"/>
                  <w:vAlign w:val="center"/>
                </w:tcPr>
                <w:p w14:paraId="774D6875">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7.8</w:t>
                  </w:r>
                </w:p>
              </w:tc>
              <w:tc>
                <w:tcPr>
                  <w:tcW w:w="500" w:type="pct"/>
                  <w:vAlign w:val="center"/>
                </w:tcPr>
                <w:p w14:paraId="2608AB0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eastAsia="宋体"/>
                      <w:color w:val="auto"/>
                      <w:sz w:val="18"/>
                      <w:szCs w:val="18"/>
                      <w:vertAlign w:val="baseline"/>
                      <w:lang w:val="en-US" w:eastAsia="zh-CN"/>
                    </w:rPr>
                  </w:pPr>
                  <w:r>
                    <w:rPr>
                      <w:rFonts w:hint="eastAsia"/>
                      <w:color w:val="auto"/>
                      <w:sz w:val="18"/>
                      <w:szCs w:val="18"/>
                      <w:vertAlign w:val="baseline"/>
                      <w:lang w:val="en-US" w:eastAsia="zh-CN"/>
                    </w:rPr>
                    <w:t>/</w:t>
                  </w:r>
                </w:p>
              </w:tc>
              <w:tc>
                <w:tcPr>
                  <w:tcW w:w="500" w:type="pct"/>
                  <w:vAlign w:val="center"/>
                </w:tcPr>
                <w:p w14:paraId="5668A9E2">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40</w:t>
                  </w:r>
                </w:p>
              </w:tc>
              <w:tc>
                <w:tcPr>
                  <w:tcW w:w="500" w:type="pct"/>
                  <w:vMerge w:val="continue"/>
                  <w:vAlign w:val="center"/>
                </w:tcPr>
                <w:p w14:paraId="5FF5B3D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sz w:val="18"/>
                      <w:szCs w:val="18"/>
                      <w:vertAlign w:val="baseline"/>
                      <w:lang w:val="zh-CN"/>
                    </w:rPr>
                  </w:pPr>
                </w:p>
              </w:tc>
              <w:tc>
                <w:tcPr>
                  <w:tcW w:w="500" w:type="pct"/>
                  <w:vMerge w:val="continue"/>
                  <w:vAlign w:val="center"/>
                </w:tcPr>
                <w:p w14:paraId="1A328845">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sz w:val="18"/>
                      <w:szCs w:val="18"/>
                      <w:vertAlign w:val="baseline"/>
                      <w:lang w:val="zh-CN"/>
                    </w:rPr>
                  </w:pPr>
                </w:p>
              </w:tc>
            </w:tr>
            <w:tr w14:paraId="2A7BA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pct"/>
                  <w:vMerge w:val="restart"/>
                  <w:vAlign w:val="center"/>
                </w:tcPr>
                <w:p w14:paraId="7FD165E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xx药业xx制药厂</w:t>
                  </w:r>
                </w:p>
              </w:tc>
              <w:tc>
                <w:tcPr>
                  <w:tcW w:w="565" w:type="pct"/>
                  <w:shd w:val="clear" w:color="auto" w:fill="auto"/>
                  <w:vAlign w:val="center"/>
                </w:tcPr>
                <w:p w14:paraId="550216B4">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18"/>
                      <w:szCs w:val="18"/>
                      <w:vertAlign w:val="baseline"/>
                      <w:lang w:val="zh-CN" w:eastAsia="zh-CN" w:bidi="ar-SA"/>
                    </w:rPr>
                  </w:pPr>
                  <w:r>
                    <w:rPr>
                      <w:rFonts w:hint="eastAsia"/>
                      <w:color w:val="auto"/>
                      <w:sz w:val="18"/>
                      <w:szCs w:val="18"/>
                      <w:vertAlign w:val="baseline"/>
                      <w:lang w:val="en-US" w:eastAsia="zh-CN"/>
                    </w:rPr>
                    <w:t>进水</w:t>
                  </w:r>
                </w:p>
              </w:tc>
              <w:tc>
                <w:tcPr>
                  <w:tcW w:w="459" w:type="pct"/>
                  <w:vAlign w:val="center"/>
                </w:tcPr>
                <w:p w14:paraId="5FE13A7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63.9</w:t>
                  </w:r>
                </w:p>
              </w:tc>
              <w:tc>
                <w:tcPr>
                  <w:tcW w:w="538" w:type="pct"/>
                  <w:vAlign w:val="center"/>
                </w:tcPr>
                <w:p w14:paraId="5426CC4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29.3</w:t>
                  </w:r>
                </w:p>
              </w:tc>
              <w:tc>
                <w:tcPr>
                  <w:tcW w:w="465" w:type="pct"/>
                  <w:vAlign w:val="center"/>
                </w:tcPr>
                <w:p w14:paraId="530BBE12">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31</w:t>
                  </w:r>
                </w:p>
              </w:tc>
              <w:tc>
                <w:tcPr>
                  <w:tcW w:w="368" w:type="pct"/>
                  <w:vAlign w:val="center"/>
                </w:tcPr>
                <w:p w14:paraId="06C7031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6.6</w:t>
                  </w:r>
                </w:p>
              </w:tc>
              <w:tc>
                <w:tcPr>
                  <w:tcW w:w="500" w:type="pct"/>
                  <w:vAlign w:val="center"/>
                </w:tcPr>
                <w:p w14:paraId="6181D5F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28.2</w:t>
                  </w:r>
                </w:p>
              </w:tc>
              <w:tc>
                <w:tcPr>
                  <w:tcW w:w="500" w:type="pct"/>
                  <w:vAlign w:val="center"/>
                </w:tcPr>
                <w:p w14:paraId="1651B19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eastAsia="宋体"/>
                      <w:color w:val="auto"/>
                      <w:sz w:val="18"/>
                      <w:szCs w:val="18"/>
                      <w:vertAlign w:val="baseline"/>
                      <w:lang w:val="en-US" w:eastAsia="zh-CN"/>
                    </w:rPr>
                  </w:pPr>
                  <w:r>
                    <w:rPr>
                      <w:rFonts w:hint="eastAsia"/>
                      <w:color w:val="auto"/>
                      <w:sz w:val="18"/>
                      <w:szCs w:val="18"/>
                      <w:vertAlign w:val="baseline"/>
                      <w:lang w:val="en-US" w:eastAsia="zh-CN"/>
                    </w:rPr>
                    <w:t>/</w:t>
                  </w:r>
                </w:p>
              </w:tc>
              <w:tc>
                <w:tcPr>
                  <w:tcW w:w="500" w:type="pct"/>
                  <w:vMerge w:val="restart"/>
                  <w:vAlign w:val="center"/>
                </w:tcPr>
                <w:p w14:paraId="57C42D40">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厌氧滤池+接触氧化</w:t>
                  </w:r>
                </w:p>
              </w:tc>
              <w:tc>
                <w:tcPr>
                  <w:tcW w:w="500" w:type="pct"/>
                  <w:vMerge w:val="restart"/>
                  <w:vAlign w:val="center"/>
                </w:tcPr>
                <w:p w14:paraId="5D63589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500</w:t>
                  </w:r>
                </w:p>
              </w:tc>
            </w:tr>
            <w:tr w14:paraId="6B9D3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pct"/>
                  <w:vMerge w:val="continue"/>
                  <w:vAlign w:val="center"/>
                </w:tcPr>
                <w:p w14:paraId="626F9194">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sz w:val="18"/>
                      <w:szCs w:val="18"/>
                      <w:vertAlign w:val="baseline"/>
                      <w:lang w:val="zh-CN"/>
                    </w:rPr>
                  </w:pPr>
                </w:p>
              </w:tc>
              <w:tc>
                <w:tcPr>
                  <w:tcW w:w="565" w:type="pct"/>
                  <w:shd w:val="clear" w:color="auto" w:fill="auto"/>
                  <w:vAlign w:val="center"/>
                </w:tcPr>
                <w:p w14:paraId="404DF33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18"/>
                      <w:szCs w:val="18"/>
                      <w:vertAlign w:val="baseline"/>
                      <w:lang w:val="zh-CN" w:eastAsia="zh-CN" w:bidi="ar-SA"/>
                    </w:rPr>
                  </w:pPr>
                  <w:r>
                    <w:rPr>
                      <w:rFonts w:hint="eastAsia"/>
                      <w:color w:val="auto"/>
                      <w:sz w:val="18"/>
                      <w:szCs w:val="18"/>
                      <w:vertAlign w:val="baseline"/>
                      <w:lang w:val="en-US" w:eastAsia="zh-CN"/>
                    </w:rPr>
                    <w:t>出水</w:t>
                  </w:r>
                </w:p>
              </w:tc>
              <w:tc>
                <w:tcPr>
                  <w:tcW w:w="459" w:type="pct"/>
                  <w:vAlign w:val="center"/>
                </w:tcPr>
                <w:p w14:paraId="55AEC690">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16.2</w:t>
                  </w:r>
                </w:p>
              </w:tc>
              <w:tc>
                <w:tcPr>
                  <w:tcW w:w="538" w:type="pct"/>
                  <w:vAlign w:val="center"/>
                </w:tcPr>
                <w:p w14:paraId="31713D2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2.7</w:t>
                  </w:r>
                </w:p>
              </w:tc>
              <w:tc>
                <w:tcPr>
                  <w:tcW w:w="465" w:type="pct"/>
                  <w:vAlign w:val="center"/>
                </w:tcPr>
                <w:p w14:paraId="307FF51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6.4</w:t>
                  </w:r>
                </w:p>
              </w:tc>
              <w:tc>
                <w:tcPr>
                  <w:tcW w:w="368" w:type="pct"/>
                  <w:vAlign w:val="center"/>
                </w:tcPr>
                <w:p w14:paraId="0FF2F53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6.5</w:t>
                  </w:r>
                </w:p>
              </w:tc>
              <w:tc>
                <w:tcPr>
                  <w:tcW w:w="500" w:type="pct"/>
                  <w:vAlign w:val="center"/>
                </w:tcPr>
                <w:p w14:paraId="180C032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9.21</w:t>
                  </w:r>
                </w:p>
              </w:tc>
              <w:tc>
                <w:tcPr>
                  <w:tcW w:w="500" w:type="pct"/>
                  <w:vAlign w:val="center"/>
                </w:tcPr>
                <w:p w14:paraId="3E6ACD90">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eastAsia="宋体"/>
                      <w:color w:val="auto"/>
                      <w:sz w:val="18"/>
                      <w:szCs w:val="18"/>
                      <w:vertAlign w:val="baseline"/>
                      <w:lang w:val="en-US" w:eastAsia="zh-CN"/>
                    </w:rPr>
                  </w:pPr>
                  <w:r>
                    <w:rPr>
                      <w:rFonts w:hint="eastAsia"/>
                      <w:color w:val="auto"/>
                      <w:sz w:val="18"/>
                      <w:szCs w:val="18"/>
                      <w:vertAlign w:val="baseline"/>
                      <w:lang w:val="en-US" w:eastAsia="zh-CN"/>
                    </w:rPr>
                    <w:t>/</w:t>
                  </w:r>
                </w:p>
              </w:tc>
              <w:tc>
                <w:tcPr>
                  <w:tcW w:w="500" w:type="pct"/>
                  <w:vMerge w:val="continue"/>
                  <w:vAlign w:val="center"/>
                </w:tcPr>
                <w:p w14:paraId="6CFFA2BD">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sz w:val="18"/>
                      <w:szCs w:val="18"/>
                      <w:vertAlign w:val="baseline"/>
                      <w:lang w:val="zh-CN"/>
                    </w:rPr>
                  </w:pPr>
                </w:p>
              </w:tc>
              <w:tc>
                <w:tcPr>
                  <w:tcW w:w="500" w:type="pct"/>
                  <w:vMerge w:val="continue"/>
                  <w:vAlign w:val="center"/>
                </w:tcPr>
                <w:p w14:paraId="6B5023E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sz w:val="18"/>
                      <w:szCs w:val="18"/>
                      <w:vertAlign w:val="baseline"/>
                      <w:lang w:val="zh-CN"/>
                    </w:rPr>
                  </w:pPr>
                </w:p>
              </w:tc>
            </w:tr>
            <w:tr w14:paraId="09158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pct"/>
                  <w:vMerge w:val="restart"/>
                  <w:vAlign w:val="center"/>
                </w:tcPr>
                <w:p w14:paraId="650793A8">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黄山市xx药业有限公司</w:t>
                  </w:r>
                </w:p>
              </w:tc>
              <w:tc>
                <w:tcPr>
                  <w:tcW w:w="565" w:type="pct"/>
                  <w:shd w:val="clear" w:color="auto" w:fill="auto"/>
                  <w:vAlign w:val="center"/>
                </w:tcPr>
                <w:p w14:paraId="6964CE9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18"/>
                      <w:szCs w:val="18"/>
                      <w:vertAlign w:val="baseline"/>
                      <w:lang w:val="zh-CN" w:eastAsia="zh-CN" w:bidi="ar-SA"/>
                    </w:rPr>
                  </w:pPr>
                  <w:r>
                    <w:rPr>
                      <w:rFonts w:hint="eastAsia"/>
                      <w:color w:val="auto"/>
                      <w:sz w:val="18"/>
                      <w:szCs w:val="18"/>
                      <w:vertAlign w:val="baseline"/>
                      <w:lang w:val="en-US" w:eastAsia="zh-CN"/>
                    </w:rPr>
                    <w:t>进水</w:t>
                  </w:r>
                </w:p>
              </w:tc>
              <w:tc>
                <w:tcPr>
                  <w:tcW w:w="459" w:type="pct"/>
                  <w:vAlign w:val="center"/>
                </w:tcPr>
                <w:p w14:paraId="2ADC6B1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96</w:t>
                  </w:r>
                </w:p>
              </w:tc>
              <w:tc>
                <w:tcPr>
                  <w:tcW w:w="538" w:type="pct"/>
                  <w:vAlign w:val="center"/>
                </w:tcPr>
                <w:p w14:paraId="3E88CC88">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56.5</w:t>
                  </w:r>
                </w:p>
              </w:tc>
              <w:tc>
                <w:tcPr>
                  <w:tcW w:w="465" w:type="pct"/>
                  <w:vAlign w:val="center"/>
                </w:tcPr>
                <w:p w14:paraId="747B332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45</w:t>
                  </w:r>
                </w:p>
              </w:tc>
              <w:tc>
                <w:tcPr>
                  <w:tcW w:w="368" w:type="pct"/>
                  <w:vAlign w:val="center"/>
                </w:tcPr>
                <w:p w14:paraId="2F3D6B2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7.2</w:t>
                  </w:r>
                </w:p>
              </w:tc>
              <w:tc>
                <w:tcPr>
                  <w:tcW w:w="500" w:type="pct"/>
                  <w:vAlign w:val="center"/>
                </w:tcPr>
                <w:p w14:paraId="1AC1EBE8">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sz w:val="18"/>
                      <w:szCs w:val="18"/>
                      <w:vertAlign w:val="baseline"/>
                      <w:lang w:val="zh-CN"/>
                    </w:rPr>
                  </w:pPr>
                  <w:r>
                    <w:rPr>
                      <w:rFonts w:hint="eastAsia"/>
                      <w:color w:val="auto"/>
                      <w:sz w:val="18"/>
                      <w:szCs w:val="18"/>
                      <w:vertAlign w:val="baseline"/>
                      <w:lang w:val="en-US" w:eastAsia="zh-CN"/>
                    </w:rPr>
                    <w:t>/</w:t>
                  </w:r>
                </w:p>
              </w:tc>
              <w:tc>
                <w:tcPr>
                  <w:tcW w:w="500" w:type="pct"/>
                  <w:vAlign w:val="center"/>
                </w:tcPr>
                <w:p w14:paraId="44B886A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sz w:val="18"/>
                      <w:szCs w:val="18"/>
                      <w:vertAlign w:val="baseline"/>
                      <w:lang w:val="zh-CN"/>
                    </w:rPr>
                  </w:pPr>
                  <w:r>
                    <w:rPr>
                      <w:rFonts w:hint="eastAsia"/>
                      <w:color w:val="auto"/>
                      <w:sz w:val="18"/>
                      <w:szCs w:val="18"/>
                      <w:vertAlign w:val="baseline"/>
                      <w:lang w:val="en-US" w:eastAsia="zh-CN"/>
                    </w:rPr>
                    <w:t>/</w:t>
                  </w:r>
                </w:p>
              </w:tc>
              <w:tc>
                <w:tcPr>
                  <w:tcW w:w="500" w:type="pct"/>
                  <w:vMerge w:val="restart"/>
                  <w:vAlign w:val="center"/>
                </w:tcPr>
                <w:p w14:paraId="59CCAB5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水解+好氧</w:t>
                  </w:r>
                </w:p>
              </w:tc>
              <w:tc>
                <w:tcPr>
                  <w:tcW w:w="500" w:type="pct"/>
                  <w:vMerge w:val="restart"/>
                  <w:vAlign w:val="center"/>
                </w:tcPr>
                <w:p w14:paraId="7E8FA2F2">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300</w:t>
                  </w:r>
                </w:p>
              </w:tc>
            </w:tr>
            <w:tr w14:paraId="33588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pct"/>
                  <w:vMerge w:val="continue"/>
                  <w:vAlign w:val="center"/>
                </w:tcPr>
                <w:p w14:paraId="7143CFF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sz w:val="18"/>
                      <w:szCs w:val="18"/>
                      <w:vertAlign w:val="baseline"/>
                      <w:lang w:val="zh-CN"/>
                    </w:rPr>
                  </w:pPr>
                </w:p>
              </w:tc>
              <w:tc>
                <w:tcPr>
                  <w:tcW w:w="565" w:type="pct"/>
                  <w:shd w:val="clear" w:color="auto" w:fill="auto"/>
                  <w:vAlign w:val="center"/>
                </w:tcPr>
                <w:p w14:paraId="5CB7902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18"/>
                      <w:szCs w:val="18"/>
                      <w:vertAlign w:val="baseline"/>
                      <w:lang w:val="zh-CN" w:eastAsia="zh-CN" w:bidi="ar-SA"/>
                    </w:rPr>
                  </w:pPr>
                  <w:r>
                    <w:rPr>
                      <w:rFonts w:hint="eastAsia"/>
                      <w:color w:val="auto"/>
                      <w:sz w:val="18"/>
                      <w:szCs w:val="18"/>
                      <w:vertAlign w:val="baseline"/>
                      <w:lang w:val="en-US" w:eastAsia="zh-CN"/>
                    </w:rPr>
                    <w:t>出水</w:t>
                  </w:r>
                </w:p>
              </w:tc>
              <w:tc>
                <w:tcPr>
                  <w:tcW w:w="459" w:type="pct"/>
                  <w:vAlign w:val="center"/>
                </w:tcPr>
                <w:p w14:paraId="7E28B90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19</w:t>
                  </w:r>
                </w:p>
              </w:tc>
              <w:tc>
                <w:tcPr>
                  <w:tcW w:w="538" w:type="pct"/>
                  <w:vAlign w:val="center"/>
                </w:tcPr>
                <w:p w14:paraId="56256455">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12.2</w:t>
                  </w:r>
                </w:p>
              </w:tc>
              <w:tc>
                <w:tcPr>
                  <w:tcW w:w="465" w:type="pct"/>
                  <w:vAlign w:val="center"/>
                </w:tcPr>
                <w:p w14:paraId="24F3186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30</w:t>
                  </w:r>
                </w:p>
              </w:tc>
              <w:tc>
                <w:tcPr>
                  <w:tcW w:w="368" w:type="pct"/>
                  <w:vAlign w:val="center"/>
                </w:tcPr>
                <w:p w14:paraId="7486C16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7.4</w:t>
                  </w:r>
                </w:p>
              </w:tc>
              <w:tc>
                <w:tcPr>
                  <w:tcW w:w="500" w:type="pct"/>
                  <w:vAlign w:val="center"/>
                </w:tcPr>
                <w:p w14:paraId="6D71552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sz w:val="18"/>
                      <w:szCs w:val="18"/>
                      <w:vertAlign w:val="baseline"/>
                      <w:lang w:val="zh-CN"/>
                    </w:rPr>
                  </w:pPr>
                  <w:r>
                    <w:rPr>
                      <w:rFonts w:hint="eastAsia"/>
                      <w:color w:val="auto"/>
                      <w:sz w:val="18"/>
                      <w:szCs w:val="18"/>
                      <w:vertAlign w:val="baseline"/>
                      <w:lang w:val="en-US" w:eastAsia="zh-CN"/>
                    </w:rPr>
                    <w:t>/</w:t>
                  </w:r>
                </w:p>
              </w:tc>
              <w:tc>
                <w:tcPr>
                  <w:tcW w:w="500" w:type="pct"/>
                  <w:vAlign w:val="center"/>
                </w:tcPr>
                <w:p w14:paraId="528C5B6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sz w:val="18"/>
                      <w:szCs w:val="18"/>
                      <w:vertAlign w:val="baseline"/>
                      <w:lang w:val="zh-CN"/>
                    </w:rPr>
                  </w:pPr>
                  <w:r>
                    <w:rPr>
                      <w:rFonts w:hint="eastAsia"/>
                      <w:color w:val="auto"/>
                      <w:sz w:val="18"/>
                      <w:szCs w:val="18"/>
                      <w:vertAlign w:val="baseline"/>
                      <w:lang w:val="en-US" w:eastAsia="zh-CN"/>
                    </w:rPr>
                    <w:t>/</w:t>
                  </w:r>
                </w:p>
              </w:tc>
              <w:tc>
                <w:tcPr>
                  <w:tcW w:w="500" w:type="pct"/>
                  <w:vMerge w:val="continue"/>
                  <w:vAlign w:val="center"/>
                </w:tcPr>
                <w:p w14:paraId="1D2A02D5">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sz w:val="18"/>
                      <w:szCs w:val="18"/>
                      <w:vertAlign w:val="baseline"/>
                      <w:lang w:val="zh-CN"/>
                    </w:rPr>
                  </w:pPr>
                </w:p>
              </w:tc>
              <w:tc>
                <w:tcPr>
                  <w:tcW w:w="500" w:type="pct"/>
                  <w:vMerge w:val="continue"/>
                  <w:vAlign w:val="center"/>
                </w:tcPr>
                <w:p w14:paraId="1C5A0C7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sz w:val="18"/>
                      <w:szCs w:val="18"/>
                      <w:vertAlign w:val="baseline"/>
                      <w:lang w:val="zh-CN"/>
                    </w:rPr>
                  </w:pPr>
                </w:p>
              </w:tc>
            </w:tr>
            <w:tr w14:paraId="5E26C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601" w:type="pct"/>
                  <w:vMerge w:val="restart"/>
                  <w:vAlign w:val="center"/>
                </w:tcPr>
                <w:p w14:paraId="77465FB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黑龙江xx药业股份有限公司</w:t>
                  </w:r>
                </w:p>
              </w:tc>
              <w:tc>
                <w:tcPr>
                  <w:tcW w:w="565" w:type="pct"/>
                  <w:vAlign w:val="center"/>
                </w:tcPr>
                <w:p w14:paraId="07AB13A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sz w:val="18"/>
                      <w:szCs w:val="18"/>
                      <w:vertAlign w:val="baseline"/>
                      <w:lang w:val="zh-CN"/>
                    </w:rPr>
                  </w:pPr>
                  <w:r>
                    <w:rPr>
                      <w:rFonts w:hint="eastAsia"/>
                      <w:color w:val="auto"/>
                      <w:sz w:val="18"/>
                      <w:szCs w:val="18"/>
                      <w:vertAlign w:val="baseline"/>
                      <w:lang w:val="en-US" w:eastAsia="zh-CN"/>
                    </w:rPr>
                    <w:t>进水</w:t>
                  </w:r>
                </w:p>
              </w:tc>
              <w:tc>
                <w:tcPr>
                  <w:tcW w:w="459" w:type="pct"/>
                  <w:vAlign w:val="center"/>
                </w:tcPr>
                <w:p w14:paraId="540E97F0">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2536</w:t>
                  </w:r>
                </w:p>
              </w:tc>
              <w:tc>
                <w:tcPr>
                  <w:tcW w:w="538" w:type="pct"/>
                  <w:vAlign w:val="center"/>
                </w:tcPr>
                <w:p w14:paraId="2DEB90E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1260</w:t>
                  </w:r>
                </w:p>
              </w:tc>
              <w:tc>
                <w:tcPr>
                  <w:tcW w:w="465" w:type="pct"/>
                  <w:vAlign w:val="center"/>
                </w:tcPr>
                <w:p w14:paraId="2E079C64">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560</w:t>
                  </w:r>
                </w:p>
              </w:tc>
              <w:tc>
                <w:tcPr>
                  <w:tcW w:w="368" w:type="pct"/>
                  <w:vAlign w:val="center"/>
                </w:tcPr>
                <w:p w14:paraId="78213F8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6.6</w:t>
                  </w:r>
                </w:p>
              </w:tc>
              <w:tc>
                <w:tcPr>
                  <w:tcW w:w="500" w:type="pct"/>
                  <w:vAlign w:val="center"/>
                </w:tcPr>
                <w:p w14:paraId="61E5BAC8">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sz w:val="18"/>
                      <w:szCs w:val="18"/>
                      <w:vertAlign w:val="baseline"/>
                      <w:lang w:val="zh-CN"/>
                    </w:rPr>
                  </w:pPr>
                  <w:r>
                    <w:rPr>
                      <w:rFonts w:hint="eastAsia"/>
                      <w:color w:val="auto"/>
                      <w:sz w:val="18"/>
                      <w:szCs w:val="18"/>
                      <w:vertAlign w:val="baseline"/>
                      <w:lang w:val="en-US" w:eastAsia="zh-CN"/>
                    </w:rPr>
                    <w:t>/</w:t>
                  </w:r>
                </w:p>
              </w:tc>
              <w:tc>
                <w:tcPr>
                  <w:tcW w:w="500" w:type="pct"/>
                  <w:vAlign w:val="center"/>
                </w:tcPr>
                <w:p w14:paraId="37994525">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sz w:val="18"/>
                      <w:szCs w:val="18"/>
                      <w:vertAlign w:val="baseline"/>
                      <w:lang w:val="zh-CN"/>
                    </w:rPr>
                  </w:pPr>
                  <w:r>
                    <w:rPr>
                      <w:rFonts w:hint="eastAsia"/>
                      <w:color w:val="auto"/>
                      <w:sz w:val="18"/>
                      <w:szCs w:val="18"/>
                      <w:vertAlign w:val="baseline"/>
                      <w:lang w:val="en-US" w:eastAsia="zh-CN"/>
                    </w:rPr>
                    <w:t>/</w:t>
                  </w:r>
                </w:p>
              </w:tc>
              <w:tc>
                <w:tcPr>
                  <w:tcW w:w="500" w:type="pct"/>
                  <w:vMerge w:val="restart"/>
                  <w:vAlign w:val="center"/>
                </w:tcPr>
                <w:p w14:paraId="2D4A23AD">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sz w:val="18"/>
                      <w:szCs w:val="18"/>
                      <w:vertAlign w:val="baseline"/>
                      <w:lang w:val="zh-CN"/>
                    </w:rPr>
                  </w:pPr>
                  <w:r>
                    <w:rPr>
                      <w:rFonts w:hint="eastAsia"/>
                      <w:color w:val="auto"/>
                      <w:sz w:val="18"/>
                      <w:szCs w:val="18"/>
                      <w:vertAlign w:val="baseline"/>
                      <w:lang w:val="zh-CN"/>
                    </w:rPr>
                    <w:t>UASB</w:t>
                  </w:r>
                  <w:r>
                    <w:rPr>
                      <w:rFonts w:hint="eastAsia"/>
                      <w:color w:val="auto"/>
                      <w:sz w:val="18"/>
                      <w:szCs w:val="18"/>
                      <w:vertAlign w:val="baseline"/>
                      <w:lang w:val="en-US" w:eastAsia="zh-CN"/>
                    </w:rPr>
                    <w:t>+</w:t>
                  </w:r>
                  <w:r>
                    <w:rPr>
                      <w:rFonts w:hint="eastAsia"/>
                      <w:color w:val="auto"/>
                      <w:sz w:val="18"/>
                      <w:szCs w:val="18"/>
                      <w:vertAlign w:val="baseline"/>
                      <w:lang w:val="zh-CN"/>
                    </w:rPr>
                    <w:t>好氧</w:t>
                  </w:r>
                </w:p>
              </w:tc>
              <w:tc>
                <w:tcPr>
                  <w:tcW w:w="500" w:type="pct"/>
                  <w:vMerge w:val="restart"/>
                  <w:vAlign w:val="center"/>
                </w:tcPr>
                <w:p w14:paraId="6352D6A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450</w:t>
                  </w:r>
                </w:p>
              </w:tc>
            </w:tr>
            <w:tr w14:paraId="27320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pct"/>
                  <w:vMerge w:val="continue"/>
                  <w:vAlign w:val="center"/>
                </w:tcPr>
                <w:p w14:paraId="3B8276D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sz w:val="18"/>
                      <w:szCs w:val="18"/>
                      <w:vertAlign w:val="baseline"/>
                      <w:lang w:val="zh-CN"/>
                    </w:rPr>
                  </w:pPr>
                </w:p>
              </w:tc>
              <w:tc>
                <w:tcPr>
                  <w:tcW w:w="565" w:type="pct"/>
                  <w:vAlign w:val="center"/>
                </w:tcPr>
                <w:p w14:paraId="7FFCA35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sz w:val="18"/>
                      <w:szCs w:val="18"/>
                      <w:vertAlign w:val="baseline"/>
                      <w:lang w:val="zh-CN"/>
                    </w:rPr>
                  </w:pPr>
                  <w:r>
                    <w:rPr>
                      <w:rFonts w:hint="eastAsia"/>
                      <w:color w:val="auto"/>
                      <w:sz w:val="18"/>
                      <w:szCs w:val="18"/>
                      <w:vertAlign w:val="baseline"/>
                      <w:lang w:val="en-US" w:eastAsia="zh-CN"/>
                    </w:rPr>
                    <w:t>出水</w:t>
                  </w:r>
                </w:p>
              </w:tc>
              <w:tc>
                <w:tcPr>
                  <w:tcW w:w="459" w:type="pct"/>
                  <w:vAlign w:val="center"/>
                </w:tcPr>
                <w:p w14:paraId="489DE18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3.623</w:t>
                  </w:r>
                </w:p>
              </w:tc>
              <w:tc>
                <w:tcPr>
                  <w:tcW w:w="538" w:type="pct"/>
                  <w:vAlign w:val="center"/>
                </w:tcPr>
                <w:p w14:paraId="42F7CC7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1.83</w:t>
                  </w:r>
                </w:p>
              </w:tc>
              <w:tc>
                <w:tcPr>
                  <w:tcW w:w="465" w:type="pct"/>
                  <w:vAlign w:val="center"/>
                </w:tcPr>
                <w:p w14:paraId="6D272CAD">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36</w:t>
                  </w:r>
                </w:p>
              </w:tc>
              <w:tc>
                <w:tcPr>
                  <w:tcW w:w="368" w:type="pct"/>
                  <w:vAlign w:val="center"/>
                </w:tcPr>
                <w:p w14:paraId="54B9E172">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7.2</w:t>
                  </w:r>
                </w:p>
              </w:tc>
              <w:tc>
                <w:tcPr>
                  <w:tcW w:w="500" w:type="pct"/>
                  <w:vAlign w:val="center"/>
                </w:tcPr>
                <w:p w14:paraId="6B7D8F8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sz w:val="18"/>
                      <w:szCs w:val="18"/>
                      <w:vertAlign w:val="baseline"/>
                      <w:lang w:val="zh-CN"/>
                    </w:rPr>
                  </w:pPr>
                  <w:r>
                    <w:rPr>
                      <w:rFonts w:hint="eastAsia"/>
                      <w:color w:val="auto"/>
                      <w:sz w:val="18"/>
                      <w:szCs w:val="18"/>
                      <w:vertAlign w:val="baseline"/>
                      <w:lang w:val="en-US" w:eastAsia="zh-CN"/>
                    </w:rPr>
                    <w:t>/</w:t>
                  </w:r>
                </w:p>
              </w:tc>
              <w:tc>
                <w:tcPr>
                  <w:tcW w:w="500" w:type="pct"/>
                  <w:vAlign w:val="center"/>
                </w:tcPr>
                <w:p w14:paraId="0FA3781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sz w:val="18"/>
                      <w:szCs w:val="18"/>
                      <w:vertAlign w:val="baseline"/>
                      <w:lang w:val="zh-CN"/>
                    </w:rPr>
                  </w:pPr>
                  <w:r>
                    <w:rPr>
                      <w:rFonts w:hint="eastAsia"/>
                      <w:color w:val="auto"/>
                      <w:sz w:val="18"/>
                      <w:szCs w:val="18"/>
                      <w:vertAlign w:val="baseline"/>
                      <w:lang w:val="en-US" w:eastAsia="zh-CN"/>
                    </w:rPr>
                    <w:t>/</w:t>
                  </w:r>
                </w:p>
              </w:tc>
              <w:tc>
                <w:tcPr>
                  <w:tcW w:w="500" w:type="pct"/>
                  <w:vMerge w:val="continue"/>
                  <w:vAlign w:val="center"/>
                </w:tcPr>
                <w:p w14:paraId="69ABAAA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sz w:val="18"/>
                      <w:szCs w:val="18"/>
                      <w:vertAlign w:val="baseline"/>
                      <w:lang w:val="zh-CN"/>
                    </w:rPr>
                  </w:pPr>
                </w:p>
              </w:tc>
              <w:tc>
                <w:tcPr>
                  <w:tcW w:w="500" w:type="pct"/>
                  <w:vMerge w:val="continue"/>
                  <w:vAlign w:val="center"/>
                </w:tcPr>
                <w:p w14:paraId="6454A64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sz w:val="18"/>
                      <w:szCs w:val="18"/>
                      <w:vertAlign w:val="baseline"/>
                      <w:lang w:val="zh-CN"/>
                    </w:rPr>
                  </w:pPr>
                </w:p>
              </w:tc>
            </w:tr>
            <w:tr w14:paraId="3A7DA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pct"/>
                  <w:vMerge w:val="restart"/>
                  <w:vAlign w:val="center"/>
                </w:tcPr>
                <w:p w14:paraId="4B93F0F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sz w:val="18"/>
                      <w:szCs w:val="18"/>
                      <w:vertAlign w:val="baseline"/>
                      <w:lang w:val="zh-CN"/>
                    </w:rPr>
                  </w:pPr>
                  <w:r>
                    <w:rPr>
                      <w:rFonts w:hint="eastAsia"/>
                      <w:color w:val="auto"/>
                      <w:sz w:val="18"/>
                      <w:szCs w:val="18"/>
                      <w:vertAlign w:val="baseline"/>
                      <w:lang w:val="zh-CN"/>
                    </w:rPr>
                    <w:t>××制药集团</w:t>
                  </w:r>
                </w:p>
                <w:p w14:paraId="39F8210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sz w:val="18"/>
                      <w:szCs w:val="18"/>
                      <w:vertAlign w:val="baseline"/>
                      <w:lang w:val="zh-CN"/>
                    </w:rPr>
                  </w:pPr>
                  <w:r>
                    <w:rPr>
                      <w:rFonts w:hint="eastAsia"/>
                      <w:color w:val="auto"/>
                      <w:sz w:val="18"/>
                      <w:szCs w:val="18"/>
                      <w:vertAlign w:val="baseline"/>
                      <w:lang w:val="zh-CN"/>
                    </w:rPr>
                    <w:t>制剂有限公司</w:t>
                  </w:r>
                </w:p>
              </w:tc>
              <w:tc>
                <w:tcPr>
                  <w:tcW w:w="565" w:type="pct"/>
                  <w:shd w:val="clear" w:color="auto" w:fill="auto"/>
                  <w:vAlign w:val="center"/>
                </w:tcPr>
                <w:p w14:paraId="639832F2">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18"/>
                      <w:szCs w:val="18"/>
                      <w:vertAlign w:val="baseline"/>
                      <w:lang w:val="zh-CN" w:eastAsia="zh-CN" w:bidi="ar-SA"/>
                    </w:rPr>
                  </w:pPr>
                  <w:r>
                    <w:rPr>
                      <w:rFonts w:hint="eastAsia"/>
                      <w:color w:val="auto"/>
                      <w:sz w:val="18"/>
                      <w:szCs w:val="18"/>
                      <w:vertAlign w:val="baseline"/>
                      <w:lang w:val="en-US" w:eastAsia="zh-CN"/>
                    </w:rPr>
                    <w:t>进水</w:t>
                  </w:r>
                </w:p>
              </w:tc>
              <w:tc>
                <w:tcPr>
                  <w:tcW w:w="459" w:type="pct"/>
                  <w:vAlign w:val="center"/>
                </w:tcPr>
                <w:p w14:paraId="64B7611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576</w:t>
                  </w:r>
                </w:p>
              </w:tc>
              <w:tc>
                <w:tcPr>
                  <w:tcW w:w="538" w:type="pct"/>
                  <w:vAlign w:val="center"/>
                </w:tcPr>
                <w:p w14:paraId="3C26786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296</w:t>
                  </w:r>
                </w:p>
              </w:tc>
              <w:tc>
                <w:tcPr>
                  <w:tcW w:w="465" w:type="pct"/>
                  <w:vAlign w:val="center"/>
                </w:tcPr>
                <w:p w14:paraId="20B7A704">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200</w:t>
                  </w:r>
                </w:p>
              </w:tc>
              <w:tc>
                <w:tcPr>
                  <w:tcW w:w="368" w:type="pct"/>
                  <w:vAlign w:val="center"/>
                </w:tcPr>
                <w:p w14:paraId="4E0EDEF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6-9</w:t>
                  </w:r>
                </w:p>
              </w:tc>
              <w:tc>
                <w:tcPr>
                  <w:tcW w:w="500" w:type="pct"/>
                  <w:vAlign w:val="center"/>
                </w:tcPr>
                <w:p w14:paraId="4ACC9CB5">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sz w:val="18"/>
                      <w:szCs w:val="18"/>
                      <w:vertAlign w:val="baseline"/>
                      <w:lang w:val="zh-CN"/>
                    </w:rPr>
                  </w:pPr>
                  <w:r>
                    <w:rPr>
                      <w:rFonts w:hint="eastAsia"/>
                      <w:color w:val="auto"/>
                      <w:sz w:val="18"/>
                      <w:szCs w:val="18"/>
                      <w:vertAlign w:val="baseline"/>
                      <w:lang w:val="en-US" w:eastAsia="zh-CN"/>
                    </w:rPr>
                    <w:t>/</w:t>
                  </w:r>
                </w:p>
              </w:tc>
              <w:tc>
                <w:tcPr>
                  <w:tcW w:w="500" w:type="pct"/>
                  <w:vAlign w:val="center"/>
                </w:tcPr>
                <w:p w14:paraId="1D143B45">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sz w:val="18"/>
                      <w:szCs w:val="18"/>
                      <w:vertAlign w:val="baseline"/>
                      <w:lang w:val="zh-CN"/>
                    </w:rPr>
                  </w:pPr>
                  <w:r>
                    <w:rPr>
                      <w:rFonts w:hint="eastAsia"/>
                      <w:color w:val="auto"/>
                      <w:sz w:val="18"/>
                      <w:szCs w:val="18"/>
                      <w:vertAlign w:val="baseline"/>
                      <w:lang w:val="en-US" w:eastAsia="zh-CN"/>
                    </w:rPr>
                    <w:t>/</w:t>
                  </w:r>
                </w:p>
              </w:tc>
              <w:tc>
                <w:tcPr>
                  <w:tcW w:w="500" w:type="pct"/>
                  <w:vMerge w:val="restart"/>
                  <w:vAlign w:val="center"/>
                </w:tcPr>
                <w:p w14:paraId="420498B4">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sz w:val="18"/>
                      <w:szCs w:val="18"/>
                      <w:vertAlign w:val="baseline"/>
                      <w:lang w:val="zh-CN"/>
                    </w:rPr>
                  </w:pPr>
                  <w:r>
                    <w:rPr>
                      <w:rFonts w:hint="eastAsia"/>
                      <w:color w:val="auto"/>
                      <w:sz w:val="18"/>
                      <w:szCs w:val="18"/>
                      <w:vertAlign w:val="baseline"/>
                      <w:lang w:val="zh-CN"/>
                    </w:rPr>
                    <w:t>水解酸化-</w:t>
                  </w:r>
                </w:p>
                <w:p w14:paraId="64259074">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sz w:val="18"/>
                      <w:szCs w:val="18"/>
                      <w:vertAlign w:val="baseline"/>
                      <w:lang w:val="zh-CN"/>
                    </w:rPr>
                  </w:pPr>
                  <w:r>
                    <w:rPr>
                      <w:rFonts w:hint="eastAsia"/>
                      <w:color w:val="auto"/>
                      <w:sz w:val="18"/>
                      <w:szCs w:val="18"/>
                      <w:vertAlign w:val="baseline"/>
                      <w:lang w:val="zh-CN"/>
                    </w:rPr>
                    <w:t>生物接触</w:t>
                  </w:r>
                </w:p>
                <w:p w14:paraId="722F387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sz w:val="18"/>
                      <w:szCs w:val="18"/>
                      <w:vertAlign w:val="baseline"/>
                      <w:lang w:val="zh-CN"/>
                    </w:rPr>
                  </w:pPr>
                  <w:r>
                    <w:rPr>
                      <w:rFonts w:hint="eastAsia"/>
                      <w:color w:val="auto"/>
                      <w:sz w:val="18"/>
                      <w:szCs w:val="18"/>
                      <w:vertAlign w:val="baseline"/>
                      <w:lang w:val="zh-CN"/>
                    </w:rPr>
                    <w:t>氧化</w:t>
                  </w:r>
                </w:p>
              </w:tc>
              <w:tc>
                <w:tcPr>
                  <w:tcW w:w="500" w:type="pct"/>
                  <w:vMerge w:val="restart"/>
                  <w:vAlign w:val="center"/>
                </w:tcPr>
                <w:p w14:paraId="6EC20384">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72</w:t>
                  </w:r>
                </w:p>
              </w:tc>
            </w:tr>
            <w:tr w14:paraId="34A50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pct"/>
                  <w:vMerge w:val="continue"/>
                  <w:vAlign w:val="center"/>
                </w:tcPr>
                <w:p w14:paraId="4F7E1C6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sz w:val="18"/>
                      <w:szCs w:val="18"/>
                      <w:vertAlign w:val="baseline"/>
                      <w:lang w:val="zh-CN"/>
                    </w:rPr>
                  </w:pPr>
                </w:p>
              </w:tc>
              <w:tc>
                <w:tcPr>
                  <w:tcW w:w="565" w:type="pct"/>
                  <w:shd w:val="clear" w:color="auto" w:fill="auto"/>
                  <w:vAlign w:val="center"/>
                </w:tcPr>
                <w:p w14:paraId="554B82F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18"/>
                      <w:szCs w:val="18"/>
                      <w:vertAlign w:val="baseline"/>
                      <w:lang w:val="zh-CN" w:eastAsia="zh-CN" w:bidi="ar-SA"/>
                    </w:rPr>
                  </w:pPr>
                  <w:r>
                    <w:rPr>
                      <w:rFonts w:hint="eastAsia"/>
                      <w:color w:val="auto"/>
                      <w:sz w:val="18"/>
                      <w:szCs w:val="18"/>
                      <w:vertAlign w:val="baseline"/>
                      <w:lang w:val="en-US" w:eastAsia="zh-CN"/>
                    </w:rPr>
                    <w:t>出水</w:t>
                  </w:r>
                </w:p>
              </w:tc>
              <w:tc>
                <w:tcPr>
                  <w:tcW w:w="459" w:type="pct"/>
                  <w:vAlign w:val="center"/>
                </w:tcPr>
                <w:p w14:paraId="2BA3EF6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51.2</w:t>
                  </w:r>
                </w:p>
              </w:tc>
              <w:tc>
                <w:tcPr>
                  <w:tcW w:w="538" w:type="pct"/>
                  <w:vAlign w:val="center"/>
                </w:tcPr>
                <w:p w14:paraId="142E6A90">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7.96</w:t>
                  </w:r>
                </w:p>
              </w:tc>
              <w:tc>
                <w:tcPr>
                  <w:tcW w:w="465" w:type="pct"/>
                  <w:vAlign w:val="center"/>
                </w:tcPr>
                <w:p w14:paraId="1E20EBE8">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22</w:t>
                  </w:r>
                </w:p>
              </w:tc>
              <w:tc>
                <w:tcPr>
                  <w:tcW w:w="368" w:type="pct"/>
                  <w:vAlign w:val="center"/>
                </w:tcPr>
                <w:p w14:paraId="089485C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7.8</w:t>
                  </w:r>
                </w:p>
              </w:tc>
              <w:tc>
                <w:tcPr>
                  <w:tcW w:w="500" w:type="pct"/>
                  <w:vAlign w:val="center"/>
                </w:tcPr>
                <w:p w14:paraId="3D17B57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sz w:val="18"/>
                      <w:szCs w:val="18"/>
                      <w:vertAlign w:val="baseline"/>
                      <w:lang w:val="zh-CN"/>
                    </w:rPr>
                  </w:pPr>
                  <w:r>
                    <w:rPr>
                      <w:rFonts w:hint="eastAsia"/>
                      <w:color w:val="auto"/>
                      <w:sz w:val="18"/>
                      <w:szCs w:val="18"/>
                      <w:vertAlign w:val="baseline"/>
                      <w:lang w:val="en-US" w:eastAsia="zh-CN"/>
                    </w:rPr>
                    <w:t>/</w:t>
                  </w:r>
                </w:p>
              </w:tc>
              <w:tc>
                <w:tcPr>
                  <w:tcW w:w="500" w:type="pct"/>
                  <w:vAlign w:val="center"/>
                </w:tcPr>
                <w:p w14:paraId="03E240B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sz w:val="18"/>
                      <w:szCs w:val="18"/>
                      <w:vertAlign w:val="baseline"/>
                      <w:lang w:val="zh-CN"/>
                    </w:rPr>
                  </w:pPr>
                  <w:r>
                    <w:rPr>
                      <w:rFonts w:hint="eastAsia"/>
                      <w:color w:val="auto"/>
                      <w:sz w:val="18"/>
                      <w:szCs w:val="18"/>
                      <w:vertAlign w:val="baseline"/>
                      <w:lang w:val="en-US" w:eastAsia="zh-CN"/>
                    </w:rPr>
                    <w:t>/</w:t>
                  </w:r>
                </w:p>
              </w:tc>
              <w:tc>
                <w:tcPr>
                  <w:tcW w:w="500" w:type="pct"/>
                  <w:vMerge w:val="continue"/>
                  <w:vAlign w:val="center"/>
                </w:tcPr>
                <w:p w14:paraId="43A1A2F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sz w:val="18"/>
                      <w:szCs w:val="18"/>
                      <w:vertAlign w:val="baseline"/>
                      <w:lang w:val="zh-CN"/>
                    </w:rPr>
                  </w:pPr>
                </w:p>
              </w:tc>
              <w:tc>
                <w:tcPr>
                  <w:tcW w:w="500" w:type="pct"/>
                  <w:vMerge w:val="continue"/>
                  <w:vAlign w:val="center"/>
                </w:tcPr>
                <w:p w14:paraId="6F7DBFB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sz w:val="18"/>
                      <w:szCs w:val="18"/>
                      <w:vertAlign w:val="baseline"/>
                      <w:lang w:val="zh-CN"/>
                    </w:rPr>
                  </w:pPr>
                </w:p>
              </w:tc>
            </w:tr>
            <w:tr w14:paraId="5E5A8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pct"/>
                  <w:vMerge w:val="restart"/>
                  <w:vAlign w:val="center"/>
                </w:tcPr>
                <w:p w14:paraId="7A19EBA5">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sz w:val="18"/>
                      <w:szCs w:val="18"/>
                      <w:vertAlign w:val="baseline"/>
                      <w:lang w:val="zh-CN"/>
                    </w:rPr>
                  </w:pPr>
                  <w:r>
                    <w:rPr>
                      <w:rFonts w:hint="eastAsia"/>
                      <w:color w:val="auto"/>
                      <w:sz w:val="18"/>
                      <w:szCs w:val="18"/>
                      <w:vertAlign w:val="baseline"/>
                      <w:lang w:val="zh-CN"/>
                    </w:rPr>
                    <w:t>××药业集团有限公司</w:t>
                  </w:r>
                </w:p>
              </w:tc>
              <w:tc>
                <w:tcPr>
                  <w:tcW w:w="565" w:type="pct"/>
                  <w:shd w:val="clear" w:color="auto" w:fill="auto"/>
                  <w:vAlign w:val="center"/>
                </w:tcPr>
                <w:p w14:paraId="7AE69495">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18"/>
                      <w:szCs w:val="18"/>
                      <w:vertAlign w:val="baseline"/>
                      <w:lang w:val="zh-CN" w:eastAsia="zh-CN" w:bidi="ar-SA"/>
                    </w:rPr>
                  </w:pPr>
                  <w:r>
                    <w:rPr>
                      <w:rFonts w:hint="eastAsia"/>
                      <w:color w:val="auto"/>
                      <w:sz w:val="18"/>
                      <w:szCs w:val="18"/>
                      <w:vertAlign w:val="baseline"/>
                      <w:lang w:val="en-US" w:eastAsia="zh-CN"/>
                    </w:rPr>
                    <w:t>进水</w:t>
                  </w:r>
                </w:p>
              </w:tc>
              <w:tc>
                <w:tcPr>
                  <w:tcW w:w="459" w:type="pct"/>
                  <w:vAlign w:val="center"/>
                </w:tcPr>
                <w:p w14:paraId="372BBE94">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1333.9</w:t>
                  </w:r>
                </w:p>
              </w:tc>
              <w:tc>
                <w:tcPr>
                  <w:tcW w:w="538" w:type="pct"/>
                  <w:vAlign w:val="center"/>
                </w:tcPr>
                <w:p w14:paraId="610037E2">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387.2</w:t>
                  </w:r>
                </w:p>
              </w:tc>
              <w:tc>
                <w:tcPr>
                  <w:tcW w:w="465" w:type="pct"/>
                  <w:vAlign w:val="center"/>
                </w:tcPr>
                <w:p w14:paraId="7D0877D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109.3</w:t>
                  </w:r>
                </w:p>
              </w:tc>
              <w:tc>
                <w:tcPr>
                  <w:tcW w:w="368" w:type="pct"/>
                  <w:vAlign w:val="center"/>
                </w:tcPr>
                <w:p w14:paraId="5A10658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8.1</w:t>
                  </w:r>
                </w:p>
              </w:tc>
              <w:tc>
                <w:tcPr>
                  <w:tcW w:w="500" w:type="pct"/>
                  <w:vAlign w:val="center"/>
                </w:tcPr>
                <w:p w14:paraId="637C9015">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sz w:val="18"/>
                      <w:szCs w:val="18"/>
                      <w:vertAlign w:val="baseline"/>
                      <w:lang w:val="zh-CN"/>
                    </w:rPr>
                  </w:pPr>
                  <w:r>
                    <w:rPr>
                      <w:rFonts w:hint="eastAsia"/>
                      <w:color w:val="auto"/>
                      <w:sz w:val="18"/>
                      <w:szCs w:val="18"/>
                      <w:vertAlign w:val="baseline"/>
                      <w:lang w:val="en-US" w:eastAsia="zh-CN"/>
                    </w:rPr>
                    <w:t>/</w:t>
                  </w:r>
                </w:p>
              </w:tc>
              <w:tc>
                <w:tcPr>
                  <w:tcW w:w="500" w:type="pct"/>
                  <w:vAlign w:val="center"/>
                </w:tcPr>
                <w:p w14:paraId="2FFA7018">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200</w:t>
                  </w:r>
                </w:p>
              </w:tc>
              <w:tc>
                <w:tcPr>
                  <w:tcW w:w="500" w:type="pct"/>
                  <w:vMerge w:val="restart"/>
                  <w:vAlign w:val="center"/>
                </w:tcPr>
                <w:p w14:paraId="6FC15868">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sz w:val="18"/>
                      <w:szCs w:val="18"/>
                    </w:rPr>
                  </w:pPr>
                  <w:r>
                    <w:rPr>
                      <w:rFonts w:hint="eastAsia"/>
                      <w:sz w:val="18"/>
                      <w:szCs w:val="18"/>
                    </w:rPr>
                    <w:t>水解酸化-</w:t>
                  </w:r>
                </w:p>
                <w:p w14:paraId="65796370">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sz w:val="18"/>
                      <w:szCs w:val="18"/>
                    </w:rPr>
                  </w:pPr>
                  <w:r>
                    <w:rPr>
                      <w:rFonts w:hint="eastAsia"/>
                      <w:sz w:val="18"/>
                      <w:szCs w:val="18"/>
                    </w:rPr>
                    <w:t>生物接触</w:t>
                  </w:r>
                </w:p>
                <w:p w14:paraId="486955D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sz w:val="18"/>
                      <w:szCs w:val="18"/>
                      <w:vertAlign w:val="baseline"/>
                      <w:lang w:val="zh-CN"/>
                    </w:rPr>
                  </w:pPr>
                  <w:r>
                    <w:rPr>
                      <w:rFonts w:hint="eastAsia"/>
                      <w:sz w:val="18"/>
                      <w:szCs w:val="18"/>
                    </w:rPr>
                    <w:t>氧化</w:t>
                  </w:r>
                </w:p>
              </w:tc>
              <w:tc>
                <w:tcPr>
                  <w:tcW w:w="500" w:type="pct"/>
                  <w:vMerge w:val="restart"/>
                  <w:vAlign w:val="center"/>
                </w:tcPr>
                <w:p w14:paraId="0EDA1B9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144</w:t>
                  </w:r>
                </w:p>
              </w:tc>
            </w:tr>
            <w:tr w14:paraId="7E526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 w:type="pct"/>
                  <w:vMerge w:val="continue"/>
                  <w:vAlign w:val="center"/>
                </w:tcPr>
                <w:p w14:paraId="50F861A8">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sz w:val="18"/>
                      <w:szCs w:val="18"/>
                      <w:vertAlign w:val="baseline"/>
                      <w:lang w:val="zh-CN"/>
                    </w:rPr>
                  </w:pPr>
                </w:p>
              </w:tc>
              <w:tc>
                <w:tcPr>
                  <w:tcW w:w="565" w:type="pct"/>
                  <w:shd w:val="clear" w:color="auto" w:fill="auto"/>
                  <w:vAlign w:val="center"/>
                </w:tcPr>
                <w:p w14:paraId="5064D345">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18"/>
                      <w:szCs w:val="18"/>
                      <w:vertAlign w:val="baseline"/>
                      <w:lang w:val="zh-CN" w:eastAsia="zh-CN" w:bidi="ar-SA"/>
                    </w:rPr>
                  </w:pPr>
                  <w:r>
                    <w:rPr>
                      <w:rFonts w:hint="eastAsia"/>
                      <w:color w:val="auto"/>
                      <w:sz w:val="18"/>
                      <w:szCs w:val="18"/>
                      <w:vertAlign w:val="baseline"/>
                      <w:lang w:val="en-US" w:eastAsia="zh-CN"/>
                    </w:rPr>
                    <w:t>出水</w:t>
                  </w:r>
                </w:p>
              </w:tc>
              <w:tc>
                <w:tcPr>
                  <w:tcW w:w="459" w:type="pct"/>
                  <w:vAlign w:val="center"/>
                </w:tcPr>
                <w:p w14:paraId="62A9EBD5">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80</w:t>
                  </w:r>
                </w:p>
              </w:tc>
              <w:tc>
                <w:tcPr>
                  <w:tcW w:w="538" w:type="pct"/>
                  <w:vAlign w:val="center"/>
                </w:tcPr>
                <w:p w14:paraId="7EAD1DE5">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15.5</w:t>
                  </w:r>
                </w:p>
              </w:tc>
              <w:tc>
                <w:tcPr>
                  <w:tcW w:w="465" w:type="pct"/>
                  <w:vAlign w:val="center"/>
                </w:tcPr>
                <w:p w14:paraId="7517B05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21.9</w:t>
                  </w:r>
                </w:p>
              </w:tc>
              <w:tc>
                <w:tcPr>
                  <w:tcW w:w="368" w:type="pct"/>
                  <w:vAlign w:val="center"/>
                </w:tcPr>
                <w:p w14:paraId="657A5A1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8.1</w:t>
                  </w:r>
                </w:p>
              </w:tc>
              <w:tc>
                <w:tcPr>
                  <w:tcW w:w="500" w:type="pct"/>
                  <w:vAlign w:val="center"/>
                </w:tcPr>
                <w:p w14:paraId="302006B8">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sz w:val="18"/>
                      <w:szCs w:val="18"/>
                      <w:vertAlign w:val="baseline"/>
                      <w:lang w:val="zh-CN"/>
                    </w:rPr>
                  </w:pPr>
                  <w:r>
                    <w:rPr>
                      <w:rFonts w:hint="eastAsia"/>
                      <w:color w:val="auto"/>
                      <w:sz w:val="18"/>
                      <w:szCs w:val="18"/>
                      <w:vertAlign w:val="baseline"/>
                      <w:lang w:val="en-US" w:eastAsia="zh-CN"/>
                    </w:rPr>
                    <w:t>/</w:t>
                  </w:r>
                </w:p>
              </w:tc>
              <w:tc>
                <w:tcPr>
                  <w:tcW w:w="500" w:type="pct"/>
                  <w:vAlign w:val="center"/>
                </w:tcPr>
                <w:p w14:paraId="6F5B9D1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color w:val="auto"/>
                      <w:sz w:val="18"/>
                      <w:szCs w:val="18"/>
                      <w:vertAlign w:val="baseline"/>
                      <w:lang w:val="en-US" w:eastAsia="zh-CN"/>
                    </w:rPr>
                  </w:pPr>
                  <w:r>
                    <w:rPr>
                      <w:rFonts w:hint="eastAsia"/>
                      <w:color w:val="auto"/>
                      <w:sz w:val="18"/>
                      <w:szCs w:val="18"/>
                      <w:vertAlign w:val="baseline"/>
                      <w:lang w:val="en-US" w:eastAsia="zh-CN"/>
                    </w:rPr>
                    <w:t>20</w:t>
                  </w:r>
                </w:p>
              </w:tc>
              <w:tc>
                <w:tcPr>
                  <w:tcW w:w="500" w:type="pct"/>
                  <w:vMerge w:val="continue"/>
                  <w:vAlign w:val="center"/>
                </w:tcPr>
                <w:p w14:paraId="47086A8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sz w:val="18"/>
                      <w:szCs w:val="18"/>
                      <w:vertAlign w:val="baseline"/>
                      <w:lang w:val="zh-CN"/>
                    </w:rPr>
                  </w:pPr>
                </w:p>
              </w:tc>
              <w:tc>
                <w:tcPr>
                  <w:tcW w:w="500" w:type="pct"/>
                  <w:vMerge w:val="continue"/>
                  <w:vAlign w:val="center"/>
                </w:tcPr>
                <w:p w14:paraId="2D3324A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sz w:val="18"/>
                      <w:szCs w:val="18"/>
                      <w:vertAlign w:val="baseline"/>
                      <w:lang w:val="zh-CN"/>
                    </w:rPr>
                  </w:pPr>
                </w:p>
              </w:tc>
            </w:tr>
          </w:tbl>
          <w:p w14:paraId="0BF6FAD6">
            <w:pPr>
              <w:pStyle w:val="19"/>
              <w:keepNext w:val="0"/>
              <w:keepLines w:val="0"/>
              <w:pageBreakBefore w:val="0"/>
              <w:widowControl w:val="0"/>
              <w:kinsoku/>
              <w:wordWrap w:val="0"/>
              <w:overflowPunct/>
              <w:topLinePunct w:val="0"/>
              <w:autoSpaceDE/>
              <w:autoSpaceDN/>
              <w:bidi w:val="0"/>
              <w:adjustRightInd/>
              <w:snapToGrid/>
              <w:spacing w:after="0"/>
              <w:ind w:left="0" w:leftChars="0"/>
              <w:textAlignment w:val="auto"/>
              <w:rPr>
                <w:rFonts w:hint="eastAsia"/>
                <w:color w:val="auto"/>
                <w:lang w:val="en-US" w:eastAsia="zh-CN"/>
              </w:rPr>
            </w:pPr>
            <w:r>
              <w:rPr>
                <w:rFonts w:hint="eastAsia"/>
                <w:color w:val="auto"/>
                <w:lang w:val="en-US" w:eastAsia="zh-CN"/>
              </w:rPr>
              <w:t>中药类企业进水COD浓度范围为63.9～3800mg/L，大多数厂家在1800mg/L以下，平均进水浓度约为950mg/L；出水COD浓度范围在3.623～275mg/L，大多数厂家在150mg/L以下，平均出水浓度约为80mg/L。</w:t>
            </w:r>
          </w:p>
          <w:p w14:paraId="77406ED3">
            <w:pPr>
              <w:pStyle w:val="19"/>
              <w:keepNext w:val="0"/>
              <w:keepLines w:val="0"/>
              <w:pageBreakBefore w:val="0"/>
              <w:widowControl w:val="0"/>
              <w:kinsoku/>
              <w:wordWrap w:val="0"/>
              <w:overflowPunct/>
              <w:topLinePunct w:val="0"/>
              <w:autoSpaceDE/>
              <w:autoSpaceDN/>
              <w:bidi w:val="0"/>
              <w:adjustRightInd/>
              <w:snapToGrid/>
              <w:spacing w:after="0"/>
              <w:ind w:left="0" w:leftChars="0"/>
              <w:textAlignment w:val="auto"/>
              <w:rPr>
                <w:rFonts w:hint="eastAsia"/>
                <w:color w:val="auto"/>
                <w:lang w:val="en-US" w:eastAsia="zh-CN"/>
              </w:rPr>
            </w:pPr>
            <w:r>
              <w:rPr>
                <w:rFonts w:hint="eastAsia"/>
                <w:color w:val="auto"/>
                <w:lang w:val="en-US" w:eastAsia="zh-CN"/>
              </w:rPr>
              <w:t>进水BOD5浓度范围为29.3～1260mg/L，大多数厂家在300mg/L以下；出水BOD5浓度范围在1.83～87.82mg/L，大多数厂家在50mg/L以下。</w:t>
            </w:r>
          </w:p>
          <w:p w14:paraId="283EEBDD">
            <w:pPr>
              <w:pStyle w:val="19"/>
              <w:keepNext w:val="0"/>
              <w:keepLines w:val="0"/>
              <w:pageBreakBefore w:val="0"/>
              <w:widowControl w:val="0"/>
              <w:kinsoku/>
              <w:wordWrap w:val="0"/>
              <w:overflowPunct/>
              <w:topLinePunct w:val="0"/>
              <w:autoSpaceDE/>
              <w:autoSpaceDN/>
              <w:bidi w:val="0"/>
              <w:adjustRightInd/>
              <w:snapToGrid/>
              <w:spacing w:after="0"/>
              <w:ind w:left="0" w:leftChars="0"/>
              <w:textAlignment w:val="auto"/>
              <w:rPr>
                <w:rFonts w:hint="eastAsia"/>
                <w:color w:val="auto"/>
                <w:lang w:val="en-US" w:eastAsia="zh-CN"/>
              </w:rPr>
            </w:pPr>
            <w:r>
              <w:rPr>
                <w:rFonts w:hint="eastAsia"/>
                <w:color w:val="auto"/>
                <w:lang w:val="en-US" w:eastAsia="zh-CN"/>
              </w:rPr>
              <w:t>进水SS浓度范围为29～1643.8mg/L，大多数厂家在250mg/L以下；出水SS浓度范围在12～80mg/L，大多数厂家在60mg/L以下。</w:t>
            </w:r>
          </w:p>
          <w:p w14:paraId="7DECF1B6">
            <w:pPr>
              <w:pStyle w:val="19"/>
              <w:keepNext w:val="0"/>
              <w:keepLines w:val="0"/>
              <w:pageBreakBefore w:val="0"/>
              <w:widowControl w:val="0"/>
              <w:kinsoku/>
              <w:wordWrap w:val="0"/>
              <w:overflowPunct/>
              <w:topLinePunct w:val="0"/>
              <w:autoSpaceDE/>
              <w:autoSpaceDN/>
              <w:bidi w:val="0"/>
              <w:adjustRightInd/>
              <w:snapToGrid/>
              <w:spacing w:after="0"/>
              <w:ind w:left="0" w:leftChars="0"/>
              <w:textAlignment w:val="auto"/>
              <w:rPr>
                <w:rFonts w:hint="eastAsia"/>
                <w:color w:val="auto"/>
                <w:lang w:val="en-US" w:eastAsia="zh-CN"/>
              </w:rPr>
            </w:pPr>
            <w:r>
              <w:rPr>
                <w:rFonts w:hint="eastAsia"/>
                <w:color w:val="auto"/>
                <w:lang w:val="en-US" w:eastAsia="zh-CN"/>
              </w:rPr>
              <w:t>进水NH3-N浓度范围为0.1～28.2mg/L，出水浓度在10mg/L以下。</w:t>
            </w:r>
          </w:p>
          <w:p w14:paraId="3D02F44F">
            <w:pPr>
              <w:pStyle w:val="19"/>
              <w:keepNext w:val="0"/>
              <w:keepLines w:val="0"/>
              <w:pageBreakBefore w:val="0"/>
              <w:widowControl w:val="0"/>
              <w:kinsoku/>
              <w:wordWrap w:val="0"/>
              <w:overflowPunct/>
              <w:topLinePunct w:val="0"/>
              <w:autoSpaceDE/>
              <w:autoSpaceDN/>
              <w:bidi w:val="0"/>
              <w:adjustRightInd/>
              <w:snapToGrid/>
              <w:spacing w:after="0"/>
              <w:ind w:left="0" w:leftChars="0"/>
              <w:textAlignment w:val="auto"/>
              <w:rPr>
                <w:rFonts w:hint="eastAsia"/>
                <w:color w:val="auto"/>
                <w:lang w:val="en-US" w:eastAsia="zh-CN"/>
              </w:rPr>
            </w:pPr>
            <w:r>
              <w:rPr>
                <w:rFonts w:hint="eastAsia"/>
                <w:color w:val="auto"/>
                <w:lang w:val="en-US" w:eastAsia="zh-CN"/>
              </w:rPr>
              <w:t>进水磷酸盐浓度范围为0.201～6.02mg/L，出水浓度在1mg/L以下。</w:t>
            </w:r>
          </w:p>
          <w:p w14:paraId="06162F5E">
            <w:pPr>
              <w:pStyle w:val="19"/>
              <w:keepNext w:val="0"/>
              <w:keepLines w:val="0"/>
              <w:pageBreakBefore w:val="0"/>
              <w:widowControl w:val="0"/>
              <w:kinsoku/>
              <w:wordWrap w:val="0"/>
              <w:overflowPunct/>
              <w:topLinePunct w:val="0"/>
              <w:autoSpaceDE/>
              <w:autoSpaceDN/>
              <w:bidi w:val="0"/>
              <w:adjustRightInd/>
              <w:snapToGrid/>
              <w:spacing w:after="0"/>
              <w:ind w:left="0" w:leftChars="0"/>
              <w:textAlignment w:val="auto"/>
              <w:rPr>
                <w:rFonts w:hint="eastAsia"/>
                <w:color w:val="auto"/>
                <w:lang w:val="zh-CN"/>
              </w:rPr>
            </w:pPr>
            <w:r>
              <w:rPr>
                <w:rFonts w:hint="eastAsia"/>
                <w:color w:val="auto"/>
                <w:lang w:val="en-US" w:eastAsia="zh-CN"/>
              </w:rPr>
              <w:t>参考上述数据，</w:t>
            </w:r>
            <w:r>
              <w:rPr>
                <w:rFonts w:hint="eastAsia"/>
                <w:color w:val="auto"/>
                <w:lang w:val="zh-CN"/>
              </w:rPr>
              <w:t>估算本项目所产生的综合废水污染物的产生情况见表</w:t>
            </w:r>
            <w:r>
              <w:rPr>
                <w:rFonts w:hint="eastAsia"/>
                <w:color w:val="auto"/>
                <w:lang w:val="en-US" w:eastAsia="zh-CN"/>
              </w:rPr>
              <w:t>4-9</w:t>
            </w:r>
            <w:r>
              <w:rPr>
                <w:rFonts w:hint="eastAsia"/>
                <w:color w:val="auto"/>
                <w:lang w:val="zh-CN"/>
              </w:rPr>
              <w:t>。项目</w:t>
            </w:r>
            <w:r>
              <w:rPr>
                <w:rFonts w:hint="eastAsia"/>
                <w:color w:val="auto"/>
                <w:lang w:val="en-US" w:eastAsia="zh-CN"/>
              </w:rPr>
              <w:t>涉及的毒性药材有半夏、附子、马钱子</w:t>
            </w:r>
            <w:r>
              <w:rPr>
                <w:rFonts w:hint="eastAsia"/>
                <w:color w:val="auto"/>
                <w:lang w:val="zh-CN"/>
              </w:rPr>
              <w:t>，</w:t>
            </w:r>
            <w:r>
              <w:rPr>
                <w:rFonts w:hint="eastAsia"/>
                <w:color w:val="auto"/>
                <w:lang w:val="en-US" w:eastAsia="zh-CN"/>
              </w:rPr>
              <w:t>由前述</w:t>
            </w:r>
            <w:r>
              <w:rPr>
                <w:rFonts w:hint="eastAsia"/>
                <w:color w:val="auto"/>
                <w:lang w:val="zh-CN"/>
              </w:rPr>
              <w:t>毒性中药材的化学成分可知，</w:t>
            </w:r>
            <w:r>
              <w:rPr>
                <w:rFonts w:hint="eastAsia"/>
                <w:color w:val="auto"/>
                <w:lang w:val="en-US" w:eastAsia="zh-CN"/>
              </w:rPr>
              <w:t>毒性饮片清洗</w:t>
            </w:r>
            <w:r>
              <w:rPr>
                <w:rFonts w:hint="eastAsia"/>
                <w:color w:val="auto"/>
                <w:lang w:val="zh-CN"/>
              </w:rPr>
              <w:t>浸泡废水中水污染物不含总氰化物、总汞、总砷、急性毒性（HgCl2毒性当量）。</w:t>
            </w:r>
          </w:p>
          <w:p w14:paraId="0541CC45">
            <w:pPr>
              <w:keepNext w:val="0"/>
              <w:keepLines w:val="0"/>
              <w:pageBreakBefore w:val="0"/>
              <w:widowControl w:val="0"/>
              <w:numPr>
                <w:ilvl w:val="0"/>
                <w:numId w:val="9"/>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u w:val="single"/>
                <w:lang w:val="en-GB"/>
              </w:rPr>
            </w:pPr>
            <w:r>
              <w:rPr>
                <w:rFonts w:hint="eastAsia" w:ascii="Times New Roman" w:hAnsi="Times New Roman" w:eastAsia="宋体" w:cs="Times New Roman"/>
                <w:b/>
                <w:bCs/>
                <w:color w:val="auto"/>
                <w:sz w:val="21"/>
                <w:szCs w:val="21"/>
                <w:u w:val="single"/>
                <w:lang w:val="en-GB"/>
              </w:rPr>
              <w:t>本项目废水</w:t>
            </w:r>
            <w:r>
              <w:rPr>
                <w:rFonts w:hint="eastAsia" w:ascii="Times New Roman" w:hAnsi="Times New Roman" w:eastAsia="宋体" w:cs="Times New Roman"/>
                <w:b/>
                <w:bCs/>
                <w:color w:val="auto"/>
                <w:sz w:val="21"/>
                <w:szCs w:val="21"/>
                <w:u w:val="single"/>
                <w:lang w:val="en-US" w:eastAsia="zh-CN"/>
              </w:rPr>
              <w:t>产排</w:t>
            </w:r>
            <w:r>
              <w:rPr>
                <w:rFonts w:hint="eastAsia" w:ascii="Times New Roman" w:hAnsi="Times New Roman" w:eastAsia="宋体" w:cs="Times New Roman"/>
                <w:b/>
                <w:bCs/>
                <w:color w:val="auto"/>
                <w:sz w:val="21"/>
                <w:szCs w:val="21"/>
                <w:u w:val="single"/>
                <w:lang w:val="en-GB"/>
              </w:rPr>
              <w:t>情况一览表</w:t>
            </w:r>
          </w:p>
          <w:tbl>
            <w:tblPr>
              <w:tblStyle w:val="21"/>
              <w:tblW w:w="50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3"/>
              <w:gridCol w:w="535"/>
              <w:gridCol w:w="560"/>
              <w:gridCol w:w="894"/>
              <w:gridCol w:w="957"/>
              <w:gridCol w:w="1304"/>
              <w:gridCol w:w="1591"/>
              <w:gridCol w:w="1739"/>
            </w:tblGrid>
            <w:tr w14:paraId="2193B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6" w:type="pct"/>
                  <w:vMerge w:val="restart"/>
                  <w:vAlign w:val="center"/>
                </w:tcPr>
                <w:p w14:paraId="4055576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b/>
                      <w:bCs/>
                      <w:color w:val="auto"/>
                      <w:sz w:val="21"/>
                      <w:szCs w:val="21"/>
                      <w:u w:val="single"/>
                      <w:vertAlign w:val="baseline"/>
                      <w:lang w:val="en-US" w:eastAsia="zh-CN"/>
                    </w:rPr>
                  </w:pPr>
                  <w:r>
                    <w:rPr>
                      <w:rFonts w:hint="eastAsia" w:eastAsia="宋体"/>
                      <w:b/>
                      <w:bCs/>
                      <w:color w:val="auto"/>
                      <w:sz w:val="21"/>
                      <w:szCs w:val="21"/>
                      <w:u w:val="single"/>
                      <w:vertAlign w:val="baseline"/>
                      <w:lang w:val="en-US" w:eastAsia="zh-CN"/>
                    </w:rPr>
                    <w:t>类别</w:t>
                  </w:r>
                </w:p>
              </w:tc>
              <w:tc>
                <w:tcPr>
                  <w:tcW w:w="675" w:type="pct"/>
                  <w:gridSpan w:val="2"/>
                  <w:vAlign w:val="center"/>
                </w:tcPr>
                <w:p w14:paraId="2B928AF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u w:val="single"/>
                      <w:vertAlign w:val="baseline"/>
                      <w:lang w:val="en-US" w:eastAsia="zh-CN"/>
                    </w:rPr>
                  </w:pPr>
                  <w:r>
                    <w:rPr>
                      <w:rFonts w:hint="eastAsia"/>
                      <w:b/>
                      <w:bCs/>
                      <w:color w:val="auto"/>
                      <w:sz w:val="21"/>
                      <w:szCs w:val="21"/>
                      <w:u w:val="single"/>
                      <w:vertAlign w:val="baseline"/>
                      <w:lang w:val="en-US" w:eastAsia="zh-CN"/>
                    </w:rPr>
                    <w:t>废水量</w:t>
                  </w:r>
                </w:p>
              </w:tc>
              <w:tc>
                <w:tcPr>
                  <w:tcW w:w="551" w:type="pct"/>
                  <w:vMerge w:val="restart"/>
                  <w:shd w:val="clear" w:color="auto" w:fill="auto"/>
                  <w:vAlign w:val="center"/>
                </w:tcPr>
                <w:p w14:paraId="51A6B12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u w:val="single"/>
                      <w:vertAlign w:val="baseline"/>
                      <w:lang w:val="en-US" w:eastAsia="zh-CN" w:bidi="ar-SA"/>
                    </w:rPr>
                  </w:pPr>
                  <w:r>
                    <w:rPr>
                      <w:rFonts w:hint="eastAsia"/>
                      <w:b/>
                      <w:bCs/>
                      <w:color w:val="auto"/>
                      <w:sz w:val="21"/>
                      <w:szCs w:val="21"/>
                      <w:u w:val="single"/>
                      <w:vertAlign w:val="baseline"/>
                      <w:lang w:val="en-US" w:eastAsia="zh-CN"/>
                    </w:rPr>
                    <w:t>污染物</w:t>
                  </w:r>
                </w:p>
              </w:tc>
              <w:tc>
                <w:tcPr>
                  <w:tcW w:w="1394" w:type="pct"/>
                  <w:gridSpan w:val="2"/>
                  <w:vAlign w:val="center"/>
                </w:tcPr>
                <w:p w14:paraId="1757397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b/>
                      <w:bCs/>
                      <w:color w:val="auto"/>
                      <w:sz w:val="21"/>
                      <w:szCs w:val="21"/>
                      <w:u w:val="single"/>
                      <w:vertAlign w:val="baseline"/>
                      <w:lang w:val="en-US" w:eastAsia="zh-CN"/>
                    </w:rPr>
                  </w:pPr>
                  <w:r>
                    <w:rPr>
                      <w:rFonts w:hint="eastAsia" w:eastAsia="宋体"/>
                      <w:b/>
                      <w:bCs/>
                      <w:color w:val="auto"/>
                      <w:sz w:val="21"/>
                      <w:szCs w:val="21"/>
                      <w:u w:val="single"/>
                      <w:vertAlign w:val="baseline"/>
                      <w:lang w:val="en-US" w:eastAsia="zh-CN"/>
                    </w:rPr>
                    <w:t>产生情况</w:t>
                  </w:r>
                </w:p>
              </w:tc>
              <w:tc>
                <w:tcPr>
                  <w:tcW w:w="2053" w:type="pct"/>
                  <w:gridSpan w:val="2"/>
                  <w:vAlign w:val="center"/>
                </w:tcPr>
                <w:p w14:paraId="5CAB3AF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b/>
                      <w:bCs/>
                      <w:color w:val="auto"/>
                      <w:sz w:val="21"/>
                      <w:szCs w:val="21"/>
                      <w:u w:val="single"/>
                      <w:vertAlign w:val="baseline"/>
                      <w:lang w:val="en-US" w:eastAsia="zh-CN"/>
                    </w:rPr>
                  </w:pPr>
                  <w:r>
                    <w:rPr>
                      <w:rFonts w:hint="eastAsia" w:eastAsia="宋体"/>
                      <w:b/>
                      <w:bCs/>
                      <w:color w:val="auto"/>
                      <w:sz w:val="21"/>
                      <w:szCs w:val="21"/>
                      <w:u w:val="single"/>
                      <w:vertAlign w:val="baseline"/>
                      <w:lang w:val="en-US" w:eastAsia="zh-CN"/>
                    </w:rPr>
                    <w:t>排放情况</w:t>
                  </w:r>
                </w:p>
              </w:tc>
            </w:tr>
            <w:tr w14:paraId="2E398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vMerge w:val="continue"/>
                  <w:vAlign w:val="center"/>
                </w:tcPr>
                <w:p w14:paraId="56A3D130">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b/>
                      <w:bCs/>
                      <w:color w:val="auto"/>
                      <w:sz w:val="21"/>
                      <w:szCs w:val="21"/>
                      <w:u w:val="single"/>
                      <w:vertAlign w:val="baseline"/>
                      <w:lang w:val="en-US" w:eastAsia="zh-CN"/>
                    </w:rPr>
                  </w:pPr>
                </w:p>
              </w:tc>
              <w:tc>
                <w:tcPr>
                  <w:tcW w:w="330" w:type="pct"/>
                  <w:vAlign w:val="center"/>
                </w:tcPr>
                <w:p w14:paraId="27667A3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eastAsia="宋体"/>
                      <w:b/>
                      <w:bCs/>
                      <w:color w:val="auto"/>
                      <w:sz w:val="21"/>
                      <w:szCs w:val="21"/>
                      <w:u w:val="single"/>
                      <w:vertAlign w:val="baseline"/>
                      <w:lang w:val="en-US" w:eastAsia="zh-CN"/>
                    </w:rPr>
                  </w:pPr>
                  <w:r>
                    <w:rPr>
                      <w:rFonts w:hint="eastAsia"/>
                      <w:b/>
                      <w:bCs/>
                      <w:color w:val="auto"/>
                      <w:sz w:val="21"/>
                      <w:szCs w:val="21"/>
                      <w:u w:val="single"/>
                      <w:vertAlign w:val="baseline"/>
                      <w:lang w:val="en-US" w:eastAsia="zh-CN"/>
                    </w:rPr>
                    <w:t>m3/d</w:t>
                  </w:r>
                </w:p>
              </w:tc>
              <w:tc>
                <w:tcPr>
                  <w:tcW w:w="344" w:type="pct"/>
                  <w:vAlign w:val="center"/>
                </w:tcPr>
                <w:p w14:paraId="25E72F10">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b/>
                      <w:bCs/>
                      <w:color w:val="auto"/>
                      <w:sz w:val="21"/>
                      <w:szCs w:val="21"/>
                      <w:u w:val="single"/>
                      <w:vertAlign w:val="baseline"/>
                      <w:lang w:val="en-US" w:eastAsia="zh-CN"/>
                    </w:rPr>
                  </w:pPr>
                  <w:r>
                    <w:rPr>
                      <w:rFonts w:hint="eastAsia"/>
                      <w:b/>
                      <w:bCs/>
                      <w:color w:val="auto"/>
                      <w:sz w:val="21"/>
                      <w:szCs w:val="21"/>
                      <w:u w:val="single"/>
                      <w:vertAlign w:val="baseline"/>
                      <w:lang w:val="en-US" w:eastAsia="zh-CN"/>
                    </w:rPr>
                    <w:t>m3/a</w:t>
                  </w:r>
                </w:p>
              </w:tc>
              <w:tc>
                <w:tcPr>
                  <w:tcW w:w="551" w:type="pct"/>
                  <w:vMerge w:val="continue"/>
                  <w:shd w:val="clear" w:color="auto" w:fill="auto"/>
                  <w:vAlign w:val="center"/>
                </w:tcPr>
                <w:p w14:paraId="4A86BBF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u w:val="single"/>
                      <w:vertAlign w:val="baseline"/>
                      <w:lang w:val="en-US" w:eastAsia="zh-CN" w:bidi="ar-SA"/>
                    </w:rPr>
                  </w:pPr>
                </w:p>
              </w:tc>
              <w:tc>
                <w:tcPr>
                  <w:tcW w:w="590" w:type="pct"/>
                  <w:vAlign w:val="center"/>
                </w:tcPr>
                <w:p w14:paraId="6C44833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b/>
                      <w:bCs/>
                      <w:color w:val="auto"/>
                      <w:sz w:val="21"/>
                      <w:szCs w:val="21"/>
                      <w:u w:val="single"/>
                      <w:vertAlign w:val="baseline"/>
                      <w:lang w:val="en-US" w:eastAsia="zh-CN"/>
                    </w:rPr>
                  </w:pPr>
                  <w:r>
                    <w:rPr>
                      <w:rFonts w:hint="eastAsia" w:eastAsia="宋体"/>
                      <w:b/>
                      <w:bCs/>
                      <w:color w:val="auto"/>
                      <w:sz w:val="21"/>
                      <w:szCs w:val="21"/>
                      <w:u w:val="single"/>
                      <w:vertAlign w:val="baseline"/>
                      <w:lang w:val="en-US" w:eastAsia="zh-CN"/>
                    </w:rPr>
                    <w:t>产生浓度（mg/L）</w:t>
                  </w:r>
                </w:p>
              </w:tc>
              <w:tc>
                <w:tcPr>
                  <w:tcW w:w="804" w:type="pct"/>
                  <w:vAlign w:val="center"/>
                </w:tcPr>
                <w:p w14:paraId="10AB1650">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b/>
                      <w:bCs/>
                      <w:color w:val="auto"/>
                      <w:sz w:val="21"/>
                      <w:szCs w:val="21"/>
                      <w:u w:val="single"/>
                      <w:vertAlign w:val="baseline"/>
                      <w:lang w:val="en-US" w:eastAsia="zh-CN"/>
                    </w:rPr>
                  </w:pPr>
                  <w:r>
                    <w:rPr>
                      <w:rFonts w:hint="eastAsia" w:eastAsia="宋体"/>
                      <w:b/>
                      <w:bCs/>
                      <w:color w:val="auto"/>
                      <w:sz w:val="21"/>
                      <w:szCs w:val="21"/>
                      <w:u w:val="single"/>
                      <w:vertAlign w:val="baseline"/>
                      <w:lang w:val="en-US" w:eastAsia="zh-CN"/>
                    </w:rPr>
                    <w:t>产生量（t/a）</w:t>
                  </w:r>
                </w:p>
              </w:tc>
              <w:tc>
                <w:tcPr>
                  <w:tcW w:w="981" w:type="pct"/>
                  <w:shd w:val="clear" w:color="auto" w:fill="auto"/>
                  <w:vAlign w:val="center"/>
                </w:tcPr>
                <w:p w14:paraId="7F7E1A7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u w:val="single"/>
                      <w:vertAlign w:val="baseline"/>
                      <w:lang w:val="en-US" w:eastAsia="zh-CN" w:bidi="ar-SA"/>
                    </w:rPr>
                  </w:pPr>
                  <w:r>
                    <w:rPr>
                      <w:rFonts w:hint="eastAsia" w:eastAsia="宋体"/>
                      <w:b/>
                      <w:bCs/>
                      <w:color w:val="auto"/>
                      <w:sz w:val="21"/>
                      <w:szCs w:val="21"/>
                      <w:u w:val="single"/>
                      <w:vertAlign w:val="baseline"/>
                      <w:lang w:val="en-US" w:eastAsia="zh-CN"/>
                    </w:rPr>
                    <w:t>排放浓度（mg/L）</w:t>
                  </w:r>
                </w:p>
              </w:tc>
              <w:tc>
                <w:tcPr>
                  <w:tcW w:w="1071" w:type="pct"/>
                  <w:shd w:val="clear" w:color="auto" w:fill="auto"/>
                  <w:vAlign w:val="center"/>
                </w:tcPr>
                <w:p w14:paraId="252CEC9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u w:val="single"/>
                      <w:vertAlign w:val="baseline"/>
                      <w:lang w:val="en-US" w:eastAsia="zh-CN" w:bidi="ar-SA"/>
                    </w:rPr>
                  </w:pPr>
                  <w:r>
                    <w:rPr>
                      <w:rFonts w:hint="eastAsia" w:eastAsia="宋体"/>
                      <w:b/>
                      <w:bCs/>
                      <w:color w:val="auto"/>
                      <w:sz w:val="21"/>
                      <w:szCs w:val="21"/>
                      <w:u w:val="single"/>
                      <w:vertAlign w:val="baseline"/>
                      <w:lang w:val="en-US" w:eastAsia="zh-CN"/>
                    </w:rPr>
                    <w:t>排放量（t/a）</w:t>
                  </w:r>
                </w:p>
              </w:tc>
            </w:tr>
            <w:tr w14:paraId="13F80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vMerge w:val="restart"/>
                  <w:vAlign w:val="center"/>
                </w:tcPr>
                <w:p w14:paraId="0B5FE27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u w:val="single"/>
                      <w:vertAlign w:val="baseline"/>
                      <w:lang w:val="en-US" w:eastAsia="zh-CN"/>
                    </w:rPr>
                  </w:pPr>
                  <w:r>
                    <w:rPr>
                      <w:rFonts w:hint="eastAsia"/>
                      <w:b/>
                      <w:bCs/>
                      <w:color w:val="auto"/>
                      <w:sz w:val="21"/>
                      <w:szCs w:val="21"/>
                      <w:u w:val="single"/>
                      <w:vertAlign w:val="baseline"/>
                      <w:lang w:val="en-US" w:eastAsia="zh-CN"/>
                    </w:rPr>
                    <w:t>综合生产废水</w:t>
                  </w:r>
                </w:p>
              </w:tc>
              <w:tc>
                <w:tcPr>
                  <w:tcW w:w="330" w:type="pct"/>
                  <w:vMerge w:val="restart"/>
                  <w:vAlign w:val="center"/>
                </w:tcPr>
                <w:p w14:paraId="679BDFD5">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u w:val="single"/>
                      <w:vertAlign w:val="baseline"/>
                      <w:lang w:val="en-US" w:eastAsia="zh-CN"/>
                    </w:rPr>
                  </w:pPr>
                  <w:r>
                    <w:rPr>
                      <w:rFonts w:hint="eastAsia"/>
                      <w:b/>
                      <w:bCs/>
                      <w:sz w:val="21"/>
                      <w:szCs w:val="21"/>
                      <w:u w:val="single"/>
                      <w:lang w:val="en-US" w:eastAsia="zh-CN"/>
                    </w:rPr>
                    <w:t>170.776</w:t>
                  </w:r>
                </w:p>
              </w:tc>
              <w:tc>
                <w:tcPr>
                  <w:tcW w:w="344" w:type="pct"/>
                  <w:vMerge w:val="restart"/>
                  <w:vAlign w:val="center"/>
                </w:tcPr>
                <w:p w14:paraId="6DC8EC28">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u w:val="single"/>
                      <w:vertAlign w:val="baseline"/>
                      <w:lang w:val="en-US" w:eastAsia="zh-CN"/>
                    </w:rPr>
                  </w:pPr>
                  <w:r>
                    <w:rPr>
                      <w:rFonts w:hint="eastAsia"/>
                      <w:b/>
                      <w:bCs/>
                      <w:sz w:val="21"/>
                      <w:szCs w:val="21"/>
                      <w:u w:val="single"/>
                      <w:lang w:val="en-US" w:eastAsia="zh-CN"/>
                    </w:rPr>
                    <w:t>54648.92</w:t>
                  </w:r>
                </w:p>
              </w:tc>
              <w:tc>
                <w:tcPr>
                  <w:tcW w:w="551" w:type="pct"/>
                  <w:shd w:val="clear" w:color="auto" w:fill="auto"/>
                  <w:vAlign w:val="center"/>
                </w:tcPr>
                <w:p w14:paraId="1406DC5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u w:val="single"/>
                      <w:vertAlign w:val="baseline"/>
                      <w:lang w:val="en-US" w:eastAsia="zh-CN" w:bidi="ar-SA"/>
                    </w:rPr>
                  </w:pPr>
                  <w:r>
                    <w:rPr>
                      <w:rFonts w:hint="eastAsia"/>
                      <w:b/>
                      <w:bCs/>
                      <w:color w:val="auto"/>
                      <w:sz w:val="21"/>
                      <w:szCs w:val="21"/>
                      <w:u w:val="single"/>
                      <w:vertAlign w:val="baseline"/>
                      <w:lang w:val="en-US" w:eastAsia="zh-CN"/>
                    </w:rPr>
                    <w:t>pH</w:t>
                  </w:r>
                </w:p>
              </w:tc>
              <w:tc>
                <w:tcPr>
                  <w:tcW w:w="590" w:type="pct"/>
                  <w:vAlign w:val="center"/>
                </w:tcPr>
                <w:p w14:paraId="11B64B6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b/>
                      <w:bCs/>
                      <w:color w:val="auto"/>
                      <w:sz w:val="21"/>
                      <w:szCs w:val="21"/>
                      <w:u w:val="single"/>
                      <w:vertAlign w:val="baseline"/>
                      <w:lang w:val="en-US" w:eastAsia="zh-CN"/>
                    </w:rPr>
                  </w:pPr>
                  <w:r>
                    <w:rPr>
                      <w:rFonts w:hint="eastAsia" w:eastAsia="宋体"/>
                      <w:b/>
                      <w:bCs/>
                      <w:color w:val="auto"/>
                      <w:sz w:val="21"/>
                      <w:szCs w:val="21"/>
                      <w:u w:val="single"/>
                      <w:vertAlign w:val="baseline"/>
                      <w:lang w:val="en-US" w:eastAsia="zh-CN"/>
                    </w:rPr>
                    <w:t>6~9</w:t>
                  </w:r>
                </w:p>
              </w:tc>
              <w:tc>
                <w:tcPr>
                  <w:tcW w:w="804" w:type="pct"/>
                  <w:vAlign w:val="center"/>
                </w:tcPr>
                <w:p w14:paraId="5772BF95">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b/>
                      <w:bCs/>
                      <w:color w:val="auto"/>
                      <w:sz w:val="21"/>
                      <w:szCs w:val="21"/>
                      <w:u w:val="single"/>
                      <w:vertAlign w:val="baseline"/>
                      <w:lang w:val="en-US" w:eastAsia="zh-CN"/>
                    </w:rPr>
                  </w:pPr>
                  <w:r>
                    <w:rPr>
                      <w:rFonts w:hint="eastAsia" w:eastAsia="宋体"/>
                      <w:b/>
                      <w:bCs/>
                      <w:color w:val="auto"/>
                      <w:sz w:val="21"/>
                      <w:szCs w:val="21"/>
                      <w:u w:val="single"/>
                      <w:vertAlign w:val="baseline"/>
                      <w:lang w:val="en-US" w:eastAsia="zh-CN"/>
                    </w:rPr>
                    <w:t>/</w:t>
                  </w:r>
                </w:p>
              </w:tc>
              <w:tc>
                <w:tcPr>
                  <w:tcW w:w="981" w:type="pct"/>
                  <w:shd w:val="clear" w:color="auto" w:fill="auto"/>
                  <w:vAlign w:val="center"/>
                </w:tcPr>
                <w:p w14:paraId="068A9E2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u w:val="single"/>
                      <w:vertAlign w:val="baseline"/>
                      <w:lang w:val="en-US" w:eastAsia="zh-CN" w:bidi="ar-SA"/>
                    </w:rPr>
                  </w:pPr>
                  <w:r>
                    <w:rPr>
                      <w:rFonts w:hint="eastAsia" w:eastAsia="宋体"/>
                      <w:b/>
                      <w:bCs/>
                      <w:color w:val="auto"/>
                      <w:sz w:val="21"/>
                      <w:szCs w:val="21"/>
                      <w:u w:val="single"/>
                      <w:vertAlign w:val="baseline"/>
                      <w:lang w:val="en-US" w:eastAsia="zh-CN"/>
                    </w:rPr>
                    <w:t>6~9</w:t>
                  </w:r>
                </w:p>
              </w:tc>
              <w:tc>
                <w:tcPr>
                  <w:tcW w:w="1071" w:type="pct"/>
                  <w:shd w:val="clear" w:color="auto" w:fill="auto"/>
                  <w:vAlign w:val="center"/>
                </w:tcPr>
                <w:p w14:paraId="7025CE2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u w:val="single"/>
                      <w:vertAlign w:val="baseline"/>
                      <w:lang w:val="en-US" w:eastAsia="zh-CN" w:bidi="ar-SA"/>
                    </w:rPr>
                  </w:pPr>
                  <w:r>
                    <w:rPr>
                      <w:rFonts w:hint="eastAsia" w:eastAsia="宋体"/>
                      <w:b/>
                      <w:bCs/>
                      <w:color w:val="auto"/>
                      <w:sz w:val="21"/>
                      <w:szCs w:val="21"/>
                      <w:u w:val="single"/>
                      <w:vertAlign w:val="baseline"/>
                      <w:lang w:val="en-US" w:eastAsia="zh-CN"/>
                    </w:rPr>
                    <w:t>/</w:t>
                  </w:r>
                </w:p>
              </w:tc>
            </w:tr>
            <w:tr w14:paraId="63300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vMerge w:val="continue"/>
                  <w:vAlign w:val="center"/>
                </w:tcPr>
                <w:p w14:paraId="4083887D">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b/>
                      <w:bCs/>
                      <w:color w:val="auto"/>
                      <w:sz w:val="21"/>
                      <w:szCs w:val="21"/>
                      <w:u w:val="single"/>
                      <w:vertAlign w:val="baseline"/>
                      <w:lang w:val="en-US" w:eastAsia="zh-CN"/>
                    </w:rPr>
                  </w:pPr>
                </w:p>
              </w:tc>
              <w:tc>
                <w:tcPr>
                  <w:tcW w:w="330" w:type="pct"/>
                  <w:vMerge w:val="continue"/>
                  <w:vAlign w:val="center"/>
                </w:tcPr>
                <w:p w14:paraId="4174028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u w:val="single"/>
                      <w:vertAlign w:val="baseline"/>
                      <w:lang w:val="en-US" w:eastAsia="zh-CN"/>
                    </w:rPr>
                  </w:pPr>
                </w:p>
              </w:tc>
              <w:tc>
                <w:tcPr>
                  <w:tcW w:w="344" w:type="pct"/>
                  <w:vMerge w:val="continue"/>
                  <w:vAlign w:val="center"/>
                </w:tcPr>
                <w:p w14:paraId="544BC68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u w:val="single"/>
                      <w:vertAlign w:val="baseline"/>
                      <w:lang w:val="en-US" w:eastAsia="zh-CN"/>
                    </w:rPr>
                  </w:pPr>
                </w:p>
              </w:tc>
              <w:tc>
                <w:tcPr>
                  <w:tcW w:w="551" w:type="pct"/>
                  <w:shd w:val="clear" w:color="auto" w:fill="auto"/>
                  <w:vAlign w:val="center"/>
                </w:tcPr>
                <w:p w14:paraId="30C0182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u w:val="single"/>
                      <w:vertAlign w:val="baseline"/>
                      <w:lang w:val="en-US" w:eastAsia="zh-CN" w:bidi="ar-SA"/>
                    </w:rPr>
                  </w:pPr>
                  <w:r>
                    <w:rPr>
                      <w:rFonts w:hint="eastAsia"/>
                      <w:b/>
                      <w:bCs/>
                      <w:color w:val="auto"/>
                      <w:sz w:val="21"/>
                      <w:szCs w:val="21"/>
                      <w:u w:val="single"/>
                      <w:vertAlign w:val="baseline"/>
                      <w:lang w:val="en-US" w:eastAsia="zh-CN"/>
                    </w:rPr>
                    <w:t>COD</w:t>
                  </w:r>
                </w:p>
              </w:tc>
              <w:tc>
                <w:tcPr>
                  <w:tcW w:w="590" w:type="pct"/>
                  <w:shd w:val="clear" w:color="auto" w:fill="auto"/>
                  <w:vAlign w:val="center"/>
                </w:tcPr>
                <w:p w14:paraId="47F9D33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u w:val="single"/>
                      <w:vertAlign w:val="baseline"/>
                      <w:lang w:val="en-US" w:eastAsia="zh-CN" w:bidi="ar-SA"/>
                    </w:rPr>
                  </w:pPr>
                  <w:r>
                    <w:rPr>
                      <w:rFonts w:hint="eastAsia" w:eastAsia="宋体"/>
                      <w:b/>
                      <w:bCs/>
                      <w:color w:val="auto"/>
                      <w:sz w:val="21"/>
                      <w:szCs w:val="21"/>
                      <w:u w:val="single"/>
                      <w:vertAlign w:val="baseline"/>
                      <w:lang w:val="en-US" w:eastAsia="zh-CN"/>
                    </w:rPr>
                    <w:t>2000</w:t>
                  </w:r>
                </w:p>
              </w:tc>
              <w:tc>
                <w:tcPr>
                  <w:tcW w:w="804" w:type="pct"/>
                  <w:shd w:val="clear" w:color="auto" w:fill="auto"/>
                  <w:vAlign w:val="center"/>
                </w:tcPr>
                <w:p w14:paraId="67A6F9C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u w:val="single"/>
                      <w:vertAlign w:val="baseline"/>
                      <w:lang w:val="en-US" w:eastAsia="zh-CN"/>
                    </w:rPr>
                  </w:pPr>
                  <w:r>
                    <w:rPr>
                      <w:rFonts w:hint="default" w:ascii="Times New Roman" w:hAnsi="Times New Roman" w:eastAsia="宋体" w:cs="Times New Roman"/>
                      <w:b/>
                      <w:bCs/>
                      <w:color w:val="auto"/>
                      <w:sz w:val="21"/>
                      <w:szCs w:val="21"/>
                      <w:u w:val="single"/>
                      <w:vertAlign w:val="baseline"/>
                      <w:lang w:val="en-US" w:eastAsia="zh-CN"/>
                    </w:rPr>
                    <w:t>109.2978</w:t>
                  </w:r>
                </w:p>
              </w:tc>
              <w:tc>
                <w:tcPr>
                  <w:tcW w:w="981" w:type="pct"/>
                  <w:shd w:val="clear" w:color="auto" w:fill="auto"/>
                  <w:vAlign w:val="center"/>
                </w:tcPr>
                <w:p w14:paraId="21D9DEA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u w:val="single"/>
                      <w:vertAlign w:val="baseline"/>
                      <w:lang w:val="en-US" w:eastAsia="zh-CN" w:bidi="ar-SA"/>
                    </w:rPr>
                  </w:pPr>
                  <w:r>
                    <w:rPr>
                      <w:rFonts w:hint="eastAsia" w:eastAsia="宋体"/>
                      <w:b/>
                      <w:bCs/>
                      <w:color w:val="auto"/>
                      <w:sz w:val="21"/>
                      <w:szCs w:val="21"/>
                      <w:u w:val="single"/>
                      <w:vertAlign w:val="baseline"/>
                      <w:lang w:val="en-US" w:eastAsia="zh-CN"/>
                    </w:rPr>
                    <w:t>2000</w:t>
                  </w:r>
                </w:p>
              </w:tc>
              <w:tc>
                <w:tcPr>
                  <w:tcW w:w="1071" w:type="pct"/>
                  <w:shd w:val="clear" w:color="auto" w:fill="auto"/>
                  <w:vAlign w:val="center"/>
                </w:tcPr>
                <w:p w14:paraId="6B76A9E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u w:val="single"/>
                      <w:vertAlign w:val="baseline"/>
                      <w:lang w:val="en-US" w:eastAsia="zh-CN" w:bidi="ar-SA"/>
                    </w:rPr>
                  </w:pPr>
                  <w:r>
                    <w:rPr>
                      <w:rFonts w:hint="default" w:ascii="Times New Roman" w:hAnsi="Times New Roman" w:eastAsia="宋体" w:cs="Times New Roman"/>
                      <w:b/>
                      <w:bCs/>
                      <w:color w:val="auto"/>
                      <w:sz w:val="21"/>
                      <w:szCs w:val="21"/>
                      <w:u w:val="single"/>
                      <w:vertAlign w:val="baseline"/>
                      <w:lang w:val="en-US" w:eastAsia="zh-CN"/>
                    </w:rPr>
                    <w:t>109.2978</w:t>
                  </w:r>
                </w:p>
              </w:tc>
            </w:tr>
            <w:tr w14:paraId="5622F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vMerge w:val="continue"/>
                  <w:vAlign w:val="center"/>
                </w:tcPr>
                <w:p w14:paraId="528F0D0D">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u w:val="single"/>
                      <w:vertAlign w:val="baseline"/>
                      <w:lang w:val="zh-CN"/>
                    </w:rPr>
                  </w:pPr>
                </w:p>
              </w:tc>
              <w:tc>
                <w:tcPr>
                  <w:tcW w:w="330" w:type="pct"/>
                  <w:vMerge w:val="continue"/>
                  <w:vAlign w:val="center"/>
                </w:tcPr>
                <w:p w14:paraId="235CABE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u w:val="single"/>
                      <w:vertAlign w:val="baseline"/>
                      <w:lang w:val="en-US" w:eastAsia="zh-CN"/>
                    </w:rPr>
                  </w:pPr>
                </w:p>
              </w:tc>
              <w:tc>
                <w:tcPr>
                  <w:tcW w:w="344" w:type="pct"/>
                  <w:vMerge w:val="continue"/>
                  <w:vAlign w:val="center"/>
                </w:tcPr>
                <w:p w14:paraId="70E657A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u w:val="single"/>
                      <w:vertAlign w:val="baseline"/>
                      <w:lang w:val="en-US" w:eastAsia="zh-CN"/>
                    </w:rPr>
                  </w:pPr>
                </w:p>
              </w:tc>
              <w:tc>
                <w:tcPr>
                  <w:tcW w:w="551" w:type="pct"/>
                  <w:shd w:val="clear" w:color="auto" w:fill="auto"/>
                  <w:vAlign w:val="center"/>
                </w:tcPr>
                <w:p w14:paraId="151AB4D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u w:val="single"/>
                      <w:vertAlign w:val="baseline"/>
                      <w:lang w:val="en-US" w:eastAsia="zh-CN" w:bidi="ar-SA"/>
                    </w:rPr>
                  </w:pPr>
                  <w:r>
                    <w:rPr>
                      <w:rFonts w:hint="eastAsia"/>
                      <w:b/>
                      <w:bCs/>
                      <w:color w:val="auto"/>
                      <w:sz w:val="21"/>
                      <w:szCs w:val="21"/>
                      <w:u w:val="single"/>
                      <w:vertAlign w:val="baseline"/>
                      <w:lang w:val="en-US" w:eastAsia="zh-CN"/>
                    </w:rPr>
                    <w:t>BOD5</w:t>
                  </w:r>
                </w:p>
              </w:tc>
              <w:tc>
                <w:tcPr>
                  <w:tcW w:w="590" w:type="pct"/>
                  <w:shd w:val="clear" w:color="auto" w:fill="auto"/>
                  <w:vAlign w:val="center"/>
                </w:tcPr>
                <w:p w14:paraId="02DCE6C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u w:val="single"/>
                      <w:vertAlign w:val="baseline"/>
                      <w:lang w:val="en-US" w:eastAsia="zh-CN" w:bidi="ar-SA"/>
                    </w:rPr>
                  </w:pPr>
                  <w:r>
                    <w:rPr>
                      <w:rFonts w:hint="eastAsia" w:eastAsia="宋体"/>
                      <w:b/>
                      <w:bCs/>
                      <w:color w:val="auto"/>
                      <w:sz w:val="21"/>
                      <w:szCs w:val="21"/>
                      <w:u w:val="single"/>
                      <w:vertAlign w:val="baseline"/>
                      <w:lang w:val="en-US" w:eastAsia="zh-CN"/>
                    </w:rPr>
                    <w:t>800</w:t>
                  </w:r>
                </w:p>
              </w:tc>
              <w:tc>
                <w:tcPr>
                  <w:tcW w:w="804" w:type="pct"/>
                  <w:shd w:val="clear" w:color="auto" w:fill="auto"/>
                  <w:vAlign w:val="center"/>
                </w:tcPr>
                <w:p w14:paraId="2766C2E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u w:val="single"/>
                      <w:vertAlign w:val="baseline"/>
                      <w:lang w:val="en-US" w:eastAsia="zh-CN"/>
                    </w:rPr>
                  </w:pPr>
                  <w:r>
                    <w:rPr>
                      <w:rFonts w:hint="default" w:ascii="Times New Roman" w:hAnsi="Times New Roman" w:eastAsia="宋体" w:cs="Times New Roman"/>
                      <w:b/>
                      <w:bCs/>
                      <w:color w:val="auto"/>
                      <w:sz w:val="21"/>
                      <w:szCs w:val="21"/>
                      <w:u w:val="single"/>
                      <w:vertAlign w:val="baseline"/>
                      <w:lang w:val="en-US" w:eastAsia="zh-CN"/>
                    </w:rPr>
                    <w:t>43.7191</w:t>
                  </w:r>
                </w:p>
              </w:tc>
              <w:tc>
                <w:tcPr>
                  <w:tcW w:w="981" w:type="pct"/>
                  <w:shd w:val="clear" w:color="auto" w:fill="auto"/>
                  <w:vAlign w:val="center"/>
                </w:tcPr>
                <w:p w14:paraId="429EF41D">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u w:val="single"/>
                      <w:vertAlign w:val="baseline"/>
                      <w:lang w:val="en-US" w:eastAsia="zh-CN" w:bidi="ar-SA"/>
                    </w:rPr>
                  </w:pPr>
                  <w:r>
                    <w:rPr>
                      <w:rFonts w:hint="eastAsia" w:eastAsia="宋体"/>
                      <w:b/>
                      <w:bCs/>
                      <w:color w:val="auto"/>
                      <w:sz w:val="21"/>
                      <w:szCs w:val="21"/>
                      <w:u w:val="single"/>
                      <w:vertAlign w:val="baseline"/>
                      <w:lang w:val="en-US" w:eastAsia="zh-CN"/>
                    </w:rPr>
                    <w:t>800</w:t>
                  </w:r>
                </w:p>
              </w:tc>
              <w:tc>
                <w:tcPr>
                  <w:tcW w:w="1071" w:type="pct"/>
                  <w:shd w:val="clear" w:color="auto" w:fill="auto"/>
                  <w:vAlign w:val="center"/>
                </w:tcPr>
                <w:p w14:paraId="72D7FF38">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u w:val="single"/>
                      <w:vertAlign w:val="baseline"/>
                      <w:lang w:val="en-US" w:eastAsia="zh-CN" w:bidi="ar-SA"/>
                    </w:rPr>
                  </w:pPr>
                  <w:r>
                    <w:rPr>
                      <w:rFonts w:hint="default" w:ascii="Times New Roman" w:hAnsi="Times New Roman" w:eastAsia="宋体" w:cs="Times New Roman"/>
                      <w:b/>
                      <w:bCs/>
                      <w:color w:val="auto"/>
                      <w:sz w:val="21"/>
                      <w:szCs w:val="21"/>
                      <w:u w:val="single"/>
                      <w:vertAlign w:val="baseline"/>
                      <w:lang w:val="en-US" w:eastAsia="zh-CN"/>
                    </w:rPr>
                    <w:t>43.7191</w:t>
                  </w:r>
                </w:p>
              </w:tc>
            </w:tr>
            <w:tr w14:paraId="4B02C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vMerge w:val="continue"/>
                  <w:vAlign w:val="center"/>
                </w:tcPr>
                <w:p w14:paraId="43514EF0">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u w:val="single"/>
                      <w:vertAlign w:val="baseline"/>
                      <w:lang w:val="zh-CN"/>
                    </w:rPr>
                  </w:pPr>
                </w:p>
              </w:tc>
              <w:tc>
                <w:tcPr>
                  <w:tcW w:w="330" w:type="pct"/>
                  <w:vMerge w:val="continue"/>
                  <w:vAlign w:val="center"/>
                </w:tcPr>
                <w:p w14:paraId="2BA40F1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u w:val="single"/>
                      <w:vertAlign w:val="baseline"/>
                      <w:lang w:val="en-US" w:eastAsia="zh-CN"/>
                    </w:rPr>
                  </w:pPr>
                </w:p>
              </w:tc>
              <w:tc>
                <w:tcPr>
                  <w:tcW w:w="344" w:type="pct"/>
                  <w:vMerge w:val="continue"/>
                  <w:vAlign w:val="center"/>
                </w:tcPr>
                <w:p w14:paraId="0AB02B3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u w:val="single"/>
                      <w:vertAlign w:val="baseline"/>
                      <w:lang w:val="en-US" w:eastAsia="zh-CN"/>
                    </w:rPr>
                  </w:pPr>
                </w:p>
              </w:tc>
              <w:tc>
                <w:tcPr>
                  <w:tcW w:w="551" w:type="pct"/>
                  <w:shd w:val="clear" w:color="auto" w:fill="auto"/>
                  <w:vAlign w:val="center"/>
                </w:tcPr>
                <w:p w14:paraId="2D112BB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u w:val="single"/>
                      <w:vertAlign w:val="baseline"/>
                      <w:lang w:val="en-US" w:eastAsia="zh-CN" w:bidi="ar-SA"/>
                    </w:rPr>
                  </w:pPr>
                  <w:r>
                    <w:rPr>
                      <w:rFonts w:hint="eastAsia"/>
                      <w:b/>
                      <w:bCs/>
                      <w:color w:val="auto"/>
                      <w:sz w:val="21"/>
                      <w:szCs w:val="21"/>
                      <w:u w:val="single"/>
                      <w:vertAlign w:val="baseline"/>
                      <w:lang w:val="en-US" w:eastAsia="zh-CN"/>
                    </w:rPr>
                    <w:t>SS</w:t>
                  </w:r>
                </w:p>
              </w:tc>
              <w:tc>
                <w:tcPr>
                  <w:tcW w:w="590" w:type="pct"/>
                  <w:vAlign w:val="center"/>
                </w:tcPr>
                <w:p w14:paraId="32CE73D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u w:val="single"/>
                      <w:vertAlign w:val="baseline"/>
                      <w:lang w:val="en-US" w:eastAsia="zh-CN"/>
                    </w:rPr>
                  </w:pPr>
                  <w:r>
                    <w:rPr>
                      <w:rFonts w:hint="eastAsia"/>
                      <w:b/>
                      <w:bCs/>
                      <w:color w:val="auto"/>
                      <w:sz w:val="21"/>
                      <w:szCs w:val="21"/>
                      <w:u w:val="single"/>
                      <w:vertAlign w:val="baseline"/>
                      <w:lang w:val="en-US" w:eastAsia="zh-CN"/>
                    </w:rPr>
                    <w:t>600</w:t>
                  </w:r>
                </w:p>
              </w:tc>
              <w:tc>
                <w:tcPr>
                  <w:tcW w:w="804" w:type="pct"/>
                  <w:shd w:val="clear" w:color="auto" w:fill="auto"/>
                  <w:vAlign w:val="center"/>
                </w:tcPr>
                <w:p w14:paraId="30DA178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u w:val="single"/>
                      <w:vertAlign w:val="baseline"/>
                      <w:lang w:val="en-US" w:eastAsia="zh-CN"/>
                    </w:rPr>
                  </w:pPr>
                  <w:r>
                    <w:rPr>
                      <w:rFonts w:hint="default" w:ascii="Times New Roman" w:hAnsi="Times New Roman" w:eastAsia="宋体" w:cs="Times New Roman"/>
                      <w:b/>
                      <w:bCs/>
                      <w:color w:val="auto"/>
                      <w:sz w:val="21"/>
                      <w:szCs w:val="21"/>
                      <w:u w:val="single"/>
                      <w:vertAlign w:val="baseline"/>
                      <w:lang w:val="en-US" w:eastAsia="zh-CN"/>
                    </w:rPr>
                    <w:t>32.7894</w:t>
                  </w:r>
                </w:p>
              </w:tc>
              <w:tc>
                <w:tcPr>
                  <w:tcW w:w="981" w:type="pct"/>
                  <w:shd w:val="clear" w:color="auto" w:fill="auto"/>
                  <w:vAlign w:val="center"/>
                </w:tcPr>
                <w:p w14:paraId="0607C1B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u w:val="single"/>
                      <w:vertAlign w:val="baseline"/>
                      <w:lang w:val="en-US" w:eastAsia="zh-CN" w:bidi="ar-SA"/>
                    </w:rPr>
                  </w:pPr>
                  <w:r>
                    <w:rPr>
                      <w:rFonts w:hint="eastAsia"/>
                      <w:b/>
                      <w:bCs/>
                      <w:color w:val="auto"/>
                      <w:sz w:val="21"/>
                      <w:szCs w:val="21"/>
                      <w:u w:val="single"/>
                      <w:vertAlign w:val="baseline"/>
                      <w:lang w:val="en-US" w:eastAsia="zh-CN"/>
                    </w:rPr>
                    <w:t>600</w:t>
                  </w:r>
                </w:p>
              </w:tc>
              <w:tc>
                <w:tcPr>
                  <w:tcW w:w="1071" w:type="pct"/>
                  <w:shd w:val="clear" w:color="auto" w:fill="auto"/>
                  <w:vAlign w:val="center"/>
                </w:tcPr>
                <w:p w14:paraId="42E46C4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u w:val="single"/>
                      <w:vertAlign w:val="baseline"/>
                      <w:lang w:val="en-US" w:eastAsia="zh-CN" w:bidi="ar-SA"/>
                    </w:rPr>
                  </w:pPr>
                  <w:r>
                    <w:rPr>
                      <w:rFonts w:hint="default" w:ascii="Times New Roman" w:hAnsi="Times New Roman" w:eastAsia="宋体" w:cs="Times New Roman"/>
                      <w:b/>
                      <w:bCs/>
                      <w:color w:val="auto"/>
                      <w:sz w:val="21"/>
                      <w:szCs w:val="21"/>
                      <w:u w:val="single"/>
                      <w:vertAlign w:val="baseline"/>
                      <w:lang w:val="en-US" w:eastAsia="zh-CN"/>
                    </w:rPr>
                    <w:t>32.7894</w:t>
                  </w:r>
                </w:p>
              </w:tc>
            </w:tr>
            <w:tr w14:paraId="3D802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vMerge w:val="continue"/>
                  <w:vAlign w:val="center"/>
                </w:tcPr>
                <w:p w14:paraId="1DA9C95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u w:val="single"/>
                      <w:vertAlign w:val="baseline"/>
                      <w:lang w:val="zh-CN"/>
                    </w:rPr>
                  </w:pPr>
                </w:p>
              </w:tc>
              <w:tc>
                <w:tcPr>
                  <w:tcW w:w="330" w:type="pct"/>
                  <w:vMerge w:val="continue"/>
                  <w:vAlign w:val="center"/>
                </w:tcPr>
                <w:p w14:paraId="4B427162">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u w:val="single"/>
                      <w:vertAlign w:val="baseline"/>
                      <w:lang w:val="en-US" w:eastAsia="zh-CN"/>
                    </w:rPr>
                  </w:pPr>
                </w:p>
              </w:tc>
              <w:tc>
                <w:tcPr>
                  <w:tcW w:w="344" w:type="pct"/>
                  <w:vMerge w:val="continue"/>
                  <w:vAlign w:val="center"/>
                </w:tcPr>
                <w:p w14:paraId="444E1C24">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u w:val="single"/>
                      <w:vertAlign w:val="baseline"/>
                      <w:lang w:val="en-US" w:eastAsia="zh-CN"/>
                    </w:rPr>
                  </w:pPr>
                </w:p>
              </w:tc>
              <w:tc>
                <w:tcPr>
                  <w:tcW w:w="551" w:type="pct"/>
                  <w:shd w:val="clear" w:color="auto" w:fill="auto"/>
                  <w:vAlign w:val="center"/>
                </w:tcPr>
                <w:p w14:paraId="3EBBE09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u w:val="single"/>
                      <w:vertAlign w:val="baseline"/>
                      <w:lang w:val="en-US" w:eastAsia="zh-CN" w:bidi="ar-SA"/>
                    </w:rPr>
                  </w:pPr>
                  <w:r>
                    <w:rPr>
                      <w:rFonts w:hint="eastAsia"/>
                      <w:b/>
                      <w:bCs/>
                      <w:color w:val="auto"/>
                      <w:sz w:val="21"/>
                      <w:szCs w:val="21"/>
                      <w:u w:val="single"/>
                      <w:vertAlign w:val="baseline"/>
                      <w:lang w:val="en-US" w:eastAsia="zh-CN"/>
                    </w:rPr>
                    <w:t>NH3-N</w:t>
                  </w:r>
                </w:p>
              </w:tc>
              <w:tc>
                <w:tcPr>
                  <w:tcW w:w="590" w:type="pct"/>
                  <w:vAlign w:val="center"/>
                </w:tcPr>
                <w:p w14:paraId="2453E10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u w:val="single"/>
                      <w:vertAlign w:val="baseline"/>
                      <w:lang w:val="en-US" w:eastAsia="zh-CN"/>
                    </w:rPr>
                  </w:pPr>
                  <w:r>
                    <w:rPr>
                      <w:rFonts w:hint="eastAsia"/>
                      <w:b/>
                      <w:bCs/>
                      <w:color w:val="auto"/>
                      <w:sz w:val="21"/>
                      <w:szCs w:val="21"/>
                      <w:u w:val="single"/>
                      <w:vertAlign w:val="baseline"/>
                      <w:lang w:val="en-US" w:eastAsia="zh-CN"/>
                    </w:rPr>
                    <w:t>30</w:t>
                  </w:r>
                </w:p>
              </w:tc>
              <w:tc>
                <w:tcPr>
                  <w:tcW w:w="804" w:type="pct"/>
                  <w:shd w:val="clear" w:color="auto" w:fill="auto"/>
                  <w:vAlign w:val="center"/>
                </w:tcPr>
                <w:p w14:paraId="770D284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u w:val="single"/>
                      <w:vertAlign w:val="baseline"/>
                      <w:lang w:val="en-US" w:eastAsia="zh-CN"/>
                    </w:rPr>
                  </w:pPr>
                  <w:r>
                    <w:rPr>
                      <w:rFonts w:hint="default" w:ascii="Times New Roman" w:hAnsi="Times New Roman" w:eastAsia="宋体" w:cs="Times New Roman"/>
                      <w:b/>
                      <w:bCs/>
                      <w:color w:val="auto"/>
                      <w:sz w:val="21"/>
                      <w:szCs w:val="21"/>
                      <w:u w:val="single"/>
                      <w:vertAlign w:val="baseline"/>
                      <w:lang w:val="en-US" w:eastAsia="zh-CN"/>
                    </w:rPr>
                    <w:t>2.1313</w:t>
                  </w:r>
                </w:p>
              </w:tc>
              <w:tc>
                <w:tcPr>
                  <w:tcW w:w="981" w:type="pct"/>
                  <w:shd w:val="clear" w:color="auto" w:fill="auto"/>
                  <w:vAlign w:val="center"/>
                </w:tcPr>
                <w:p w14:paraId="3F8FCB04">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u w:val="single"/>
                      <w:vertAlign w:val="baseline"/>
                      <w:lang w:val="en-US" w:eastAsia="zh-CN" w:bidi="ar-SA"/>
                    </w:rPr>
                  </w:pPr>
                  <w:r>
                    <w:rPr>
                      <w:rFonts w:hint="eastAsia"/>
                      <w:b/>
                      <w:bCs/>
                      <w:color w:val="auto"/>
                      <w:sz w:val="21"/>
                      <w:szCs w:val="21"/>
                      <w:u w:val="single"/>
                      <w:vertAlign w:val="baseline"/>
                      <w:lang w:val="en-US" w:eastAsia="zh-CN"/>
                    </w:rPr>
                    <w:t>30</w:t>
                  </w:r>
                </w:p>
              </w:tc>
              <w:tc>
                <w:tcPr>
                  <w:tcW w:w="1071" w:type="pct"/>
                  <w:shd w:val="clear" w:color="auto" w:fill="auto"/>
                  <w:vAlign w:val="center"/>
                </w:tcPr>
                <w:p w14:paraId="1756539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u w:val="single"/>
                      <w:vertAlign w:val="baseline"/>
                      <w:lang w:val="en-US" w:eastAsia="zh-CN" w:bidi="ar-SA"/>
                    </w:rPr>
                  </w:pPr>
                  <w:r>
                    <w:rPr>
                      <w:rFonts w:hint="default" w:ascii="Times New Roman" w:hAnsi="Times New Roman" w:eastAsia="宋体" w:cs="Times New Roman"/>
                      <w:b/>
                      <w:bCs/>
                      <w:color w:val="auto"/>
                      <w:sz w:val="21"/>
                      <w:szCs w:val="21"/>
                      <w:u w:val="single"/>
                      <w:vertAlign w:val="baseline"/>
                      <w:lang w:val="en-US" w:eastAsia="zh-CN"/>
                    </w:rPr>
                    <w:t>2.1313</w:t>
                  </w:r>
                </w:p>
              </w:tc>
            </w:tr>
            <w:tr w14:paraId="1883E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vMerge w:val="continue"/>
                  <w:vAlign w:val="center"/>
                </w:tcPr>
                <w:p w14:paraId="22F6755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u w:val="single"/>
                      <w:vertAlign w:val="baseline"/>
                      <w:lang w:val="zh-CN"/>
                    </w:rPr>
                  </w:pPr>
                </w:p>
              </w:tc>
              <w:tc>
                <w:tcPr>
                  <w:tcW w:w="330" w:type="pct"/>
                  <w:vMerge w:val="continue"/>
                  <w:vAlign w:val="center"/>
                </w:tcPr>
                <w:p w14:paraId="2D99665D">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u w:val="single"/>
                      <w:vertAlign w:val="baseline"/>
                      <w:lang w:val="en-US" w:eastAsia="zh-CN"/>
                    </w:rPr>
                  </w:pPr>
                </w:p>
              </w:tc>
              <w:tc>
                <w:tcPr>
                  <w:tcW w:w="344" w:type="pct"/>
                  <w:vMerge w:val="continue"/>
                  <w:vAlign w:val="center"/>
                </w:tcPr>
                <w:p w14:paraId="7A5DE46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u w:val="single"/>
                      <w:vertAlign w:val="baseline"/>
                      <w:lang w:val="en-US" w:eastAsia="zh-CN"/>
                    </w:rPr>
                  </w:pPr>
                </w:p>
              </w:tc>
              <w:tc>
                <w:tcPr>
                  <w:tcW w:w="551" w:type="pct"/>
                  <w:shd w:val="clear" w:color="auto" w:fill="auto"/>
                  <w:vAlign w:val="center"/>
                </w:tcPr>
                <w:p w14:paraId="0197E26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u w:val="single"/>
                      <w:vertAlign w:val="baseline"/>
                      <w:lang w:val="en-US" w:eastAsia="zh-CN" w:bidi="ar-SA"/>
                    </w:rPr>
                  </w:pPr>
                  <w:r>
                    <w:rPr>
                      <w:rFonts w:hint="eastAsia"/>
                      <w:b/>
                      <w:bCs/>
                      <w:color w:val="auto"/>
                      <w:sz w:val="21"/>
                      <w:szCs w:val="21"/>
                      <w:u w:val="single"/>
                      <w:vertAlign w:val="baseline"/>
                      <w:lang w:val="en-US" w:eastAsia="zh-CN"/>
                    </w:rPr>
                    <w:t>色度</w:t>
                  </w:r>
                </w:p>
              </w:tc>
              <w:tc>
                <w:tcPr>
                  <w:tcW w:w="590" w:type="pct"/>
                  <w:vAlign w:val="center"/>
                </w:tcPr>
                <w:p w14:paraId="3944301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u w:val="single"/>
                      <w:vertAlign w:val="baseline"/>
                      <w:lang w:val="en-US" w:eastAsia="zh-CN"/>
                    </w:rPr>
                  </w:pPr>
                  <w:r>
                    <w:rPr>
                      <w:rFonts w:hint="eastAsia"/>
                      <w:b/>
                      <w:bCs/>
                      <w:color w:val="auto"/>
                      <w:sz w:val="21"/>
                      <w:szCs w:val="21"/>
                      <w:u w:val="single"/>
                      <w:vertAlign w:val="baseline"/>
                      <w:lang w:val="en-US" w:eastAsia="zh-CN"/>
                    </w:rPr>
                    <w:t>450</w:t>
                  </w:r>
                </w:p>
              </w:tc>
              <w:tc>
                <w:tcPr>
                  <w:tcW w:w="804" w:type="pct"/>
                  <w:vAlign w:val="center"/>
                </w:tcPr>
                <w:p w14:paraId="6EA6DD4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u w:val="single"/>
                      <w:vertAlign w:val="baseline"/>
                      <w:lang w:val="en-US" w:eastAsia="zh-CN"/>
                    </w:rPr>
                  </w:pPr>
                  <w:r>
                    <w:rPr>
                      <w:rFonts w:hint="eastAsia"/>
                      <w:b/>
                      <w:bCs/>
                      <w:color w:val="auto"/>
                      <w:sz w:val="21"/>
                      <w:szCs w:val="21"/>
                      <w:u w:val="single"/>
                      <w:vertAlign w:val="baseline"/>
                      <w:lang w:val="en-US" w:eastAsia="zh-CN"/>
                    </w:rPr>
                    <w:t>/</w:t>
                  </w:r>
                </w:p>
              </w:tc>
              <w:tc>
                <w:tcPr>
                  <w:tcW w:w="981" w:type="pct"/>
                  <w:shd w:val="clear" w:color="auto" w:fill="auto"/>
                  <w:vAlign w:val="center"/>
                </w:tcPr>
                <w:p w14:paraId="1706921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u w:val="single"/>
                      <w:vertAlign w:val="baseline"/>
                      <w:lang w:val="en-US" w:eastAsia="zh-CN" w:bidi="ar-SA"/>
                    </w:rPr>
                  </w:pPr>
                  <w:r>
                    <w:rPr>
                      <w:rFonts w:hint="eastAsia"/>
                      <w:b/>
                      <w:bCs/>
                      <w:color w:val="auto"/>
                      <w:sz w:val="21"/>
                      <w:szCs w:val="21"/>
                      <w:u w:val="single"/>
                      <w:vertAlign w:val="baseline"/>
                      <w:lang w:val="en-US" w:eastAsia="zh-CN"/>
                    </w:rPr>
                    <w:t>450</w:t>
                  </w:r>
                </w:p>
              </w:tc>
              <w:tc>
                <w:tcPr>
                  <w:tcW w:w="1071" w:type="pct"/>
                  <w:shd w:val="clear" w:color="auto" w:fill="auto"/>
                  <w:vAlign w:val="center"/>
                </w:tcPr>
                <w:p w14:paraId="14A94608">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u w:val="single"/>
                      <w:vertAlign w:val="baseline"/>
                      <w:lang w:val="en-US" w:eastAsia="zh-CN" w:bidi="ar-SA"/>
                    </w:rPr>
                  </w:pPr>
                  <w:r>
                    <w:rPr>
                      <w:rFonts w:hint="eastAsia"/>
                      <w:b/>
                      <w:bCs/>
                      <w:color w:val="auto"/>
                      <w:sz w:val="21"/>
                      <w:szCs w:val="21"/>
                      <w:u w:val="single"/>
                      <w:vertAlign w:val="baseline"/>
                      <w:lang w:val="en-US" w:eastAsia="zh-CN"/>
                    </w:rPr>
                    <w:t>/</w:t>
                  </w:r>
                </w:p>
              </w:tc>
            </w:tr>
            <w:tr w14:paraId="093BB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316" w:type="pct"/>
                  <w:vMerge w:val="restart"/>
                  <w:vAlign w:val="center"/>
                </w:tcPr>
                <w:p w14:paraId="61961F6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b/>
                      <w:bCs/>
                      <w:color w:val="auto"/>
                      <w:sz w:val="21"/>
                      <w:szCs w:val="21"/>
                      <w:u w:val="single"/>
                      <w:vertAlign w:val="baseline"/>
                      <w:lang w:val="en-US" w:eastAsia="zh-CN"/>
                    </w:rPr>
                  </w:pPr>
                  <w:r>
                    <w:rPr>
                      <w:rFonts w:hint="eastAsia"/>
                      <w:b/>
                      <w:bCs/>
                      <w:color w:val="auto"/>
                      <w:sz w:val="21"/>
                      <w:szCs w:val="21"/>
                      <w:u w:val="single"/>
                      <w:vertAlign w:val="baseline"/>
                      <w:lang w:val="en-US" w:eastAsia="zh-CN"/>
                    </w:rPr>
                    <w:t>生活污水</w:t>
                  </w:r>
                </w:p>
              </w:tc>
              <w:tc>
                <w:tcPr>
                  <w:tcW w:w="330" w:type="pct"/>
                  <w:vMerge w:val="restart"/>
                  <w:vAlign w:val="center"/>
                </w:tcPr>
                <w:p w14:paraId="1886380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u w:val="single"/>
                      <w:vertAlign w:val="baseline"/>
                      <w:lang w:val="en-US" w:eastAsia="zh-CN"/>
                    </w:rPr>
                  </w:pPr>
                  <w:r>
                    <w:rPr>
                      <w:rFonts w:hint="eastAsia"/>
                      <w:b/>
                      <w:bCs/>
                      <w:color w:val="auto"/>
                      <w:sz w:val="21"/>
                      <w:szCs w:val="21"/>
                      <w:u w:val="single"/>
                      <w:vertAlign w:val="baseline"/>
                      <w:lang w:val="en-US" w:eastAsia="zh-CN"/>
                    </w:rPr>
                    <w:t>4.8</w:t>
                  </w:r>
                </w:p>
              </w:tc>
              <w:tc>
                <w:tcPr>
                  <w:tcW w:w="344" w:type="pct"/>
                  <w:vMerge w:val="restart"/>
                  <w:vAlign w:val="center"/>
                </w:tcPr>
                <w:p w14:paraId="70FCD5D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u w:val="single"/>
                      <w:vertAlign w:val="baseline"/>
                      <w:lang w:val="en-US" w:eastAsia="zh-CN"/>
                    </w:rPr>
                  </w:pPr>
                  <w:r>
                    <w:rPr>
                      <w:rFonts w:hint="eastAsia"/>
                      <w:b/>
                      <w:bCs/>
                      <w:color w:val="auto"/>
                      <w:sz w:val="21"/>
                      <w:szCs w:val="21"/>
                      <w:u w:val="single"/>
                      <w:vertAlign w:val="baseline"/>
                      <w:lang w:val="en-US" w:eastAsia="zh-CN"/>
                    </w:rPr>
                    <w:t>1536</w:t>
                  </w:r>
                </w:p>
              </w:tc>
              <w:tc>
                <w:tcPr>
                  <w:tcW w:w="551" w:type="pct"/>
                  <w:shd w:val="clear" w:color="auto" w:fill="auto"/>
                  <w:vAlign w:val="center"/>
                </w:tcPr>
                <w:p w14:paraId="676D8225">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u w:val="single"/>
                      <w:vertAlign w:val="baseline"/>
                      <w:lang w:val="en-US" w:eastAsia="zh-CN" w:bidi="ar-SA"/>
                    </w:rPr>
                  </w:pPr>
                  <w:r>
                    <w:rPr>
                      <w:rFonts w:hint="eastAsia"/>
                      <w:b/>
                      <w:bCs/>
                      <w:color w:val="auto"/>
                      <w:sz w:val="21"/>
                      <w:szCs w:val="21"/>
                      <w:u w:val="single"/>
                      <w:vertAlign w:val="baseline"/>
                      <w:lang w:val="en-US" w:eastAsia="zh-CN"/>
                    </w:rPr>
                    <w:t>pH</w:t>
                  </w:r>
                </w:p>
              </w:tc>
              <w:tc>
                <w:tcPr>
                  <w:tcW w:w="590" w:type="pct"/>
                  <w:vAlign w:val="center"/>
                </w:tcPr>
                <w:p w14:paraId="776A3F1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u w:val="single"/>
                      <w:vertAlign w:val="baseline"/>
                      <w:lang w:val="en-US" w:eastAsia="zh-CN"/>
                    </w:rPr>
                  </w:pPr>
                  <w:r>
                    <w:rPr>
                      <w:rFonts w:hint="eastAsia" w:eastAsia="宋体"/>
                      <w:b/>
                      <w:bCs/>
                      <w:color w:val="auto"/>
                      <w:sz w:val="21"/>
                      <w:szCs w:val="21"/>
                      <w:u w:val="single"/>
                      <w:vertAlign w:val="baseline"/>
                      <w:lang w:val="en-US" w:eastAsia="zh-CN"/>
                    </w:rPr>
                    <w:t>6~9</w:t>
                  </w:r>
                </w:p>
              </w:tc>
              <w:tc>
                <w:tcPr>
                  <w:tcW w:w="804" w:type="pct"/>
                  <w:vAlign w:val="center"/>
                </w:tcPr>
                <w:p w14:paraId="7504AB8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u w:val="single"/>
                      <w:vertAlign w:val="baseline"/>
                      <w:lang w:val="en-US" w:eastAsia="zh-CN"/>
                    </w:rPr>
                  </w:pPr>
                  <w:r>
                    <w:rPr>
                      <w:rFonts w:hint="eastAsia"/>
                      <w:b/>
                      <w:bCs/>
                      <w:color w:val="auto"/>
                      <w:sz w:val="21"/>
                      <w:szCs w:val="21"/>
                      <w:u w:val="single"/>
                      <w:vertAlign w:val="baseline"/>
                      <w:lang w:val="en-US" w:eastAsia="zh-CN"/>
                    </w:rPr>
                    <w:t>/</w:t>
                  </w:r>
                </w:p>
              </w:tc>
              <w:tc>
                <w:tcPr>
                  <w:tcW w:w="981" w:type="pct"/>
                  <w:shd w:val="clear" w:color="auto" w:fill="auto"/>
                  <w:vAlign w:val="center"/>
                </w:tcPr>
                <w:p w14:paraId="02063002">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u w:val="single"/>
                      <w:vertAlign w:val="baseline"/>
                      <w:lang w:val="en-US" w:eastAsia="zh-CN" w:bidi="ar-SA"/>
                    </w:rPr>
                  </w:pPr>
                  <w:r>
                    <w:rPr>
                      <w:rFonts w:hint="eastAsia" w:eastAsia="宋体"/>
                      <w:b/>
                      <w:bCs/>
                      <w:color w:val="auto"/>
                      <w:sz w:val="21"/>
                      <w:szCs w:val="21"/>
                      <w:u w:val="single"/>
                      <w:vertAlign w:val="baseline"/>
                      <w:lang w:val="en-US" w:eastAsia="zh-CN"/>
                    </w:rPr>
                    <w:t>6~9</w:t>
                  </w:r>
                </w:p>
              </w:tc>
              <w:tc>
                <w:tcPr>
                  <w:tcW w:w="1071" w:type="pct"/>
                  <w:shd w:val="clear" w:color="auto" w:fill="auto"/>
                  <w:vAlign w:val="center"/>
                </w:tcPr>
                <w:p w14:paraId="6113ED4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u w:val="single"/>
                      <w:vertAlign w:val="baseline"/>
                      <w:lang w:val="en-US" w:eastAsia="zh-CN" w:bidi="ar-SA"/>
                    </w:rPr>
                  </w:pPr>
                  <w:r>
                    <w:rPr>
                      <w:rFonts w:hint="eastAsia"/>
                      <w:b/>
                      <w:bCs/>
                      <w:color w:val="auto"/>
                      <w:sz w:val="21"/>
                      <w:szCs w:val="21"/>
                      <w:u w:val="single"/>
                      <w:vertAlign w:val="baseline"/>
                      <w:lang w:val="en-US" w:eastAsia="zh-CN"/>
                    </w:rPr>
                    <w:t>/</w:t>
                  </w:r>
                </w:p>
              </w:tc>
            </w:tr>
            <w:tr w14:paraId="1B062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316" w:type="pct"/>
                  <w:vMerge w:val="continue"/>
                  <w:vAlign w:val="center"/>
                </w:tcPr>
                <w:p w14:paraId="163A693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b/>
                      <w:bCs/>
                      <w:sz w:val="21"/>
                      <w:szCs w:val="21"/>
                      <w:u w:val="single"/>
                    </w:rPr>
                  </w:pPr>
                </w:p>
              </w:tc>
              <w:tc>
                <w:tcPr>
                  <w:tcW w:w="330" w:type="pct"/>
                  <w:vMerge w:val="continue"/>
                  <w:vAlign w:val="center"/>
                </w:tcPr>
                <w:p w14:paraId="752F8B6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b/>
                      <w:bCs/>
                      <w:sz w:val="21"/>
                      <w:szCs w:val="21"/>
                      <w:u w:val="single"/>
                    </w:rPr>
                  </w:pPr>
                </w:p>
              </w:tc>
              <w:tc>
                <w:tcPr>
                  <w:tcW w:w="344" w:type="pct"/>
                  <w:vMerge w:val="continue"/>
                  <w:vAlign w:val="center"/>
                </w:tcPr>
                <w:p w14:paraId="4968AF32">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b/>
                      <w:bCs/>
                      <w:sz w:val="21"/>
                      <w:szCs w:val="21"/>
                      <w:u w:val="single"/>
                    </w:rPr>
                  </w:pPr>
                </w:p>
              </w:tc>
              <w:tc>
                <w:tcPr>
                  <w:tcW w:w="551" w:type="pct"/>
                  <w:shd w:val="clear" w:color="auto" w:fill="auto"/>
                  <w:vAlign w:val="center"/>
                </w:tcPr>
                <w:p w14:paraId="0C1ADE0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u w:val="single"/>
                      <w:vertAlign w:val="baseline"/>
                      <w:lang w:val="en-US" w:eastAsia="zh-CN" w:bidi="ar-SA"/>
                    </w:rPr>
                  </w:pPr>
                  <w:r>
                    <w:rPr>
                      <w:rFonts w:hint="eastAsia"/>
                      <w:b/>
                      <w:bCs/>
                      <w:color w:val="auto"/>
                      <w:sz w:val="21"/>
                      <w:szCs w:val="21"/>
                      <w:u w:val="single"/>
                      <w:vertAlign w:val="baseline"/>
                      <w:lang w:val="en-US" w:eastAsia="zh-CN"/>
                    </w:rPr>
                    <w:t>COD</w:t>
                  </w:r>
                </w:p>
              </w:tc>
              <w:tc>
                <w:tcPr>
                  <w:tcW w:w="590" w:type="pct"/>
                  <w:vAlign w:val="center"/>
                </w:tcPr>
                <w:p w14:paraId="6DE5AF12">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b/>
                      <w:bCs/>
                      <w:sz w:val="21"/>
                      <w:szCs w:val="21"/>
                      <w:u w:val="single"/>
                      <w:lang w:val="en-US" w:eastAsia="zh-CN"/>
                    </w:rPr>
                  </w:pPr>
                  <w:r>
                    <w:rPr>
                      <w:rFonts w:hint="eastAsia"/>
                      <w:b/>
                      <w:bCs/>
                      <w:sz w:val="21"/>
                      <w:szCs w:val="21"/>
                      <w:u w:val="single"/>
                      <w:lang w:val="en-US" w:eastAsia="zh-CN"/>
                    </w:rPr>
                    <w:t>300</w:t>
                  </w:r>
                </w:p>
              </w:tc>
              <w:tc>
                <w:tcPr>
                  <w:tcW w:w="804" w:type="pct"/>
                  <w:shd w:val="clear" w:color="auto" w:fill="auto"/>
                  <w:vAlign w:val="center"/>
                </w:tcPr>
                <w:p w14:paraId="7869ECB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sz w:val="21"/>
                      <w:szCs w:val="21"/>
                      <w:u w:val="single"/>
                      <w:lang w:val="en-US" w:eastAsia="zh-CN"/>
                    </w:rPr>
                  </w:pPr>
                  <w:r>
                    <w:rPr>
                      <w:rFonts w:hint="default" w:ascii="Times New Roman" w:hAnsi="Times New Roman" w:eastAsia="宋体" w:cs="Times New Roman"/>
                      <w:b/>
                      <w:bCs/>
                      <w:sz w:val="21"/>
                      <w:szCs w:val="21"/>
                      <w:u w:val="single"/>
                      <w:lang w:val="en-US" w:eastAsia="zh-CN"/>
                    </w:rPr>
                    <w:t>0.4608</w:t>
                  </w:r>
                </w:p>
              </w:tc>
              <w:tc>
                <w:tcPr>
                  <w:tcW w:w="981" w:type="pct"/>
                  <w:shd w:val="clear" w:color="auto" w:fill="auto"/>
                  <w:vAlign w:val="center"/>
                </w:tcPr>
                <w:p w14:paraId="059F58D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sz w:val="21"/>
                      <w:szCs w:val="21"/>
                      <w:u w:val="single"/>
                      <w:lang w:val="en-US" w:eastAsia="zh-CN"/>
                    </w:rPr>
                  </w:pPr>
                  <w:r>
                    <w:rPr>
                      <w:rFonts w:hint="eastAsia" w:ascii="Times New Roman" w:hAnsi="Times New Roman" w:eastAsia="宋体" w:cs="Times New Roman"/>
                      <w:b/>
                      <w:bCs/>
                      <w:sz w:val="21"/>
                      <w:szCs w:val="21"/>
                      <w:u w:val="single"/>
                      <w:lang w:val="en-US" w:eastAsia="zh-CN"/>
                    </w:rPr>
                    <w:t>60</w:t>
                  </w:r>
                </w:p>
              </w:tc>
              <w:tc>
                <w:tcPr>
                  <w:tcW w:w="1071" w:type="pct"/>
                  <w:shd w:val="clear" w:color="auto" w:fill="auto"/>
                  <w:vAlign w:val="center"/>
                </w:tcPr>
                <w:p w14:paraId="60A148F4">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sz w:val="21"/>
                      <w:szCs w:val="21"/>
                      <w:u w:val="single"/>
                      <w:lang w:val="en-US" w:eastAsia="zh-CN"/>
                    </w:rPr>
                  </w:pPr>
                  <w:r>
                    <w:rPr>
                      <w:rFonts w:hint="eastAsia" w:ascii="Times New Roman" w:hAnsi="Times New Roman" w:eastAsia="宋体" w:cs="Times New Roman"/>
                      <w:b/>
                      <w:bCs/>
                      <w:sz w:val="21"/>
                      <w:szCs w:val="21"/>
                      <w:u w:val="single"/>
                      <w:lang w:val="en-US" w:eastAsia="zh-CN"/>
                    </w:rPr>
                    <w:t>0.092</w:t>
                  </w:r>
                  <w:r>
                    <w:rPr>
                      <w:rFonts w:hint="eastAsia" w:cs="Times New Roman"/>
                      <w:b/>
                      <w:bCs/>
                      <w:sz w:val="21"/>
                      <w:szCs w:val="21"/>
                      <w:u w:val="single"/>
                      <w:lang w:val="en-US" w:eastAsia="zh-CN"/>
                    </w:rPr>
                    <w:t>2</w:t>
                  </w:r>
                </w:p>
              </w:tc>
            </w:tr>
            <w:tr w14:paraId="45794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316" w:type="pct"/>
                  <w:vMerge w:val="continue"/>
                  <w:vAlign w:val="center"/>
                </w:tcPr>
                <w:p w14:paraId="4638F338">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u w:val="single"/>
                      <w:vertAlign w:val="baseline"/>
                      <w:lang w:val="en-US" w:eastAsia="zh-CN"/>
                    </w:rPr>
                  </w:pPr>
                </w:p>
              </w:tc>
              <w:tc>
                <w:tcPr>
                  <w:tcW w:w="330" w:type="pct"/>
                  <w:vMerge w:val="continue"/>
                  <w:vAlign w:val="center"/>
                </w:tcPr>
                <w:p w14:paraId="23353F15">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u w:val="single"/>
                      <w:vertAlign w:val="baseline"/>
                      <w:lang w:val="en-US" w:eastAsia="zh-CN"/>
                    </w:rPr>
                  </w:pPr>
                </w:p>
              </w:tc>
              <w:tc>
                <w:tcPr>
                  <w:tcW w:w="344" w:type="pct"/>
                  <w:vMerge w:val="continue"/>
                  <w:vAlign w:val="center"/>
                </w:tcPr>
                <w:p w14:paraId="16F2CF9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u w:val="single"/>
                      <w:vertAlign w:val="baseline"/>
                      <w:lang w:val="en-US" w:eastAsia="zh-CN"/>
                    </w:rPr>
                  </w:pPr>
                </w:p>
              </w:tc>
              <w:tc>
                <w:tcPr>
                  <w:tcW w:w="551" w:type="pct"/>
                  <w:shd w:val="clear" w:color="auto" w:fill="auto"/>
                  <w:vAlign w:val="center"/>
                </w:tcPr>
                <w:p w14:paraId="0FCF9855">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u w:val="single"/>
                      <w:vertAlign w:val="baseline"/>
                      <w:lang w:val="en-US" w:eastAsia="zh-CN" w:bidi="ar-SA"/>
                    </w:rPr>
                  </w:pPr>
                  <w:r>
                    <w:rPr>
                      <w:rFonts w:hint="eastAsia"/>
                      <w:b/>
                      <w:bCs/>
                      <w:color w:val="auto"/>
                      <w:sz w:val="21"/>
                      <w:szCs w:val="21"/>
                      <w:u w:val="single"/>
                      <w:vertAlign w:val="baseline"/>
                      <w:lang w:val="en-US" w:eastAsia="zh-CN"/>
                    </w:rPr>
                    <w:t>BOD5</w:t>
                  </w:r>
                </w:p>
              </w:tc>
              <w:tc>
                <w:tcPr>
                  <w:tcW w:w="590" w:type="pct"/>
                  <w:vAlign w:val="center"/>
                </w:tcPr>
                <w:p w14:paraId="2B4B718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u w:val="single"/>
                      <w:vertAlign w:val="baseline"/>
                      <w:lang w:val="en-US" w:eastAsia="zh-CN"/>
                    </w:rPr>
                  </w:pPr>
                  <w:r>
                    <w:rPr>
                      <w:rFonts w:hint="eastAsia"/>
                      <w:b/>
                      <w:bCs/>
                      <w:color w:val="auto"/>
                      <w:sz w:val="21"/>
                      <w:szCs w:val="21"/>
                      <w:u w:val="single"/>
                      <w:vertAlign w:val="baseline"/>
                      <w:lang w:val="en-US" w:eastAsia="zh-CN"/>
                    </w:rPr>
                    <w:t>200</w:t>
                  </w:r>
                </w:p>
              </w:tc>
              <w:tc>
                <w:tcPr>
                  <w:tcW w:w="804" w:type="pct"/>
                  <w:shd w:val="clear" w:color="auto" w:fill="auto"/>
                  <w:vAlign w:val="center"/>
                </w:tcPr>
                <w:p w14:paraId="7EF75E5D">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sz w:val="21"/>
                      <w:szCs w:val="21"/>
                      <w:u w:val="single"/>
                      <w:lang w:val="en-US" w:eastAsia="zh-CN"/>
                    </w:rPr>
                  </w:pPr>
                  <w:r>
                    <w:rPr>
                      <w:rFonts w:hint="default" w:ascii="Times New Roman" w:hAnsi="Times New Roman" w:eastAsia="宋体" w:cs="Times New Roman"/>
                      <w:b/>
                      <w:bCs/>
                      <w:sz w:val="21"/>
                      <w:szCs w:val="21"/>
                      <w:u w:val="single"/>
                      <w:lang w:val="en-US" w:eastAsia="zh-CN"/>
                    </w:rPr>
                    <w:t>0.3072</w:t>
                  </w:r>
                </w:p>
              </w:tc>
              <w:tc>
                <w:tcPr>
                  <w:tcW w:w="981" w:type="pct"/>
                  <w:shd w:val="clear" w:color="auto" w:fill="auto"/>
                  <w:vAlign w:val="center"/>
                </w:tcPr>
                <w:p w14:paraId="6C73F1B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sz w:val="21"/>
                      <w:szCs w:val="21"/>
                      <w:u w:val="single"/>
                      <w:lang w:val="en-US" w:eastAsia="zh-CN"/>
                    </w:rPr>
                  </w:pPr>
                  <w:r>
                    <w:rPr>
                      <w:rFonts w:hint="eastAsia" w:ascii="Times New Roman" w:hAnsi="Times New Roman" w:eastAsia="宋体" w:cs="Times New Roman"/>
                      <w:b/>
                      <w:bCs/>
                      <w:sz w:val="21"/>
                      <w:szCs w:val="21"/>
                      <w:u w:val="single"/>
                      <w:lang w:val="en-US" w:eastAsia="zh-CN"/>
                    </w:rPr>
                    <w:t>100</w:t>
                  </w:r>
                </w:p>
              </w:tc>
              <w:tc>
                <w:tcPr>
                  <w:tcW w:w="1071" w:type="pct"/>
                  <w:shd w:val="clear" w:color="auto" w:fill="auto"/>
                  <w:vAlign w:val="center"/>
                </w:tcPr>
                <w:p w14:paraId="1875B0E0">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sz w:val="21"/>
                      <w:szCs w:val="21"/>
                      <w:u w:val="single"/>
                      <w:lang w:val="en-US" w:eastAsia="zh-CN"/>
                    </w:rPr>
                  </w:pPr>
                  <w:r>
                    <w:rPr>
                      <w:rFonts w:hint="eastAsia" w:ascii="Times New Roman" w:hAnsi="Times New Roman" w:eastAsia="宋体" w:cs="Times New Roman"/>
                      <w:b/>
                      <w:bCs/>
                      <w:sz w:val="21"/>
                      <w:szCs w:val="21"/>
                      <w:u w:val="single"/>
                      <w:lang w:val="en-US" w:eastAsia="zh-CN"/>
                    </w:rPr>
                    <w:t>0.1536</w:t>
                  </w:r>
                </w:p>
              </w:tc>
            </w:tr>
            <w:tr w14:paraId="3C35D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316" w:type="pct"/>
                  <w:vMerge w:val="continue"/>
                  <w:vAlign w:val="center"/>
                </w:tcPr>
                <w:p w14:paraId="20021FC4">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u w:val="single"/>
                      <w:vertAlign w:val="baseline"/>
                      <w:lang w:val="en-US" w:eastAsia="zh-CN"/>
                    </w:rPr>
                  </w:pPr>
                </w:p>
              </w:tc>
              <w:tc>
                <w:tcPr>
                  <w:tcW w:w="330" w:type="pct"/>
                  <w:vMerge w:val="continue"/>
                  <w:vAlign w:val="center"/>
                </w:tcPr>
                <w:p w14:paraId="2FAB733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u w:val="single"/>
                      <w:vertAlign w:val="baseline"/>
                      <w:lang w:val="en-US" w:eastAsia="zh-CN"/>
                    </w:rPr>
                  </w:pPr>
                </w:p>
              </w:tc>
              <w:tc>
                <w:tcPr>
                  <w:tcW w:w="344" w:type="pct"/>
                  <w:vMerge w:val="continue"/>
                  <w:vAlign w:val="center"/>
                </w:tcPr>
                <w:p w14:paraId="74705990">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u w:val="single"/>
                      <w:vertAlign w:val="baseline"/>
                      <w:lang w:val="en-US" w:eastAsia="zh-CN"/>
                    </w:rPr>
                  </w:pPr>
                </w:p>
              </w:tc>
              <w:tc>
                <w:tcPr>
                  <w:tcW w:w="551" w:type="pct"/>
                  <w:shd w:val="clear" w:color="auto" w:fill="auto"/>
                  <w:vAlign w:val="center"/>
                </w:tcPr>
                <w:p w14:paraId="3FC444E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u w:val="single"/>
                      <w:vertAlign w:val="baseline"/>
                      <w:lang w:val="en-US" w:eastAsia="zh-CN" w:bidi="ar-SA"/>
                    </w:rPr>
                  </w:pPr>
                  <w:r>
                    <w:rPr>
                      <w:rFonts w:hint="eastAsia"/>
                      <w:b/>
                      <w:bCs/>
                      <w:color w:val="auto"/>
                      <w:sz w:val="21"/>
                      <w:szCs w:val="21"/>
                      <w:u w:val="single"/>
                      <w:vertAlign w:val="baseline"/>
                      <w:lang w:val="en-US" w:eastAsia="zh-CN"/>
                    </w:rPr>
                    <w:t>SS</w:t>
                  </w:r>
                </w:p>
              </w:tc>
              <w:tc>
                <w:tcPr>
                  <w:tcW w:w="590" w:type="pct"/>
                  <w:vAlign w:val="center"/>
                </w:tcPr>
                <w:p w14:paraId="5EC2200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u w:val="single"/>
                      <w:vertAlign w:val="baseline"/>
                      <w:lang w:val="en-US" w:eastAsia="zh-CN"/>
                    </w:rPr>
                  </w:pPr>
                  <w:r>
                    <w:rPr>
                      <w:rFonts w:hint="eastAsia"/>
                      <w:b/>
                      <w:bCs/>
                      <w:color w:val="auto"/>
                      <w:sz w:val="21"/>
                      <w:szCs w:val="21"/>
                      <w:u w:val="single"/>
                      <w:vertAlign w:val="baseline"/>
                      <w:lang w:val="en-US" w:eastAsia="zh-CN"/>
                    </w:rPr>
                    <w:t>300</w:t>
                  </w:r>
                </w:p>
              </w:tc>
              <w:tc>
                <w:tcPr>
                  <w:tcW w:w="804" w:type="pct"/>
                  <w:shd w:val="clear" w:color="auto" w:fill="auto"/>
                  <w:vAlign w:val="center"/>
                </w:tcPr>
                <w:p w14:paraId="6B38830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sz w:val="21"/>
                      <w:szCs w:val="21"/>
                      <w:u w:val="single"/>
                      <w:lang w:val="en-US" w:eastAsia="zh-CN"/>
                    </w:rPr>
                  </w:pPr>
                  <w:r>
                    <w:rPr>
                      <w:rFonts w:hint="default" w:ascii="Times New Roman" w:hAnsi="Times New Roman" w:eastAsia="宋体" w:cs="Times New Roman"/>
                      <w:b/>
                      <w:bCs/>
                      <w:sz w:val="21"/>
                      <w:szCs w:val="21"/>
                      <w:u w:val="single"/>
                      <w:lang w:val="en-US" w:eastAsia="zh-CN"/>
                    </w:rPr>
                    <w:t>0.4608</w:t>
                  </w:r>
                </w:p>
              </w:tc>
              <w:tc>
                <w:tcPr>
                  <w:tcW w:w="981" w:type="pct"/>
                  <w:shd w:val="clear" w:color="auto" w:fill="auto"/>
                  <w:vAlign w:val="center"/>
                </w:tcPr>
                <w:p w14:paraId="349C4C0D">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sz w:val="21"/>
                      <w:szCs w:val="21"/>
                      <w:u w:val="single"/>
                      <w:lang w:val="en-US" w:eastAsia="zh-CN"/>
                    </w:rPr>
                  </w:pPr>
                  <w:r>
                    <w:rPr>
                      <w:rFonts w:hint="eastAsia" w:ascii="Times New Roman" w:hAnsi="Times New Roman" w:eastAsia="宋体" w:cs="Times New Roman"/>
                      <w:b/>
                      <w:bCs/>
                      <w:sz w:val="21"/>
                      <w:szCs w:val="21"/>
                      <w:u w:val="single"/>
                      <w:lang w:val="en-US" w:eastAsia="zh-CN"/>
                    </w:rPr>
                    <w:t>150</w:t>
                  </w:r>
                </w:p>
              </w:tc>
              <w:tc>
                <w:tcPr>
                  <w:tcW w:w="1071" w:type="pct"/>
                  <w:shd w:val="clear" w:color="auto" w:fill="auto"/>
                  <w:vAlign w:val="center"/>
                </w:tcPr>
                <w:p w14:paraId="4CEC14D8">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sz w:val="21"/>
                      <w:szCs w:val="21"/>
                      <w:u w:val="single"/>
                      <w:lang w:val="en-US" w:eastAsia="zh-CN"/>
                    </w:rPr>
                  </w:pPr>
                  <w:r>
                    <w:rPr>
                      <w:rFonts w:hint="eastAsia" w:ascii="Times New Roman" w:hAnsi="Times New Roman" w:eastAsia="宋体" w:cs="Times New Roman"/>
                      <w:b/>
                      <w:bCs/>
                      <w:sz w:val="21"/>
                      <w:szCs w:val="21"/>
                      <w:u w:val="single"/>
                      <w:lang w:val="en-US" w:eastAsia="zh-CN"/>
                    </w:rPr>
                    <w:t>0.2304</w:t>
                  </w:r>
                </w:p>
              </w:tc>
            </w:tr>
            <w:tr w14:paraId="7FF80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316" w:type="pct"/>
                  <w:vMerge w:val="continue"/>
                  <w:vAlign w:val="center"/>
                </w:tcPr>
                <w:p w14:paraId="0B4E59B0">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u w:val="single"/>
                      <w:vertAlign w:val="baseline"/>
                      <w:lang w:val="en-US" w:eastAsia="zh-CN"/>
                    </w:rPr>
                  </w:pPr>
                </w:p>
              </w:tc>
              <w:tc>
                <w:tcPr>
                  <w:tcW w:w="330" w:type="pct"/>
                  <w:vMerge w:val="continue"/>
                  <w:vAlign w:val="center"/>
                </w:tcPr>
                <w:p w14:paraId="758227F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u w:val="single"/>
                      <w:vertAlign w:val="baseline"/>
                      <w:lang w:val="en-US" w:eastAsia="zh-CN"/>
                    </w:rPr>
                  </w:pPr>
                </w:p>
              </w:tc>
              <w:tc>
                <w:tcPr>
                  <w:tcW w:w="344" w:type="pct"/>
                  <w:vMerge w:val="continue"/>
                  <w:vAlign w:val="center"/>
                </w:tcPr>
                <w:p w14:paraId="673E8650">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u w:val="single"/>
                      <w:vertAlign w:val="baseline"/>
                      <w:lang w:val="en-US" w:eastAsia="zh-CN"/>
                    </w:rPr>
                  </w:pPr>
                </w:p>
              </w:tc>
              <w:tc>
                <w:tcPr>
                  <w:tcW w:w="551" w:type="pct"/>
                  <w:shd w:val="clear" w:color="auto" w:fill="auto"/>
                  <w:vAlign w:val="center"/>
                </w:tcPr>
                <w:p w14:paraId="3FC99CA0">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u w:val="single"/>
                      <w:vertAlign w:val="baseline"/>
                      <w:lang w:val="en-US" w:eastAsia="zh-CN" w:bidi="ar-SA"/>
                    </w:rPr>
                  </w:pPr>
                  <w:r>
                    <w:rPr>
                      <w:rFonts w:hint="eastAsia"/>
                      <w:b/>
                      <w:bCs/>
                      <w:color w:val="auto"/>
                      <w:sz w:val="21"/>
                      <w:szCs w:val="21"/>
                      <w:u w:val="single"/>
                      <w:vertAlign w:val="baseline"/>
                      <w:lang w:val="en-US" w:eastAsia="zh-CN"/>
                    </w:rPr>
                    <w:t>NH3-N</w:t>
                  </w:r>
                </w:p>
              </w:tc>
              <w:tc>
                <w:tcPr>
                  <w:tcW w:w="590" w:type="pct"/>
                  <w:vAlign w:val="center"/>
                </w:tcPr>
                <w:p w14:paraId="55B02995">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u w:val="single"/>
                      <w:vertAlign w:val="baseline"/>
                      <w:lang w:val="en-US" w:eastAsia="zh-CN"/>
                    </w:rPr>
                  </w:pPr>
                  <w:r>
                    <w:rPr>
                      <w:rFonts w:hint="eastAsia"/>
                      <w:b/>
                      <w:bCs/>
                      <w:color w:val="auto"/>
                      <w:sz w:val="21"/>
                      <w:szCs w:val="21"/>
                      <w:u w:val="single"/>
                      <w:vertAlign w:val="baseline"/>
                      <w:lang w:val="en-US" w:eastAsia="zh-CN"/>
                    </w:rPr>
                    <w:t>30</w:t>
                  </w:r>
                </w:p>
              </w:tc>
              <w:tc>
                <w:tcPr>
                  <w:tcW w:w="804" w:type="pct"/>
                  <w:shd w:val="clear" w:color="auto" w:fill="auto"/>
                  <w:vAlign w:val="center"/>
                </w:tcPr>
                <w:p w14:paraId="0736AF6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sz w:val="21"/>
                      <w:szCs w:val="21"/>
                      <w:u w:val="single"/>
                      <w:lang w:val="en-US" w:eastAsia="zh-CN"/>
                    </w:rPr>
                  </w:pPr>
                  <w:r>
                    <w:rPr>
                      <w:rFonts w:hint="default" w:ascii="Times New Roman" w:hAnsi="Times New Roman" w:eastAsia="宋体" w:cs="Times New Roman"/>
                      <w:b/>
                      <w:bCs/>
                      <w:sz w:val="21"/>
                      <w:szCs w:val="21"/>
                      <w:u w:val="single"/>
                      <w:lang w:val="en-US" w:eastAsia="zh-CN"/>
                    </w:rPr>
                    <w:t>0.046</w:t>
                  </w:r>
                  <w:r>
                    <w:rPr>
                      <w:rFonts w:hint="eastAsia" w:ascii="Times New Roman" w:hAnsi="Times New Roman" w:eastAsia="宋体" w:cs="Times New Roman"/>
                      <w:b/>
                      <w:bCs/>
                      <w:sz w:val="21"/>
                      <w:szCs w:val="21"/>
                      <w:u w:val="single"/>
                      <w:lang w:val="en-US" w:eastAsia="zh-CN"/>
                    </w:rPr>
                    <w:t>1</w:t>
                  </w:r>
                </w:p>
              </w:tc>
              <w:tc>
                <w:tcPr>
                  <w:tcW w:w="981" w:type="pct"/>
                  <w:shd w:val="clear" w:color="auto" w:fill="auto"/>
                  <w:vAlign w:val="center"/>
                </w:tcPr>
                <w:p w14:paraId="201F5AE2">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sz w:val="21"/>
                      <w:szCs w:val="21"/>
                      <w:u w:val="single"/>
                      <w:lang w:val="en-US" w:eastAsia="zh-CN"/>
                    </w:rPr>
                  </w:pPr>
                  <w:r>
                    <w:rPr>
                      <w:rFonts w:hint="eastAsia" w:ascii="Times New Roman" w:hAnsi="Times New Roman" w:eastAsia="宋体" w:cs="Times New Roman"/>
                      <w:b/>
                      <w:bCs/>
                      <w:sz w:val="21"/>
                      <w:szCs w:val="21"/>
                      <w:u w:val="single"/>
                      <w:lang w:val="en-US" w:eastAsia="zh-CN"/>
                    </w:rPr>
                    <w:t>30</w:t>
                  </w:r>
                </w:p>
              </w:tc>
              <w:tc>
                <w:tcPr>
                  <w:tcW w:w="1071" w:type="pct"/>
                  <w:shd w:val="clear" w:color="auto" w:fill="auto"/>
                  <w:vAlign w:val="center"/>
                </w:tcPr>
                <w:p w14:paraId="48866ED0">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sz w:val="21"/>
                      <w:szCs w:val="21"/>
                      <w:u w:val="single"/>
                      <w:lang w:val="en-US" w:eastAsia="zh-CN"/>
                    </w:rPr>
                  </w:pPr>
                  <w:r>
                    <w:rPr>
                      <w:rFonts w:hint="default" w:ascii="Times New Roman" w:hAnsi="Times New Roman" w:eastAsia="宋体" w:cs="Times New Roman"/>
                      <w:b/>
                      <w:bCs/>
                      <w:sz w:val="21"/>
                      <w:szCs w:val="21"/>
                      <w:u w:val="single"/>
                      <w:lang w:val="en-US" w:eastAsia="zh-CN"/>
                    </w:rPr>
                    <w:t>0.046</w:t>
                  </w:r>
                  <w:r>
                    <w:rPr>
                      <w:rFonts w:hint="eastAsia" w:ascii="Times New Roman" w:hAnsi="Times New Roman" w:eastAsia="宋体" w:cs="Times New Roman"/>
                      <w:b/>
                      <w:bCs/>
                      <w:sz w:val="21"/>
                      <w:szCs w:val="21"/>
                      <w:u w:val="single"/>
                      <w:lang w:val="en-US" w:eastAsia="zh-CN"/>
                    </w:rPr>
                    <w:t>1</w:t>
                  </w:r>
                </w:p>
              </w:tc>
            </w:tr>
            <w:tr w14:paraId="0BCAA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316" w:type="pct"/>
                  <w:vMerge w:val="restart"/>
                  <w:vAlign w:val="center"/>
                </w:tcPr>
                <w:p w14:paraId="63F0EE2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u w:val="single"/>
                      <w:vertAlign w:val="baseline"/>
                      <w:lang w:val="en-US" w:eastAsia="zh-CN"/>
                    </w:rPr>
                  </w:pPr>
                  <w:r>
                    <w:rPr>
                      <w:rFonts w:hint="eastAsia"/>
                      <w:b/>
                      <w:bCs/>
                      <w:color w:val="auto"/>
                      <w:sz w:val="21"/>
                      <w:szCs w:val="21"/>
                      <w:u w:val="single"/>
                      <w:vertAlign w:val="baseline"/>
                      <w:lang w:val="en-US" w:eastAsia="zh-CN"/>
                    </w:rPr>
                    <w:t>总废水</w:t>
                  </w:r>
                </w:p>
              </w:tc>
              <w:tc>
                <w:tcPr>
                  <w:tcW w:w="330" w:type="pct"/>
                  <w:vMerge w:val="restart"/>
                  <w:vAlign w:val="center"/>
                </w:tcPr>
                <w:p w14:paraId="6F4E474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u w:val="single"/>
                      <w:vertAlign w:val="baseline"/>
                      <w:lang w:val="en-US" w:eastAsia="zh-CN"/>
                    </w:rPr>
                  </w:pPr>
                  <w:r>
                    <w:rPr>
                      <w:rFonts w:hint="eastAsia"/>
                      <w:b/>
                      <w:bCs/>
                      <w:sz w:val="21"/>
                      <w:szCs w:val="21"/>
                      <w:u w:val="single"/>
                      <w:lang w:val="en-US" w:eastAsia="zh-CN"/>
                    </w:rPr>
                    <w:t>175.576</w:t>
                  </w:r>
                </w:p>
              </w:tc>
              <w:tc>
                <w:tcPr>
                  <w:tcW w:w="344" w:type="pct"/>
                  <w:vMerge w:val="restart"/>
                  <w:vAlign w:val="center"/>
                </w:tcPr>
                <w:p w14:paraId="487CE120">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u w:val="single"/>
                      <w:vertAlign w:val="baseline"/>
                      <w:lang w:val="en-US" w:eastAsia="zh-CN"/>
                    </w:rPr>
                  </w:pPr>
                  <w:r>
                    <w:rPr>
                      <w:rFonts w:hint="eastAsia"/>
                      <w:b/>
                      <w:bCs/>
                      <w:sz w:val="21"/>
                      <w:szCs w:val="21"/>
                      <w:u w:val="single"/>
                      <w:lang w:val="en-US" w:eastAsia="zh-CN"/>
                    </w:rPr>
                    <w:t>56184.92</w:t>
                  </w:r>
                </w:p>
              </w:tc>
              <w:tc>
                <w:tcPr>
                  <w:tcW w:w="551" w:type="pct"/>
                  <w:shd w:val="clear" w:color="auto" w:fill="auto"/>
                  <w:vAlign w:val="center"/>
                </w:tcPr>
                <w:p w14:paraId="21A61842">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u w:val="single"/>
                      <w:vertAlign w:val="baseline"/>
                      <w:lang w:val="en-US" w:eastAsia="zh-CN" w:bidi="ar-SA"/>
                    </w:rPr>
                  </w:pPr>
                  <w:r>
                    <w:rPr>
                      <w:rFonts w:hint="eastAsia"/>
                      <w:b/>
                      <w:bCs/>
                      <w:color w:val="auto"/>
                      <w:sz w:val="21"/>
                      <w:szCs w:val="21"/>
                      <w:u w:val="single"/>
                      <w:vertAlign w:val="baseline"/>
                      <w:lang w:val="en-US" w:eastAsia="zh-CN"/>
                    </w:rPr>
                    <w:t>pH</w:t>
                  </w:r>
                </w:p>
              </w:tc>
              <w:tc>
                <w:tcPr>
                  <w:tcW w:w="590" w:type="pct"/>
                  <w:vAlign w:val="center"/>
                </w:tcPr>
                <w:p w14:paraId="54C8BBC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u w:val="single"/>
                      <w:vertAlign w:val="baseline"/>
                      <w:lang w:val="en-US" w:eastAsia="zh-CN"/>
                    </w:rPr>
                  </w:pPr>
                  <w:r>
                    <w:rPr>
                      <w:rFonts w:hint="eastAsia" w:eastAsia="宋体"/>
                      <w:b/>
                      <w:bCs/>
                      <w:color w:val="auto"/>
                      <w:sz w:val="21"/>
                      <w:szCs w:val="21"/>
                      <w:u w:val="single"/>
                      <w:vertAlign w:val="baseline"/>
                      <w:lang w:val="en-US" w:eastAsia="zh-CN"/>
                    </w:rPr>
                    <w:t>6~9</w:t>
                  </w:r>
                </w:p>
              </w:tc>
              <w:tc>
                <w:tcPr>
                  <w:tcW w:w="804" w:type="pct"/>
                  <w:vAlign w:val="center"/>
                </w:tcPr>
                <w:p w14:paraId="1E78D60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u w:val="single"/>
                      <w:vertAlign w:val="baseline"/>
                      <w:lang w:val="en-US" w:eastAsia="zh-CN"/>
                    </w:rPr>
                  </w:pPr>
                  <w:r>
                    <w:rPr>
                      <w:rFonts w:hint="eastAsia"/>
                      <w:b/>
                      <w:bCs/>
                      <w:color w:val="auto"/>
                      <w:sz w:val="21"/>
                      <w:szCs w:val="21"/>
                      <w:u w:val="single"/>
                      <w:vertAlign w:val="baseline"/>
                      <w:lang w:val="en-US" w:eastAsia="zh-CN"/>
                    </w:rPr>
                    <w:t>/</w:t>
                  </w:r>
                </w:p>
              </w:tc>
              <w:tc>
                <w:tcPr>
                  <w:tcW w:w="981" w:type="pct"/>
                  <w:shd w:val="clear" w:color="auto" w:fill="auto"/>
                  <w:vAlign w:val="center"/>
                </w:tcPr>
                <w:p w14:paraId="618C0C8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u w:val="single"/>
                      <w:vertAlign w:val="baseline"/>
                      <w:lang w:val="en-US" w:eastAsia="zh-CN" w:bidi="ar-SA"/>
                    </w:rPr>
                  </w:pPr>
                  <w:r>
                    <w:rPr>
                      <w:rFonts w:hint="eastAsia" w:eastAsia="宋体"/>
                      <w:b/>
                      <w:bCs/>
                      <w:color w:val="auto"/>
                      <w:sz w:val="21"/>
                      <w:szCs w:val="21"/>
                      <w:u w:val="single"/>
                      <w:vertAlign w:val="baseline"/>
                      <w:lang w:val="en-US" w:eastAsia="zh-CN"/>
                    </w:rPr>
                    <w:t>6~9</w:t>
                  </w:r>
                </w:p>
              </w:tc>
              <w:tc>
                <w:tcPr>
                  <w:tcW w:w="1071" w:type="pct"/>
                  <w:shd w:val="clear" w:color="auto" w:fill="auto"/>
                  <w:vAlign w:val="center"/>
                </w:tcPr>
                <w:p w14:paraId="2E943B1D">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u w:val="single"/>
                      <w:vertAlign w:val="baseline"/>
                      <w:lang w:val="en-US" w:eastAsia="zh-CN" w:bidi="ar-SA"/>
                    </w:rPr>
                  </w:pPr>
                  <w:r>
                    <w:rPr>
                      <w:rFonts w:hint="eastAsia"/>
                      <w:b/>
                      <w:bCs/>
                      <w:color w:val="auto"/>
                      <w:sz w:val="21"/>
                      <w:szCs w:val="21"/>
                      <w:u w:val="single"/>
                      <w:vertAlign w:val="baseline"/>
                      <w:lang w:val="en-US" w:eastAsia="zh-CN"/>
                    </w:rPr>
                    <w:t>/</w:t>
                  </w:r>
                </w:p>
              </w:tc>
            </w:tr>
            <w:tr w14:paraId="20C01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316" w:type="pct"/>
                  <w:vMerge w:val="continue"/>
                  <w:vAlign w:val="center"/>
                </w:tcPr>
                <w:p w14:paraId="752FEE2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u w:val="single"/>
                      <w:vertAlign w:val="baseline"/>
                      <w:lang w:val="en-US" w:eastAsia="zh-CN"/>
                    </w:rPr>
                  </w:pPr>
                </w:p>
              </w:tc>
              <w:tc>
                <w:tcPr>
                  <w:tcW w:w="330" w:type="pct"/>
                  <w:vMerge w:val="continue"/>
                  <w:vAlign w:val="center"/>
                </w:tcPr>
                <w:p w14:paraId="20678984">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u w:val="single"/>
                      <w:vertAlign w:val="baseline"/>
                      <w:lang w:val="en-US" w:eastAsia="zh-CN"/>
                    </w:rPr>
                  </w:pPr>
                </w:p>
              </w:tc>
              <w:tc>
                <w:tcPr>
                  <w:tcW w:w="344" w:type="pct"/>
                  <w:vMerge w:val="continue"/>
                  <w:vAlign w:val="center"/>
                </w:tcPr>
                <w:p w14:paraId="0019B0B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u w:val="single"/>
                      <w:vertAlign w:val="baseline"/>
                      <w:lang w:val="en-US" w:eastAsia="zh-CN"/>
                    </w:rPr>
                  </w:pPr>
                </w:p>
              </w:tc>
              <w:tc>
                <w:tcPr>
                  <w:tcW w:w="551" w:type="pct"/>
                  <w:shd w:val="clear" w:color="auto" w:fill="auto"/>
                  <w:vAlign w:val="center"/>
                </w:tcPr>
                <w:p w14:paraId="4285242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u w:val="single"/>
                      <w:vertAlign w:val="baseline"/>
                      <w:lang w:val="en-US" w:eastAsia="zh-CN" w:bidi="ar-SA"/>
                    </w:rPr>
                  </w:pPr>
                  <w:r>
                    <w:rPr>
                      <w:rFonts w:hint="eastAsia"/>
                      <w:b/>
                      <w:bCs/>
                      <w:color w:val="auto"/>
                      <w:sz w:val="21"/>
                      <w:szCs w:val="21"/>
                      <w:u w:val="single"/>
                      <w:vertAlign w:val="baseline"/>
                      <w:lang w:val="en-US" w:eastAsia="zh-CN"/>
                    </w:rPr>
                    <w:t>COD</w:t>
                  </w:r>
                </w:p>
              </w:tc>
              <w:tc>
                <w:tcPr>
                  <w:tcW w:w="590" w:type="pct"/>
                  <w:shd w:val="clear" w:color="auto" w:fill="auto"/>
                  <w:vAlign w:val="center"/>
                </w:tcPr>
                <w:p w14:paraId="11B700B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u w:val="single"/>
                      <w:vertAlign w:val="baseline"/>
                      <w:lang w:val="en-US" w:eastAsia="zh-CN"/>
                    </w:rPr>
                  </w:pPr>
                  <w:r>
                    <w:rPr>
                      <w:rFonts w:hint="eastAsia" w:ascii="Times New Roman" w:hAnsi="Times New Roman" w:eastAsia="宋体" w:cs="Times New Roman"/>
                      <w:b/>
                      <w:bCs/>
                      <w:color w:val="auto"/>
                      <w:sz w:val="21"/>
                      <w:szCs w:val="21"/>
                      <w:u w:val="single"/>
                      <w:vertAlign w:val="baseline"/>
                      <w:lang w:val="en-US" w:eastAsia="zh-CN"/>
                    </w:rPr>
                    <w:t>194</w:t>
                  </w:r>
                  <w:r>
                    <w:rPr>
                      <w:rFonts w:hint="eastAsia" w:cs="Times New Roman"/>
                      <w:b/>
                      <w:bCs/>
                      <w:color w:val="auto"/>
                      <w:sz w:val="21"/>
                      <w:szCs w:val="21"/>
                      <w:u w:val="single"/>
                      <w:vertAlign w:val="baseline"/>
                      <w:lang w:val="en-US" w:eastAsia="zh-CN"/>
                    </w:rPr>
                    <w:t>7.0</w:t>
                  </w:r>
                </w:p>
              </w:tc>
              <w:tc>
                <w:tcPr>
                  <w:tcW w:w="1304" w:type="dxa"/>
                  <w:vAlign w:val="center"/>
                </w:tcPr>
                <w:p w14:paraId="4A8391C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u w:val="single"/>
                      <w:vertAlign w:val="baseline"/>
                      <w:lang w:val="en-US" w:eastAsia="zh-CN"/>
                    </w:rPr>
                  </w:pPr>
                  <w:r>
                    <w:rPr>
                      <w:rFonts w:hint="eastAsia" w:ascii="Times New Roman" w:hAnsi="Times New Roman" w:eastAsia="宋体" w:cs="Times New Roman"/>
                      <w:b/>
                      <w:bCs/>
                      <w:color w:val="auto"/>
                      <w:sz w:val="21"/>
                      <w:szCs w:val="21"/>
                      <w:u w:val="single"/>
                      <w:vertAlign w:val="baseline"/>
                      <w:lang w:val="en-US" w:eastAsia="zh-CN"/>
                    </w:rPr>
                    <w:t>109.3900</w:t>
                  </w:r>
                </w:p>
              </w:tc>
              <w:tc>
                <w:tcPr>
                  <w:tcW w:w="981" w:type="pct"/>
                  <w:vAlign w:val="center"/>
                </w:tcPr>
                <w:p w14:paraId="12BCEB5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u w:val="single"/>
                      <w:vertAlign w:val="baseline"/>
                      <w:lang w:val="en-US" w:eastAsia="zh-CN"/>
                    </w:rPr>
                  </w:pPr>
                  <w:r>
                    <w:rPr>
                      <w:rFonts w:hint="eastAsia"/>
                      <w:b/>
                      <w:bCs/>
                      <w:color w:val="auto"/>
                      <w:sz w:val="21"/>
                      <w:szCs w:val="21"/>
                      <w:u w:val="single"/>
                      <w:vertAlign w:val="baseline"/>
                      <w:lang w:val="en-US" w:eastAsia="zh-CN"/>
                    </w:rPr>
                    <w:t>93.4</w:t>
                  </w:r>
                </w:p>
              </w:tc>
              <w:tc>
                <w:tcPr>
                  <w:tcW w:w="1071" w:type="pct"/>
                  <w:vAlign w:val="center"/>
                </w:tcPr>
                <w:p w14:paraId="255A551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u w:val="single"/>
                      <w:vertAlign w:val="baseline"/>
                      <w:lang w:val="en-US" w:eastAsia="zh-CN"/>
                    </w:rPr>
                  </w:pPr>
                  <w:r>
                    <w:rPr>
                      <w:rFonts w:hint="eastAsia"/>
                      <w:b/>
                      <w:bCs/>
                      <w:color w:val="auto"/>
                      <w:sz w:val="21"/>
                      <w:szCs w:val="21"/>
                      <w:u w:val="single"/>
                      <w:vertAlign w:val="baseline"/>
                      <w:lang w:val="en-US" w:eastAsia="zh-CN"/>
                    </w:rPr>
                    <w:t>5.2507</w:t>
                  </w:r>
                </w:p>
              </w:tc>
            </w:tr>
            <w:tr w14:paraId="57817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316" w:type="pct"/>
                  <w:vMerge w:val="continue"/>
                  <w:vAlign w:val="center"/>
                </w:tcPr>
                <w:p w14:paraId="3158365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u w:val="single"/>
                      <w:vertAlign w:val="baseline"/>
                      <w:lang w:val="en-US" w:eastAsia="zh-CN"/>
                    </w:rPr>
                  </w:pPr>
                </w:p>
              </w:tc>
              <w:tc>
                <w:tcPr>
                  <w:tcW w:w="330" w:type="pct"/>
                  <w:vMerge w:val="continue"/>
                  <w:vAlign w:val="center"/>
                </w:tcPr>
                <w:p w14:paraId="69C019A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u w:val="single"/>
                      <w:vertAlign w:val="baseline"/>
                      <w:lang w:val="en-US" w:eastAsia="zh-CN"/>
                    </w:rPr>
                  </w:pPr>
                </w:p>
              </w:tc>
              <w:tc>
                <w:tcPr>
                  <w:tcW w:w="344" w:type="pct"/>
                  <w:vMerge w:val="continue"/>
                  <w:vAlign w:val="center"/>
                </w:tcPr>
                <w:p w14:paraId="4127346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u w:val="single"/>
                      <w:vertAlign w:val="baseline"/>
                      <w:lang w:val="en-US" w:eastAsia="zh-CN"/>
                    </w:rPr>
                  </w:pPr>
                </w:p>
              </w:tc>
              <w:tc>
                <w:tcPr>
                  <w:tcW w:w="551" w:type="pct"/>
                  <w:shd w:val="clear" w:color="auto" w:fill="auto"/>
                  <w:vAlign w:val="center"/>
                </w:tcPr>
                <w:p w14:paraId="6CF89F8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u w:val="single"/>
                      <w:vertAlign w:val="baseline"/>
                      <w:lang w:val="en-US" w:eastAsia="zh-CN" w:bidi="ar-SA"/>
                    </w:rPr>
                  </w:pPr>
                  <w:r>
                    <w:rPr>
                      <w:rFonts w:hint="eastAsia"/>
                      <w:b/>
                      <w:bCs/>
                      <w:color w:val="auto"/>
                      <w:sz w:val="21"/>
                      <w:szCs w:val="21"/>
                      <w:u w:val="single"/>
                      <w:vertAlign w:val="baseline"/>
                      <w:lang w:val="en-US" w:eastAsia="zh-CN"/>
                    </w:rPr>
                    <w:t>BOD5</w:t>
                  </w:r>
                </w:p>
              </w:tc>
              <w:tc>
                <w:tcPr>
                  <w:tcW w:w="590" w:type="pct"/>
                  <w:shd w:val="clear" w:color="auto" w:fill="auto"/>
                  <w:vAlign w:val="center"/>
                </w:tcPr>
                <w:p w14:paraId="057FD5F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u w:val="single"/>
                      <w:vertAlign w:val="baseline"/>
                      <w:lang w:val="en-US" w:eastAsia="zh-CN"/>
                    </w:rPr>
                  </w:pPr>
                  <w:r>
                    <w:rPr>
                      <w:rFonts w:hint="eastAsia" w:ascii="Times New Roman" w:hAnsi="Times New Roman" w:eastAsia="宋体" w:cs="Times New Roman"/>
                      <w:b/>
                      <w:bCs/>
                      <w:color w:val="auto"/>
                      <w:sz w:val="21"/>
                      <w:szCs w:val="21"/>
                      <w:u w:val="single"/>
                      <w:vertAlign w:val="baseline"/>
                      <w:lang w:val="en-US" w:eastAsia="zh-CN"/>
                    </w:rPr>
                    <w:t>780.</w:t>
                  </w:r>
                  <w:r>
                    <w:rPr>
                      <w:rFonts w:hint="eastAsia" w:cs="Times New Roman"/>
                      <w:b/>
                      <w:bCs/>
                      <w:color w:val="auto"/>
                      <w:sz w:val="21"/>
                      <w:szCs w:val="21"/>
                      <w:u w:val="single"/>
                      <w:vertAlign w:val="baseline"/>
                      <w:lang w:val="en-US" w:eastAsia="zh-CN"/>
                    </w:rPr>
                    <w:t>9</w:t>
                  </w:r>
                </w:p>
              </w:tc>
              <w:tc>
                <w:tcPr>
                  <w:tcW w:w="1304" w:type="dxa"/>
                  <w:vAlign w:val="center"/>
                </w:tcPr>
                <w:p w14:paraId="4C7D5252">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u w:val="single"/>
                      <w:vertAlign w:val="baseline"/>
                      <w:lang w:val="en-US" w:eastAsia="zh-CN"/>
                    </w:rPr>
                  </w:pPr>
                  <w:r>
                    <w:rPr>
                      <w:rFonts w:hint="eastAsia" w:ascii="Times New Roman" w:hAnsi="Times New Roman" w:eastAsia="宋体" w:cs="Times New Roman"/>
                      <w:b/>
                      <w:bCs/>
                      <w:color w:val="auto"/>
                      <w:sz w:val="21"/>
                      <w:szCs w:val="21"/>
                      <w:u w:val="single"/>
                      <w:vertAlign w:val="baseline"/>
                      <w:lang w:val="en-US" w:eastAsia="zh-CN"/>
                    </w:rPr>
                    <w:t>43.8727</w:t>
                  </w:r>
                </w:p>
              </w:tc>
              <w:tc>
                <w:tcPr>
                  <w:tcW w:w="981" w:type="pct"/>
                  <w:vAlign w:val="center"/>
                </w:tcPr>
                <w:p w14:paraId="1F06D1D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u w:val="single"/>
                      <w:vertAlign w:val="baseline"/>
                      <w:lang w:val="en-US" w:eastAsia="zh-CN"/>
                    </w:rPr>
                  </w:pPr>
                  <w:r>
                    <w:rPr>
                      <w:rFonts w:hint="eastAsia"/>
                      <w:b/>
                      <w:bCs/>
                      <w:color w:val="auto"/>
                      <w:sz w:val="21"/>
                      <w:szCs w:val="21"/>
                      <w:u w:val="single"/>
                      <w:vertAlign w:val="baseline"/>
                      <w:lang w:val="en-US" w:eastAsia="zh-CN"/>
                    </w:rPr>
                    <w:t>14.8</w:t>
                  </w:r>
                </w:p>
              </w:tc>
              <w:tc>
                <w:tcPr>
                  <w:tcW w:w="1071" w:type="pct"/>
                  <w:vAlign w:val="center"/>
                </w:tcPr>
                <w:p w14:paraId="68766542">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u w:val="single"/>
                      <w:vertAlign w:val="baseline"/>
                      <w:lang w:val="en-US" w:eastAsia="zh-CN"/>
                    </w:rPr>
                  </w:pPr>
                  <w:r>
                    <w:rPr>
                      <w:rFonts w:hint="eastAsia"/>
                      <w:b/>
                      <w:bCs/>
                      <w:color w:val="auto"/>
                      <w:sz w:val="21"/>
                      <w:szCs w:val="21"/>
                      <w:u w:val="single"/>
                      <w:vertAlign w:val="baseline"/>
                      <w:lang w:val="en-US" w:eastAsia="zh-CN"/>
                    </w:rPr>
                    <w:t>0.8336</w:t>
                  </w:r>
                </w:p>
              </w:tc>
            </w:tr>
            <w:tr w14:paraId="14B34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316" w:type="pct"/>
                  <w:vMerge w:val="continue"/>
                  <w:vAlign w:val="center"/>
                </w:tcPr>
                <w:p w14:paraId="1429BA5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u w:val="single"/>
                      <w:vertAlign w:val="baseline"/>
                      <w:lang w:val="en-US" w:eastAsia="zh-CN"/>
                    </w:rPr>
                  </w:pPr>
                </w:p>
              </w:tc>
              <w:tc>
                <w:tcPr>
                  <w:tcW w:w="330" w:type="pct"/>
                  <w:vMerge w:val="continue"/>
                  <w:vAlign w:val="center"/>
                </w:tcPr>
                <w:p w14:paraId="4003312D">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u w:val="single"/>
                      <w:vertAlign w:val="baseline"/>
                      <w:lang w:val="en-US" w:eastAsia="zh-CN"/>
                    </w:rPr>
                  </w:pPr>
                </w:p>
              </w:tc>
              <w:tc>
                <w:tcPr>
                  <w:tcW w:w="344" w:type="pct"/>
                  <w:vMerge w:val="continue"/>
                  <w:vAlign w:val="center"/>
                </w:tcPr>
                <w:p w14:paraId="72E0E610">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u w:val="single"/>
                      <w:vertAlign w:val="baseline"/>
                      <w:lang w:val="en-US" w:eastAsia="zh-CN"/>
                    </w:rPr>
                  </w:pPr>
                </w:p>
              </w:tc>
              <w:tc>
                <w:tcPr>
                  <w:tcW w:w="551" w:type="pct"/>
                  <w:shd w:val="clear" w:color="auto" w:fill="auto"/>
                  <w:vAlign w:val="center"/>
                </w:tcPr>
                <w:p w14:paraId="5758EE9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u w:val="single"/>
                      <w:vertAlign w:val="baseline"/>
                      <w:lang w:val="en-US" w:eastAsia="zh-CN" w:bidi="ar-SA"/>
                    </w:rPr>
                  </w:pPr>
                  <w:r>
                    <w:rPr>
                      <w:rFonts w:hint="eastAsia"/>
                      <w:b/>
                      <w:bCs/>
                      <w:color w:val="auto"/>
                      <w:sz w:val="21"/>
                      <w:szCs w:val="21"/>
                      <w:u w:val="single"/>
                      <w:vertAlign w:val="baseline"/>
                      <w:lang w:val="en-US" w:eastAsia="zh-CN"/>
                    </w:rPr>
                    <w:t>SS</w:t>
                  </w:r>
                </w:p>
              </w:tc>
              <w:tc>
                <w:tcPr>
                  <w:tcW w:w="590" w:type="pct"/>
                  <w:shd w:val="clear" w:color="auto" w:fill="auto"/>
                  <w:vAlign w:val="center"/>
                </w:tcPr>
                <w:p w14:paraId="6FF389E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u w:val="single"/>
                      <w:vertAlign w:val="baseline"/>
                      <w:lang w:val="en-US" w:eastAsia="zh-CN"/>
                    </w:rPr>
                  </w:pPr>
                  <w:r>
                    <w:rPr>
                      <w:rFonts w:hint="eastAsia" w:ascii="Times New Roman" w:hAnsi="Times New Roman" w:eastAsia="宋体" w:cs="Times New Roman"/>
                      <w:b/>
                      <w:bCs/>
                      <w:color w:val="auto"/>
                      <w:sz w:val="21"/>
                      <w:szCs w:val="21"/>
                      <w:u w:val="single"/>
                      <w:vertAlign w:val="baseline"/>
                      <w:lang w:val="en-US" w:eastAsia="zh-CN"/>
                    </w:rPr>
                    <w:t>587.7</w:t>
                  </w:r>
                </w:p>
              </w:tc>
              <w:tc>
                <w:tcPr>
                  <w:tcW w:w="1304" w:type="dxa"/>
                  <w:vAlign w:val="center"/>
                </w:tcPr>
                <w:p w14:paraId="54CFC0E5">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u w:val="single"/>
                      <w:vertAlign w:val="baseline"/>
                      <w:lang w:val="en-US" w:eastAsia="zh-CN"/>
                    </w:rPr>
                  </w:pPr>
                  <w:r>
                    <w:rPr>
                      <w:rFonts w:hint="eastAsia" w:ascii="Times New Roman" w:hAnsi="Times New Roman" w:eastAsia="宋体" w:cs="Times New Roman"/>
                      <w:b/>
                      <w:bCs/>
                      <w:color w:val="auto"/>
                      <w:sz w:val="21"/>
                      <w:szCs w:val="21"/>
                      <w:u w:val="single"/>
                      <w:vertAlign w:val="baseline"/>
                      <w:lang w:val="en-US" w:eastAsia="zh-CN"/>
                    </w:rPr>
                    <w:t>33.0198</w:t>
                  </w:r>
                </w:p>
              </w:tc>
              <w:tc>
                <w:tcPr>
                  <w:tcW w:w="981" w:type="pct"/>
                  <w:vAlign w:val="center"/>
                </w:tcPr>
                <w:p w14:paraId="5C879C4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u w:val="single"/>
                      <w:vertAlign w:val="baseline"/>
                      <w:lang w:val="en-US" w:eastAsia="zh-CN"/>
                    </w:rPr>
                  </w:pPr>
                  <w:r>
                    <w:rPr>
                      <w:rFonts w:hint="eastAsia"/>
                      <w:b/>
                      <w:bCs/>
                      <w:color w:val="auto"/>
                      <w:sz w:val="21"/>
                      <w:szCs w:val="21"/>
                      <w:u w:val="single"/>
                      <w:vertAlign w:val="baseline"/>
                      <w:lang w:val="en-US" w:eastAsia="zh-CN"/>
                    </w:rPr>
                    <w:t>29.6</w:t>
                  </w:r>
                </w:p>
              </w:tc>
              <w:tc>
                <w:tcPr>
                  <w:tcW w:w="1071" w:type="pct"/>
                  <w:vAlign w:val="center"/>
                </w:tcPr>
                <w:p w14:paraId="0C6109D0">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u w:val="single"/>
                      <w:vertAlign w:val="baseline"/>
                      <w:lang w:val="en-US" w:eastAsia="zh-CN"/>
                    </w:rPr>
                  </w:pPr>
                  <w:r>
                    <w:rPr>
                      <w:rFonts w:hint="eastAsia"/>
                      <w:b/>
                      <w:bCs/>
                      <w:color w:val="auto"/>
                      <w:sz w:val="21"/>
                      <w:szCs w:val="21"/>
                      <w:u w:val="single"/>
                      <w:vertAlign w:val="baseline"/>
                      <w:lang w:val="en-US" w:eastAsia="zh-CN"/>
                    </w:rPr>
                    <w:t>1.6642</w:t>
                  </w:r>
                </w:p>
              </w:tc>
            </w:tr>
            <w:tr w14:paraId="0C31F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316" w:type="pct"/>
                  <w:vMerge w:val="continue"/>
                  <w:vAlign w:val="center"/>
                </w:tcPr>
                <w:p w14:paraId="72ADD23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u w:val="single"/>
                      <w:vertAlign w:val="baseline"/>
                      <w:lang w:val="en-US" w:eastAsia="zh-CN"/>
                    </w:rPr>
                  </w:pPr>
                </w:p>
              </w:tc>
              <w:tc>
                <w:tcPr>
                  <w:tcW w:w="330" w:type="pct"/>
                  <w:vMerge w:val="continue"/>
                  <w:vAlign w:val="center"/>
                </w:tcPr>
                <w:p w14:paraId="5C0E266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u w:val="single"/>
                      <w:vertAlign w:val="baseline"/>
                      <w:lang w:val="en-US" w:eastAsia="zh-CN"/>
                    </w:rPr>
                  </w:pPr>
                </w:p>
              </w:tc>
              <w:tc>
                <w:tcPr>
                  <w:tcW w:w="344" w:type="pct"/>
                  <w:vMerge w:val="continue"/>
                  <w:vAlign w:val="center"/>
                </w:tcPr>
                <w:p w14:paraId="5499DB12">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u w:val="single"/>
                      <w:vertAlign w:val="baseline"/>
                      <w:lang w:val="en-US" w:eastAsia="zh-CN"/>
                    </w:rPr>
                  </w:pPr>
                </w:p>
              </w:tc>
              <w:tc>
                <w:tcPr>
                  <w:tcW w:w="551" w:type="pct"/>
                  <w:shd w:val="clear" w:color="auto" w:fill="auto"/>
                  <w:vAlign w:val="center"/>
                </w:tcPr>
                <w:p w14:paraId="3C7E875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u w:val="single"/>
                      <w:vertAlign w:val="baseline"/>
                      <w:lang w:val="en-US" w:eastAsia="zh-CN" w:bidi="ar-SA"/>
                    </w:rPr>
                  </w:pPr>
                  <w:r>
                    <w:rPr>
                      <w:rFonts w:hint="eastAsia"/>
                      <w:b/>
                      <w:bCs/>
                      <w:color w:val="auto"/>
                      <w:sz w:val="21"/>
                      <w:szCs w:val="21"/>
                      <w:u w:val="single"/>
                      <w:vertAlign w:val="baseline"/>
                      <w:lang w:val="en-US" w:eastAsia="zh-CN"/>
                    </w:rPr>
                    <w:t>NH3-N</w:t>
                  </w:r>
                </w:p>
              </w:tc>
              <w:tc>
                <w:tcPr>
                  <w:tcW w:w="590" w:type="pct"/>
                  <w:shd w:val="clear" w:color="auto" w:fill="auto"/>
                  <w:vAlign w:val="center"/>
                </w:tcPr>
                <w:p w14:paraId="621B87C8">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u w:val="single"/>
                      <w:vertAlign w:val="baseline"/>
                      <w:lang w:val="en-US" w:eastAsia="zh-CN"/>
                    </w:rPr>
                  </w:pPr>
                  <w:r>
                    <w:rPr>
                      <w:rFonts w:hint="eastAsia" w:ascii="Times New Roman" w:hAnsi="Times New Roman" w:eastAsia="宋体" w:cs="Times New Roman"/>
                      <w:b/>
                      <w:bCs/>
                      <w:color w:val="auto"/>
                      <w:sz w:val="21"/>
                      <w:szCs w:val="21"/>
                      <w:u w:val="single"/>
                      <w:vertAlign w:val="baseline"/>
                      <w:lang w:val="en-US" w:eastAsia="zh-CN"/>
                    </w:rPr>
                    <w:t>38.8</w:t>
                  </w:r>
                </w:p>
              </w:tc>
              <w:tc>
                <w:tcPr>
                  <w:tcW w:w="1304" w:type="dxa"/>
                  <w:vAlign w:val="center"/>
                </w:tcPr>
                <w:p w14:paraId="6F031332">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u w:val="single"/>
                      <w:vertAlign w:val="baseline"/>
                      <w:lang w:val="en-US" w:eastAsia="zh-CN"/>
                    </w:rPr>
                  </w:pPr>
                  <w:r>
                    <w:rPr>
                      <w:rFonts w:hint="eastAsia" w:ascii="Times New Roman" w:hAnsi="Times New Roman" w:eastAsia="宋体" w:cs="Times New Roman"/>
                      <w:b/>
                      <w:bCs/>
                      <w:color w:val="auto"/>
                      <w:sz w:val="21"/>
                      <w:szCs w:val="21"/>
                      <w:u w:val="single"/>
                      <w:vertAlign w:val="baseline"/>
                      <w:lang w:val="en-US" w:eastAsia="zh-CN"/>
                    </w:rPr>
                    <w:t>2.1774</w:t>
                  </w:r>
                </w:p>
              </w:tc>
              <w:tc>
                <w:tcPr>
                  <w:tcW w:w="981" w:type="pct"/>
                  <w:vAlign w:val="center"/>
                </w:tcPr>
                <w:p w14:paraId="1BB8ED74">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u w:val="single"/>
                      <w:vertAlign w:val="baseline"/>
                      <w:lang w:val="en-US" w:eastAsia="zh-CN"/>
                    </w:rPr>
                  </w:pPr>
                  <w:r>
                    <w:rPr>
                      <w:rFonts w:hint="eastAsia"/>
                      <w:b/>
                      <w:bCs/>
                      <w:color w:val="auto"/>
                      <w:sz w:val="21"/>
                      <w:szCs w:val="21"/>
                      <w:u w:val="single"/>
                      <w:vertAlign w:val="baseline"/>
                      <w:lang w:val="en-US" w:eastAsia="zh-CN"/>
                    </w:rPr>
                    <w:t>7.7</w:t>
                  </w:r>
                </w:p>
              </w:tc>
              <w:tc>
                <w:tcPr>
                  <w:tcW w:w="1071" w:type="pct"/>
                  <w:vAlign w:val="center"/>
                </w:tcPr>
                <w:p w14:paraId="4985078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u w:val="single"/>
                      <w:vertAlign w:val="baseline"/>
                      <w:lang w:val="en-US" w:eastAsia="zh-CN"/>
                    </w:rPr>
                  </w:pPr>
                  <w:r>
                    <w:rPr>
                      <w:rFonts w:hint="eastAsia"/>
                      <w:b/>
                      <w:bCs/>
                      <w:color w:val="auto"/>
                      <w:sz w:val="21"/>
                      <w:szCs w:val="21"/>
                      <w:u w:val="single"/>
                      <w:vertAlign w:val="baseline"/>
                      <w:lang w:val="en-US" w:eastAsia="zh-CN"/>
                    </w:rPr>
                    <w:t>0.4311</w:t>
                  </w:r>
                </w:p>
              </w:tc>
            </w:tr>
            <w:tr w14:paraId="1ACF8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16" w:type="pct"/>
                  <w:vMerge w:val="continue"/>
                  <w:vAlign w:val="center"/>
                </w:tcPr>
                <w:p w14:paraId="76D5285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u w:val="single"/>
                      <w:vertAlign w:val="baseline"/>
                      <w:lang w:val="en-US" w:eastAsia="zh-CN"/>
                    </w:rPr>
                  </w:pPr>
                </w:p>
              </w:tc>
              <w:tc>
                <w:tcPr>
                  <w:tcW w:w="330" w:type="pct"/>
                  <w:vMerge w:val="continue"/>
                  <w:vAlign w:val="center"/>
                </w:tcPr>
                <w:p w14:paraId="3DD9A8C5">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u w:val="single"/>
                      <w:vertAlign w:val="baseline"/>
                      <w:lang w:val="en-US" w:eastAsia="zh-CN"/>
                    </w:rPr>
                  </w:pPr>
                </w:p>
              </w:tc>
              <w:tc>
                <w:tcPr>
                  <w:tcW w:w="344" w:type="pct"/>
                  <w:vMerge w:val="continue"/>
                  <w:vAlign w:val="center"/>
                </w:tcPr>
                <w:p w14:paraId="5B73354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u w:val="single"/>
                      <w:vertAlign w:val="baseline"/>
                      <w:lang w:val="en-US" w:eastAsia="zh-CN"/>
                    </w:rPr>
                  </w:pPr>
                </w:p>
              </w:tc>
              <w:tc>
                <w:tcPr>
                  <w:tcW w:w="551" w:type="pct"/>
                  <w:shd w:val="clear" w:color="auto" w:fill="auto"/>
                  <w:vAlign w:val="center"/>
                </w:tcPr>
                <w:p w14:paraId="02F74A5D">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u w:val="single"/>
                      <w:vertAlign w:val="baseline"/>
                      <w:lang w:val="en-US" w:eastAsia="zh-CN" w:bidi="ar-SA"/>
                    </w:rPr>
                  </w:pPr>
                  <w:r>
                    <w:rPr>
                      <w:rFonts w:hint="eastAsia"/>
                      <w:b/>
                      <w:bCs/>
                      <w:color w:val="auto"/>
                      <w:sz w:val="21"/>
                      <w:szCs w:val="21"/>
                      <w:u w:val="single"/>
                      <w:vertAlign w:val="baseline"/>
                      <w:lang w:val="en-US" w:eastAsia="zh-CN"/>
                    </w:rPr>
                    <w:t>色度</w:t>
                  </w:r>
                </w:p>
              </w:tc>
              <w:tc>
                <w:tcPr>
                  <w:tcW w:w="590" w:type="pct"/>
                  <w:vAlign w:val="center"/>
                </w:tcPr>
                <w:p w14:paraId="11E70F32">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u w:val="single"/>
                      <w:vertAlign w:val="baseline"/>
                      <w:lang w:val="en-US" w:eastAsia="zh-CN"/>
                    </w:rPr>
                  </w:pPr>
                  <w:r>
                    <w:rPr>
                      <w:rFonts w:hint="eastAsia"/>
                      <w:b/>
                      <w:bCs/>
                      <w:color w:val="auto"/>
                      <w:sz w:val="21"/>
                      <w:szCs w:val="21"/>
                      <w:u w:val="single"/>
                      <w:vertAlign w:val="baseline"/>
                      <w:lang w:val="en-US" w:eastAsia="zh-CN"/>
                    </w:rPr>
                    <w:t>450</w:t>
                  </w:r>
                </w:p>
              </w:tc>
              <w:tc>
                <w:tcPr>
                  <w:tcW w:w="804" w:type="pct"/>
                  <w:vAlign w:val="center"/>
                </w:tcPr>
                <w:p w14:paraId="33CF1D95">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u w:val="single"/>
                      <w:vertAlign w:val="baseline"/>
                      <w:lang w:val="en-US" w:eastAsia="zh-CN"/>
                    </w:rPr>
                  </w:pPr>
                  <w:r>
                    <w:rPr>
                      <w:rFonts w:hint="eastAsia" w:ascii="Times New Roman" w:hAnsi="Times New Roman" w:eastAsia="宋体" w:cs="Times New Roman"/>
                      <w:b/>
                      <w:bCs/>
                      <w:color w:val="auto"/>
                      <w:sz w:val="21"/>
                      <w:szCs w:val="21"/>
                      <w:u w:val="single"/>
                      <w:vertAlign w:val="baseline"/>
                      <w:lang w:val="en-US" w:eastAsia="zh-CN"/>
                    </w:rPr>
                    <w:t>/</w:t>
                  </w:r>
                </w:p>
              </w:tc>
              <w:tc>
                <w:tcPr>
                  <w:tcW w:w="981" w:type="pct"/>
                  <w:vAlign w:val="center"/>
                </w:tcPr>
                <w:p w14:paraId="13D78C1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u w:val="single"/>
                      <w:vertAlign w:val="baseline"/>
                      <w:lang w:val="en-US" w:eastAsia="zh-CN"/>
                    </w:rPr>
                  </w:pPr>
                  <w:r>
                    <w:rPr>
                      <w:rFonts w:hint="eastAsia"/>
                      <w:b/>
                      <w:bCs/>
                      <w:color w:val="auto"/>
                      <w:sz w:val="21"/>
                      <w:szCs w:val="21"/>
                      <w:u w:val="single"/>
                      <w:vertAlign w:val="baseline"/>
                      <w:lang w:val="en-US" w:eastAsia="zh-CN"/>
                    </w:rPr>
                    <w:t>36</w:t>
                  </w:r>
                </w:p>
              </w:tc>
              <w:tc>
                <w:tcPr>
                  <w:tcW w:w="1071" w:type="pct"/>
                  <w:vAlign w:val="center"/>
                </w:tcPr>
                <w:p w14:paraId="2A124D00">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u w:val="single"/>
                      <w:vertAlign w:val="baseline"/>
                      <w:lang w:val="en-US" w:eastAsia="zh-CN"/>
                    </w:rPr>
                  </w:pPr>
                  <w:r>
                    <w:rPr>
                      <w:rFonts w:hint="eastAsia"/>
                      <w:b/>
                      <w:bCs/>
                      <w:color w:val="auto"/>
                      <w:sz w:val="21"/>
                      <w:szCs w:val="21"/>
                      <w:u w:val="single"/>
                      <w:vertAlign w:val="baseline"/>
                      <w:lang w:val="en-US" w:eastAsia="zh-CN"/>
                    </w:rPr>
                    <w:t>/</w:t>
                  </w:r>
                </w:p>
              </w:tc>
            </w:tr>
          </w:tbl>
          <w:p w14:paraId="7DFFECF1">
            <w:pPr>
              <w:keepLines w:val="0"/>
              <w:pageBreakBefore w:val="0"/>
              <w:widowControl w:val="0"/>
              <w:kinsoku/>
              <w:wordWrap w:val="0"/>
              <w:topLinePunct w:val="0"/>
              <w:autoSpaceDE/>
              <w:autoSpaceDN/>
              <w:bidi w:val="0"/>
              <w:adjustRightInd/>
              <w:spacing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由上表可知，项目总废水经污水处理站处理后各污染物浓度分别为pH6~9，COD93.</w:t>
            </w:r>
            <w:r>
              <w:rPr>
                <w:rFonts w:hint="eastAsia" w:cs="Times New Roman"/>
                <w:color w:val="auto"/>
                <w:sz w:val="24"/>
                <w:szCs w:val="24"/>
                <w:lang w:val="en-US" w:eastAsia="zh-CN"/>
              </w:rPr>
              <w:t>4</w:t>
            </w:r>
            <w:r>
              <w:rPr>
                <w:rFonts w:hint="eastAsia" w:ascii="Times New Roman" w:hAnsi="Times New Roman" w:eastAsia="宋体" w:cs="Times New Roman"/>
                <w:color w:val="auto"/>
                <w:sz w:val="24"/>
                <w:szCs w:val="24"/>
                <w:lang w:val="en-US" w:eastAsia="zh-CN"/>
              </w:rPr>
              <w:t>mg/L、5.2</w:t>
            </w:r>
            <w:r>
              <w:rPr>
                <w:rFonts w:hint="eastAsia" w:cs="Times New Roman"/>
                <w:color w:val="auto"/>
                <w:sz w:val="24"/>
                <w:szCs w:val="24"/>
                <w:lang w:val="en-US" w:eastAsia="zh-CN"/>
              </w:rPr>
              <w:t>507</w:t>
            </w:r>
            <w:r>
              <w:rPr>
                <w:rFonts w:hint="eastAsia" w:ascii="Times New Roman" w:hAnsi="Times New Roman" w:eastAsia="宋体" w:cs="Times New Roman"/>
                <w:color w:val="auto"/>
                <w:sz w:val="24"/>
                <w:szCs w:val="24"/>
                <w:lang w:val="en-US" w:eastAsia="zh-CN"/>
              </w:rPr>
              <w:t>t/a，BOD</w:t>
            </w:r>
            <w:r>
              <w:rPr>
                <w:rFonts w:hint="eastAsia" w:ascii="Times New Roman" w:hAnsi="Times New Roman" w:eastAsia="宋体" w:cs="Times New Roman"/>
                <w:color w:val="auto"/>
                <w:sz w:val="24"/>
                <w:szCs w:val="24"/>
                <w:vertAlign w:val="subscript"/>
                <w:lang w:val="en-US" w:eastAsia="zh-CN"/>
              </w:rPr>
              <w:t>5</w:t>
            </w:r>
            <w:r>
              <w:rPr>
                <w:rFonts w:hint="eastAsia" w:ascii="Times New Roman" w:hAnsi="Times New Roman" w:eastAsia="宋体" w:cs="Times New Roman"/>
                <w:color w:val="auto"/>
                <w:sz w:val="24"/>
                <w:szCs w:val="24"/>
                <w:lang w:val="en-US" w:eastAsia="zh-CN"/>
              </w:rPr>
              <w:t>14.8mg/L、0.83</w:t>
            </w:r>
            <w:r>
              <w:rPr>
                <w:rFonts w:hint="eastAsia" w:cs="Times New Roman"/>
                <w:color w:val="auto"/>
                <w:sz w:val="24"/>
                <w:szCs w:val="24"/>
                <w:lang w:val="en-US" w:eastAsia="zh-CN"/>
              </w:rPr>
              <w:t>36</w:t>
            </w:r>
            <w:r>
              <w:rPr>
                <w:rFonts w:hint="eastAsia" w:ascii="Times New Roman" w:hAnsi="Times New Roman" w:eastAsia="宋体" w:cs="Times New Roman"/>
                <w:color w:val="auto"/>
                <w:sz w:val="24"/>
                <w:szCs w:val="24"/>
                <w:lang w:val="en-US" w:eastAsia="zh-CN"/>
              </w:rPr>
              <w:t>t/a，SS29.6mg/L、1.66</w:t>
            </w:r>
            <w:r>
              <w:rPr>
                <w:rFonts w:hint="eastAsia" w:cs="Times New Roman"/>
                <w:color w:val="auto"/>
                <w:sz w:val="24"/>
                <w:szCs w:val="24"/>
                <w:lang w:val="en-US" w:eastAsia="zh-CN"/>
              </w:rPr>
              <w:t>42</w:t>
            </w:r>
            <w:r>
              <w:rPr>
                <w:rFonts w:hint="eastAsia" w:ascii="Times New Roman" w:hAnsi="Times New Roman" w:eastAsia="宋体" w:cs="Times New Roman"/>
                <w:color w:val="auto"/>
                <w:sz w:val="24"/>
                <w:szCs w:val="24"/>
                <w:lang w:val="en-US" w:eastAsia="zh-CN"/>
              </w:rPr>
              <w:t>t/a，氨氮7.7mg/L、0.43</w:t>
            </w:r>
            <w:r>
              <w:rPr>
                <w:rFonts w:hint="eastAsia" w:cs="Times New Roman"/>
                <w:color w:val="auto"/>
                <w:sz w:val="24"/>
                <w:szCs w:val="24"/>
                <w:lang w:val="en-US" w:eastAsia="zh-CN"/>
              </w:rPr>
              <w:t>11</w:t>
            </w:r>
            <w:r>
              <w:rPr>
                <w:rFonts w:hint="eastAsia" w:ascii="Times New Roman" w:hAnsi="Times New Roman" w:eastAsia="宋体" w:cs="Times New Roman"/>
                <w:color w:val="auto"/>
                <w:sz w:val="24"/>
                <w:szCs w:val="24"/>
                <w:lang w:val="en-US" w:eastAsia="zh-CN"/>
              </w:rPr>
              <w:t>t/a，色度（稀释倍数）为36，均满足</w:t>
            </w:r>
            <w:r>
              <w:rPr>
                <w:rFonts w:hint="default" w:ascii="Times New Roman" w:hAnsi="Times New Roman" w:eastAsia="宋体" w:cs="Times New Roman"/>
                <w:color w:val="auto"/>
                <w:sz w:val="24"/>
                <w:szCs w:val="24"/>
              </w:rPr>
              <w:t>《中药类制药工业水污染物排放标准》（GB21906-2008）</w:t>
            </w:r>
            <w:r>
              <w:rPr>
                <w:rFonts w:hint="eastAsia" w:ascii="Times New Roman" w:hAnsi="Times New Roman" w:eastAsia="宋体" w:cs="Times New Roman"/>
                <w:color w:val="auto"/>
                <w:sz w:val="24"/>
                <w:szCs w:val="24"/>
                <w:lang w:val="en-US" w:eastAsia="zh-CN"/>
              </w:rPr>
              <w:t>表2标准限值。</w:t>
            </w:r>
          </w:p>
          <w:p w14:paraId="734A4422">
            <w:pPr>
              <w:keepLines w:val="0"/>
              <w:pageBreakBefore w:val="0"/>
              <w:widowControl w:val="0"/>
              <w:kinsoku/>
              <w:wordWrap w:val="0"/>
              <w:topLinePunct w:val="0"/>
              <w:autoSpaceDE/>
              <w:autoSpaceDN/>
              <w:bidi w:val="0"/>
              <w:adjustRightInd/>
              <w:spacing w:line="360" w:lineRule="auto"/>
              <w:ind w:left="0" w:leftChars="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w:t>
            </w:r>
            <w:r>
              <w:rPr>
                <w:rFonts w:hint="eastAsia"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）基准排水量分析</w:t>
            </w:r>
          </w:p>
          <w:p w14:paraId="34FA9819">
            <w:pPr>
              <w:keepLines w:val="0"/>
              <w:pageBreakBefore w:val="0"/>
              <w:widowControl w:val="0"/>
              <w:kinsoku/>
              <w:wordWrap w:val="0"/>
              <w:topLinePunct w:val="0"/>
              <w:autoSpaceDE/>
              <w:autoSpaceDN/>
              <w:bidi w:val="0"/>
              <w:adjustRightInd/>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根据《中药类制药工业水污染物排放标准》（GB21906-2008），单位产品基准排水量为300m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/t产品，本项目生产废水排放量为</w:t>
            </w:r>
            <w:r>
              <w:rPr>
                <w:rFonts w:hint="default" w:ascii="Times New Roman" w:hAnsi="Times New Roman" w:eastAsia="宋体" w:cs="Times New Roman"/>
                <w:color w:val="auto"/>
                <w:sz w:val="24"/>
                <w:szCs w:val="24"/>
                <w:lang w:val="en-US" w:eastAsia="zh-CN"/>
              </w:rPr>
              <w:t>54648.92</w:t>
            </w:r>
            <w:r>
              <w:rPr>
                <w:rFonts w:hint="default"/>
                <w:lang w:val="en-US" w:eastAsia="zh-CN"/>
              </w:rPr>
              <w:t>m</w:t>
            </w:r>
            <w:r>
              <w:rPr>
                <w:rFonts w:hint="default"/>
                <w:vertAlign w:val="superscript"/>
                <w:lang w:val="en-US" w:eastAsia="zh-CN"/>
              </w:rPr>
              <w:t>3</w:t>
            </w:r>
            <w:r>
              <w:rPr>
                <w:rFonts w:hint="default"/>
                <w:lang w:val="en-US" w:eastAsia="zh-CN"/>
              </w:rPr>
              <w:t>/a</w:t>
            </w:r>
            <w:r>
              <w:rPr>
                <w:rFonts w:hint="default" w:ascii="Times New Roman" w:hAnsi="Times New Roman" w:eastAsia="宋体" w:cs="Times New Roman"/>
                <w:color w:val="auto"/>
                <w:sz w:val="24"/>
                <w:szCs w:val="24"/>
              </w:rPr>
              <w:t>，生活污水排放量</w:t>
            </w:r>
            <w:r>
              <w:rPr>
                <w:rFonts w:hint="eastAsia" w:ascii="Times New Roman" w:hAnsi="Times New Roman" w:eastAsia="宋体" w:cs="Times New Roman"/>
                <w:color w:val="auto"/>
                <w:sz w:val="24"/>
                <w:szCs w:val="24"/>
                <w:lang w:val="en-US" w:eastAsia="zh-CN"/>
              </w:rPr>
              <w:t>1536</w:t>
            </w:r>
            <w:r>
              <w:rPr>
                <w:rFonts w:hint="default"/>
                <w:lang w:val="en-US" w:eastAsia="zh-CN"/>
              </w:rPr>
              <w:t>m</w:t>
            </w:r>
            <w:r>
              <w:rPr>
                <w:rFonts w:hint="default"/>
                <w:vertAlign w:val="superscript"/>
                <w:lang w:val="en-US" w:eastAsia="zh-CN"/>
              </w:rPr>
              <w:t>3</w:t>
            </w:r>
            <w:r>
              <w:rPr>
                <w:rFonts w:hint="default"/>
                <w:lang w:val="en-US" w:eastAsia="zh-CN"/>
              </w:rPr>
              <w:t>/a</w:t>
            </w:r>
            <w:r>
              <w:rPr>
                <w:rFonts w:hint="default" w:ascii="Times New Roman" w:hAnsi="Times New Roman" w:eastAsia="宋体" w:cs="Times New Roman"/>
                <w:color w:val="auto"/>
                <w:sz w:val="24"/>
                <w:szCs w:val="24"/>
              </w:rPr>
              <w:t>，则本项目排水总量为</w:t>
            </w:r>
            <w:r>
              <w:rPr>
                <w:rFonts w:hint="default" w:ascii="Times New Roman" w:hAnsi="Times New Roman" w:eastAsia="宋体" w:cs="Times New Roman"/>
                <w:color w:val="auto"/>
                <w:sz w:val="24"/>
                <w:szCs w:val="24"/>
                <w:lang w:val="en-US" w:eastAsia="zh-CN"/>
              </w:rPr>
              <w:t>56184.92</w:t>
            </w:r>
            <w:r>
              <w:rPr>
                <w:rFonts w:hint="default"/>
                <w:lang w:val="en-US" w:eastAsia="zh-CN"/>
              </w:rPr>
              <w:t>m</w:t>
            </w:r>
            <w:r>
              <w:rPr>
                <w:rFonts w:hint="default"/>
                <w:vertAlign w:val="superscript"/>
                <w:lang w:val="en-US" w:eastAsia="zh-CN"/>
              </w:rPr>
              <w:t>3</w:t>
            </w:r>
            <w:r>
              <w:rPr>
                <w:rFonts w:hint="default"/>
                <w:lang w:val="en-US" w:eastAsia="zh-CN"/>
              </w:rPr>
              <w:t>/a</w:t>
            </w:r>
            <w:r>
              <w:rPr>
                <w:rFonts w:hint="default" w:ascii="Times New Roman" w:hAnsi="Times New Roman" w:eastAsia="宋体" w:cs="Times New Roman"/>
                <w:color w:val="auto"/>
                <w:sz w:val="24"/>
                <w:szCs w:val="24"/>
              </w:rPr>
              <w:t>，本项目年产</w:t>
            </w:r>
            <w:r>
              <w:rPr>
                <w:rFonts w:hint="default" w:ascii="Times New Roman" w:hAnsi="Times New Roman" w:eastAsia="宋体" w:cs="Times New Roman"/>
                <w:color w:val="auto"/>
                <w:sz w:val="24"/>
                <w:szCs w:val="24"/>
                <w:lang w:val="en-US" w:eastAsia="zh-CN"/>
              </w:rPr>
              <w:t>普通中药饮片</w:t>
            </w:r>
            <w:r>
              <w:rPr>
                <w:rFonts w:hint="eastAsia"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rPr>
              <w:t>00吨，</w:t>
            </w:r>
            <w:r>
              <w:rPr>
                <w:rFonts w:hint="eastAsia" w:ascii="Times New Roman" w:hAnsi="Times New Roman" w:eastAsia="宋体" w:cs="Times New Roman"/>
                <w:color w:val="auto"/>
                <w:sz w:val="24"/>
                <w:szCs w:val="24"/>
                <w:lang w:val="en-US" w:eastAsia="zh-CN"/>
              </w:rPr>
              <w:t>口服中药饮片10</w:t>
            </w:r>
            <w:r>
              <w:rPr>
                <w:rFonts w:hint="default" w:ascii="Times New Roman" w:hAnsi="Times New Roman" w:eastAsia="宋体" w:cs="Times New Roman"/>
                <w:color w:val="auto"/>
                <w:sz w:val="24"/>
                <w:szCs w:val="24"/>
              </w:rPr>
              <w:t>吨，</w:t>
            </w:r>
            <w:r>
              <w:rPr>
                <w:rFonts w:hint="default" w:ascii="Times New Roman" w:hAnsi="Times New Roman" w:eastAsia="宋体" w:cs="Times New Roman"/>
                <w:color w:val="auto"/>
                <w:sz w:val="24"/>
                <w:szCs w:val="24"/>
                <w:lang w:val="en-US" w:eastAsia="zh-CN"/>
              </w:rPr>
              <w:t>毒性中药饮片</w:t>
            </w:r>
            <w:r>
              <w:rPr>
                <w:rFonts w:hint="eastAsia"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rPr>
              <w:t>0吨</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保健食品类2000t</w:t>
            </w:r>
            <w:r>
              <w:rPr>
                <w:rFonts w:hint="default" w:ascii="Times New Roman" w:hAnsi="Times New Roman" w:eastAsia="宋体" w:cs="Times New Roman"/>
                <w:color w:val="auto"/>
                <w:sz w:val="24"/>
                <w:szCs w:val="24"/>
              </w:rPr>
              <w:t>。经计算，本项目单位产品排水量为</w:t>
            </w:r>
            <w:r>
              <w:rPr>
                <w:rFonts w:hint="eastAsia" w:ascii="Times New Roman" w:hAnsi="Times New Roman" w:eastAsia="宋体" w:cs="Times New Roman"/>
                <w:color w:val="auto"/>
                <w:sz w:val="24"/>
                <w:szCs w:val="24"/>
                <w:lang w:val="en-US" w:eastAsia="zh-CN"/>
              </w:rPr>
              <w:t>15.3</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/t产品，因此本项目满足《中药类制药工业水污染物排放标准》（GB21906-2008）单位产品基准排水量要求（300m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/t产品）。</w:t>
            </w:r>
          </w:p>
          <w:p w14:paraId="6845EFF9">
            <w:pPr>
              <w:keepNext w:val="0"/>
              <w:keepLines w:val="0"/>
              <w:pageBreakBefore w:val="0"/>
              <w:widowControl w:val="0"/>
              <w:kinsoku/>
              <w:wordWrap w:val="0"/>
              <w:overflowPunct/>
              <w:topLinePunct w:val="0"/>
              <w:bidi w:val="0"/>
              <w:adjustRightInd/>
              <w:snapToGrid/>
              <w:ind w:firstLine="0" w:firstLineChars="0"/>
              <w:textAlignment w:val="auto"/>
              <w:rPr>
                <w:rFonts w:hint="default" w:eastAsia="宋体"/>
                <w:b/>
                <w:bCs/>
                <w:color w:val="auto"/>
                <w:lang w:val="en-US" w:eastAsia="zh-CN"/>
              </w:rPr>
            </w:pPr>
            <w:r>
              <w:rPr>
                <w:rFonts w:hint="eastAsia"/>
                <w:b/>
                <w:bCs/>
                <w:color w:val="auto"/>
              </w:rPr>
              <w:t>2.废水</w:t>
            </w:r>
            <w:r>
              <w:rPr>
                <w:rFonts w:hint="eastAsia"/>
                <w:b/>
                <w:bCs/>
                <w:color w:val="auto"/>
                <w:lang w:val="en-US" w:eastAsia="zh-CN"/>
              </w:rPr>
              <w:t>排放口基本情况</w:t>
            </w:r>
          </w:p>
          <w:p w14:paraId="1856137E">
            <w:pPr>
              <w:keepNext w:val="0"/>
              <w:keepLines w:val="0"/>
              <w:pageBreakBefore w:val="0"/>
              <w:widowControl w:val="0"/>
              <w:numPr>
                <w:ilvl w:val="0"/>
                <w:numId w:val="9"/>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lang w:val="zh-CN"/>
              </w:rPr>
            </w:pPr>
            <w:r>
              <w:rPr>
                <w:rFonts w:hint="eastAsia" w:ascii="Times New Roman" w:hAnsi="Times New Roman" w:eastAsia="宋体" w:cs="Times New Roman"/>
                <w:b/>
                <w:bCs/>
                <w:color w:val="auto"/>
                <w:sz w:val="21"/>
                <w:szCs w:val="21"/>
                <w:lang w:val="zh-CN"/>
              </w:rPr>
              <w:t>废水类别、污染物及污染治理设施信息表</w:t>
            </w:r>
          </w:p>
          <w:tbl>
            <w:tblPr>
              <w:tblStyle w:val="20"/>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63"/>
              <w:gridCol w:w="462"/>
              <w:gridCol w:w="711"/>
              <w:gridCol w:w="710"/>
              <w:gridCol w:w="480"/>
              <w:gridCol w:w="666"/>
              <w:gridCol w:w="692"/>
              <w:gridCol w:w="980"/>
              <w:gridCol w:w="647"/>
              <w:gridCol w:w="662"/>
              <w:gridCol w:w="1626"/>
            </w:tblGrid>
            <w:tr w14:paraId="565A8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1" w:type="dxa"/>
                  <w:vMerge w:val="restart"/>
                  <w:shd w:val="clear" w:color="auto" w:fill="auto"/>
                  <w:vAlign w:val="center"/>
                </w:tcPr>
                <w:p w14:paraId="2ED6DA57">
                  <w:pPr>
                    <w:spacing w:line="240" w:lineRule="auto"/>
                    <w:ind w:firstLine="0" w:firstLineChars="0"/>
                    <w:jc w:val="center"/>
                    <w:rPr>
                      <w:color w:val="auto"/>
                      <w:sz w:val="21"/>
                      <w:szCs w:val="21"/>
                    </w:rPr>
                  </w:pPr>
                  <w:r>
                    <w:rPr>
                      <w:color w:val="auto"/>
                      <w:sz w:val="21"/>
                      <w:szCs w:val="21"/>
                    </w:rPr>
                    <w:t>序号</w:t>
                  </w:r>
                </w:p>
              </w:tc>
              <w:tc>
                <w:tcPr>
                  <w:tcW w:w="475" w:type="dxa"/>
                  <w:vMerge w:val="restart"/>
                  <w:shd w:val="clear" w:color="auto" w:fill="auto"/>
                  <w:vAlign w:val="center"/>
                </w:tcPr>
                <w:p w14:paraId="5EFCFDAB">
                  <w:pPr>
                    <w:spacing w:line="240" w:lineRule="auto"/>
                    <w:ind w:firstLine="0" w:firstLineChars="0"/>
                    <w:jc w:val="center"/>
                    <w:rPr>
                      <w:color w:val="auto"/>
                      <w:sz w:val="21"/>
                      <w:szCs w:val="21"/>
                    </w:rPr>
                  </w:pPr>
                  <w:r>
                    <w:rPr>
                      <w:color w:val="auto"/>
                      <w:sz w:val="21"/>
                      <w:szCs w:val="21"/>
                    </w:rPr>
                    <w:t>废水</w:t>
                  </w:r>
                  <w:r>
                    <w:rPr>
                      <w:rFonts w:hint="eastAsia"/>
                      <w:color w:val="auto"/>
                      <w:sz w:val="21"/>
                      <w:szCs w:val="21"/>
                    </w:rPr>
                    <w:t>类型</w:t>
                  </w:r>
                </w:p>
              </w:tc>
              <w:tc>
                <w:tcPr>
                  <w:tcW w:w="726" w:type="dxa"/>
                  <w:vMerge w:val="restart"/>
                  <w:shd w:val="clear" w:color="auto" w:fill="auto"/>
                  <w:vAlign w:val="center"/>
                </w:tcPr>
                <w:p w14:paraId="0122F5B6">
                  <w:pPr>
                    <w:spacing w:line="240" w:lineRule="auto"/>
                    <w:ind w:firstLine="0" w:firstLineChars="0"/>
                    <w:jc w:val="center"/>
                    <w:rPr>
                      <w:color w:val="auto"/>
                      <w:sz w:val="21"/>
                      <w:szCs w:val="21"/>
                    </w:rPr>
                  </w:pPr>
                  <w:r>
                    <w:rPr>
                      <w:color w:val="auto"/>
                      <w:sz w:val="21"/>
                      <w:szCs w:val="21"/>
                    </w:rPr>
                    <w:t>污染物类别</w:t>
                  </w:r>
                </w:p>
              </w:tc>
              <w:tc>
                <w:tcPr>
                  <w:tcW w:w="735" w:type="dxa"/>
                  <w:vMerge w:val="restart"/>
                  <w:shd w:val="clear" w:color="auto" w:fill="auto"/>
                  <w:vAlign w:val="center"/>
                </w:tcPr>
                <w:p w14:paraId="1187D0EE">
                  <w:pPr>
                    <w:spacing w:line="240" w:lineRule="auto"/>
                    <w:ind w:firstLine="0" w:firstLineChars="0"/>
                    <w:jc w:val="center"/>
                    <w:rPr>
                      <w:color w:val="auto"/>
                      <w:sz w:val="21"/>
                      <w:szCs w:val="21"/>
                    </w:rPr>
                  </w:pPr>
                  <w:r>
                    <w:rPr>
                      <w:color w:val="auto"/>
                      <w:sz w:val="21"/>
                      <w:szCs w:val="21"/>
                    </w:rPr>
                    <w:t>排放去向</w:t>
                  </w:r>
                </w:p>
              </w:tc>
              <w:tc>
                <w:tcPr>
                  <w:tcW w:w="493" w:type="dxa"/>
                  <w:vMerge w:val="restart"/>
                  <w:shd w:val="clear" w:color="auto" w:fill="auto"/>
                  <w:vAlign w:val="center"/>
                </w:tcPr>
                <w:p w14:paraId="3D38B920">
                  <w:pPr>
                    <w:spacing w:line="240" w:lineRule="auto"/>
                    <w:ind w:firstLine="0" w:firstLineChars="0"/>
                    <w:jc w:val="center"/>
                    <w:rPr>
                      <w:color w:val="auto"/>
                      <w:sz w:val="21"/>
                      <w:szCs w:val="21"/>
                    </w:rPr>
                  </w:pPr>
                  <w:r>
                    <w:rPr>
                      <w:color w:val="auto"/>
                      <w:sz w:val="21"/>
                      <w:szCs w:val="21"/>
                    </w:rPr>
                    <w:t>排放规律</w:t>
                  </w:r>
                </w:p>
              </w:tc>
              <w:tc>
                <w:tcPr>
                  <w:tcW w:w="2424" w:type="dxa"/>
                  <w:gridSpan w:val="3"/>
                  <w:shd w:val="clear" w:color="auto" w:fill="auto"/>
                  <w:vAlign w:val="center"/>
                </w:tcPr>
                <w:p w14:paraId="55C43C32">
                  <w:pPr>
                    <w:spacing w:line="240" w:lineRule="auto"/>
                    <w:ind w:firstLine="0" w:firstLineChars="0"/>
                    <w:jc w:val="center"/>
                    <w:rPr>
                      <w:color w:val="auto"/>
                      <w:sz w:val="21"/>
                      <w:szCs w:val="21"/>
                    </w:rPr>
                  </w:pPr>
                  <w:r>
                    <w:rPr>
                      <w:color w:val="auto"/>
                      <w:sz w:val="21"/>
                      <w:szCs w:val="21"/>
                    </w:rPr>
                    <w:t>污染治理设施</w:t>
                  </w:r>
                </w:p>
              </w:tc>
              <w:tc>
                <w:tcPr>
                  <w:tcW w:w="669" w:type="dxa"/>
                  <w:vMerge w:val="restart"/>
                  <w:shd w:val="clear" w:color="auto" w:fill="auto"/>
                  <w:vAlign w:val="center"/>
                </w:tcPr>
                <w:p w14:paraId="0BD8C853">
                  <w:pPr>
                    <w:spacing w:line="240" w:lineRule="auto"/>
                    <w:ind w:firstLine="0" w:firstLineChars="0"/>
                    <w:jc w:val="center"/>
                    <w:rPr>
                      <w:color w:val="auto"/>
                      <w:sz w:val="21"/>
                      <w:szCs w:val="21"/>
                    </w:rPr>
                  </w:pPr>
                  <w:r>
                    <w:rPr>
                      <w:color w:val="auto"/>
                      <w:sz w:val="21"/>
                      <w:szCs w:val="21"/>
                    </w:rPr>
                    <w:t>排放口编号</w:t>
                  </w:r>
                </w:p>
              </w:tc>
              <w:tc>
                <w:tcPr>
                  <w:tcW w:w="685" w:type="dxa"/>
                  <w:vMerge w:val="restart"/>
                  <w:shd w:val="clear" w:color="auto" w:fill="auto"/>
                  <w:vAlign w:val="center"/>
                </w:tcPr>
                <w:p w14:paraId="179B258E">
                  <w:pPr>
                    <w:spacing w:line="240" w:lineRule="auto"/>
                    <w:ind w:firstLine="0" w:firstLineChars="0"/>
                    <w:jc w:val="center"/>
                    <w:rPr>
                      <w:color w:val="auto"/>
                      <w:sz w:val="21"/>
                      <w:szCs w:val="21"/>
                    </w:rPr>
                  </w:pPr>
                  <w:r>
                    <w:rPr>
                      <w:color w:val="auto"/>
                      <w:sz w:val="21"/>
                      <w:szCs w:val="21"/>
                    </w:rPr>
                    <w:t>排放口设置是否符合要求</w:t>
                  </w:r>
                </w:p>
              </w:tc>
              <w:tc>
                <w:tcPr>
                  <w:tcW w:w="1689" w:type="dxa"/>
                  <w:vMerge w:val="restart"/>
                  <w:shd w:val="clear" w:color="auto" w:fill="auto"/>
                  <w:vAlign w:val="center"/>
                </w:tcPr>
                <w:p w14:paraId="2E4F161B">
                  <w:pPr>
                    <w:spacing w:line="240" w:lineRule="auto"/>
                    <w:ind w:firstLine="0" w:firstLineChars="0"/>
                    <w:jc w:val="center"/>
                    <w:rPr>
                      <w:color w:val="auto"/>
                      <w:sz w:val="21"/>
                      <w:szCs w:val="21"/>
                    </w:rPr>
                  </w:pPr>
                  <w:r>
                    <w:rPr>
                      <w:color w:val="auto"/>
                      <w:sz w:val="21"/>
                      <w:szCs w:val="21"/>
                    </w:rPr>
                    <w:t>排放类型</w:t>
                  </w:r>
                </w:p>
              </w:tc>
            </w:tr>
            <w:tr w14:paraId="1FD37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1" w:type="dxa"/>
                  <w:vMerge w:val="continue"/>
                  <w:shd w:val="clear" w:color="auto" w:fill="auto"/>
                  <w:vAlign w:val="center"/>
                </w:tcPr>
                <w:p w14:paraId="6A83EBB1">
                  <w:pPr>
                    <w:spacing w:line="240" w:lineRule="auto"/>
                    <w:ind w:firstLine="0" w:firstLineChars="0"/>
                    <w:jc w:val="center"/>
                    <w:rPr>
                      <w:color w:val="auto"/>
                      <w:sz w:val="21"/>
                      <w:szCs w:val="21"/>
                    </w:rPr>
                  </w:pPr>
                </w:p>
              </w:tc>
              <w:tc>
                <w:tcPr>
                  <w:tcW w:w="475" w:type="dxa"/>
                  <w:vMerge w:val="continue"/>
                  <w:shd w:val="clear" w:color="auto" w:fill="auto"/>
                  <w:vAlign w:val="center"/>
                </w:tcPr>
                <w:p w14:paraId="3740DA10">
                  <w:pPr>
                    <w:spacing w:line="240" w:lineRule="auto"/>
                    <w:ind w:firstLine="0" w:firstLineChars="0"/>
                    <w:jc w:val="center"/>
                    <w:rPr>
                      <w:color w:val="auto"/>
                      <w:sz w:val="21"/>
                      <w:szCs w:val="21"/>
                    </w:rPr>
                  </w:pPr>
                </w:p>
              </w:tc>
              <w:tc>
                <w:tcPr>
                  <w:tcW w:w="726" w:type="dxa"/>
                  <w:vMerge w:val="continue"/>
                  <w:shd w:val="clear" w:color="auto" w:fill="auto"/>
                  <w:vAlign w:val="center"/>
                </w:tcPr>
                <w:p w14:paraId="39E53630">
                  <w:pPr>
                    <w:spacing w:line="240" w:lineRule="auto"/>
                    <w:ind w:firstLine="0" w:firstLineChars="0"/>
                    <w:jc w:val="center"/>
                    <w:rPr>
                      <w:color w:val="auto"/>
                      <w:sz w:val="21"/>
                      <w:szCs w:val="21"/>
                    </w:rPr>
                  </w:pPr>
                </w:p>
              </w:tc>
              <w:tc>
                <w:tcPr>
                  <w:tcW w:w="735" w:type="dxa"/>
                  <w:vMerge w:val="continue"/>
                  <w:shd w:val="clear" w:color="auto" w:fill="auto"/>
                  <w:vAlign w:val="center"/>
                </w:tcPr>
                <w:p w14:paraId="24AF67DC">
                  <w:pPr>
                    <w:spacing w:line="240" w:lineRule="auto"/>
                    <w:ind w:firstLine="0" w:firstLineChars="0"/>
                    <w:jc w:val="center"/>
                    <w:rPr>
                      <w:color w:val="auto"/>
                      <w:sz w:val="21"/>
                      <w:szCs w:val="21"/>
                    </w:rPr>
                  </w:pPr>
                </w:p>
              </w:tc>
              <w:tc>
                <w:tcPr>
                  <w:tcW w:w="493" w:type="dxa"/>
                  <w:vMerge w:val="continue"/>
                  <w:shd w:val="clear" w:color="auto" w:fill="auto"/>
                  <w:vAlign w:val="center"/>
                </w:tcPr>
                <w:p w14:paraId="26088B8C">
                  <w:pPr>
                    <w:spacing w:line="240" w:lineRule="auto"/>
                    <w:ind w:firstLine="0" w:firstLineChars="0"/>
                    <w:jc w:val="center"/>
                    <w:rPr>
                      <w:color w:val="auto"/>
                      <w:sz w:val="21"/>
                      <w:szCs w:val="21"/>
                    </w:rPr>
                  </w:pPr>
                </w:p>
              </w:tc>
              <w:tc>
                <w:tcPr>
                  <w:tcW w:w="689" w:type="dxa"/>
                  <w:shd w:val="clear" w:color="auto" w:fill="auto"/>
                  <w:vAlign w:val="center"/>
                </w:tcPr>
                <w:p w14:paraId="3F9C5481">
                  <w:pPr>
                    <w:spacing w:line="240" w:lineRule="auto"/>
                    <w:ind w:firstLine="0" w:firstLineChars="0"/>
                    <w:jc w:val="center"/>
                    <w:rPr>
                      <w:color w:val="auto"/>
                      <w:sz w:val="21"/>
                      <w:szCs w:val="21"/>
                    </w:rPr>
                  </w:pPr>
                  <w:r>
                    <w:rPr>
                      <w:color w:val="auto"/>
                      <w:sz w:val="21"/>
                      <w:szCs w:val="21"/>
                    </w:rPr>
                    <w:t>污染物治理编号</w:t>
                  </w:r>
                </w:p>
              </w:tc>
              <w:tc>
                <w:tcPr>
                  <w:tcW w:w="716" w:type="dxa"/>
                  <w:shd w:val="clear" w:color="auto" w:fill="auto"/>
                  <w:vAlign w:val="center"/>
                </w:tcPr>
                <w:p w14:paraId="539DC5CB">
                  <w:pPr>
                    <w:spacing w:line="240" w:lineRule="auto"/>
                    <w:ind w:firstLine="0" w:firstLineChars="0"/>
                    <w:jc w:val="center"/>
                    <w:rPr>
                      <w:color w:val="auto"/>
                      <w:sz w:val="21"/>
                      <w:szCs w:val="21"/>
                    </w:rPr>
                  </w:pPr>
                  <w:r>
                    <w:rPr>
                      <w:color w:val="auto"/>
                      <w:sz w:val="21"/>
                      <w:szCs w:val="21"/>
                    </w:rPr>
                    <w:t>污染物治理设施名称</w:t>
                  </w:r>
                </w:p>
              </w:tc>
              <w:tc>
                <w:tcPr>
                  <w:tcW w:w="1019" w:type="dxa"/>
                  <w:shd w:val="clear" w:color="auto" w:fill="auto"/>
                  <w:vAlign w:val="center"/>
                </w:tcPr>
                <w:p w14:paraId="77492AA8">
                  <w:pPr>
                    <w:spacing w:line="240" w:lineRule="auto"/>
                    <w:ind w:firstLine="0" w:firstLineChars="0"/>
                    <w:jc w:val="center"/>
                    <w:rPr>
                      <w:color w:val="auto"/>
                      <w:sz w:val="21"/>
                      <w:szCs w:val="21"/>
                    </w:rPr>
                  </w:pPr>
                  <w:r>
                    <w:rPr>
                      <w:color w:val="auto"/>
                      <w:sz w:val="21"/>
                      <w:szCs w:val="21"/>
                    </w:rPr>
                    <w:t>污染物治理设施工艺</w:t>
                  </w:r>
                </w:p>
              </w:tc>
              <w:tc>
                <w:tcPr>
                  <w:tcW w:w="669" w:type="dxa"/>
                  <w:vMerge w:val="continue"/>
                  <w:shd w:val="clear" w:color="auto" w:fill="auto"/>
                  <w:vAlign w:val="center"/>
                </w:tcPr>
                <w:p w14:paraId="071992A0">
                  <w:pPr>
                    <w:spacing w:line="240" w:lineRule="auto"/>
                    <w:ind w:firstLine="0" w:firstLineChars="0"/>
                    <w:jc w:val="center"/>
                    <w:rPr>
                      <w:color w:val="auto"/>
                      <w:sz w:val="21"/>
                      <w:szCs w:val="21"/>
                    </w:rPr>
                  </w:pPr>
                </w:p>
              </w:tc>
              <w:tc>
                <w:tcPr>
                  <w:tcW w:w="685" w:type="dxa"/>
                  <w:vMerge w:val="continue"/>
                  <w:shd w:val="clear" w:color="auto" w:fill="auto"/>
                  <w:vAlign w:val="center"/>
                </w:tcPr>
                <w:p w14:paraId="6935C9A0">
                  <w:pPr>
                    <w:spacing w:line="240" w:lineRule="auto"/>
                    <w:ind w:firstLine="0" w:firstLineChars="0"/>
                    <w:jc w:val="center"/>
                    <w:rPr>
                      <w:color w:val="auto"/>
                      <w:sz w:val="21"/>
                      <w:szCs w:val="21"/>
                    </w:rPr>
                  </w:pPr>
                </w:p>
              </w:tc>
              <w:tc>
                <w:tcPr>
                  <w:tcW w:w="1689" w:type="dxa"/>
                  <w:vMerge w:val="continue"/>
                  <w:shd w:val="clear" w:color="auto" w:fill="auto"/>
                  <w:vAlign w:val="center"/>
                </w:tcPr>
                <w:p w14:paraId="5FFBEE54">
                  <w:pPr>
                    <w:spacing w:line="240" w:lineRule="auto"/>
                    <w:ind w:firstLine="0" w:firstLineChars="0"/>
                    <w:jc w:val="left"/>
                    <w:rPr>
                      <w:color w:val="auto"/>
                      <w:sz w:val="21"/>
                      <w:szCs w:val="21"/>
                    </w:rPr>
                  </w:pPr>
                </w:p>
              </w:tc>
            </w:tr>
            <w:tr w14:paraId="01831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1" w:type="dxa"/>
                  <w:shd w:val="clear" w:color="auto" w:fill="auto"/>
                  <w:vAlign w:val="center"/>
                </w:tcPr>
                <w:p w14:paraId="724E520E">
                  <w:pPr>
                    <w:spacing w:line="240" w:lineRule="auto"/>
                    <w:ind w:firstLine="0" w:firstLineChars="0"/>
                    <w:jc w:val="center"/>
                    <w:rPr>
                      <w:color w:val="auto"/>
                      <w:sz w:val="21"/>
                      <w:szCs w:val="21"/>
                    </w:rPr>
                  </w:pPr>
                  <w:r>
                    <w:rPr>
                      <w:color w:val="auto"/>
                      <w:sz w:val="21"/>
                      <w:szCs w:val="21"/>
                    </w:rPr>
                    <w:t>1</w:t>
                  </w:r>
                </w:p>
              </w:tc>
              <w:tc>
                <w:tcPr>
                  <w:tcW w:w="475" w:type="dxa"/>
                  <w:shd w:val="clear" w:color="auto" w:fill="auto"/>
                  <w:vAlign w:val="center"/>
                </w:tcPr>
                <w:p w14:paraId="508A7B0C">
                  <w:pPr>
                    <w:spacing w:line="240" w:lineRule="auto"/>
                    <w:ind w:firstLine="0" w:firstLineChars="0"/>
                    <w:jc w:val="center"/>
                    <w:rPr>
                      <w:color w:val="auto"/>
                      <w:sz w:val="21"/>
                      <w:szCs w:val="21"/>
                    </w:rPr>
                  </w:pPr>
                  <w:r>
                    <w:rPr>
                      <w:rFonts w:hint="eastAsia"/>
                      <w:color w:val="auto"/>
                      <w:sz w:val="21"/>
                      <w:szCs w:val="21"/>
                      <w:lang w:val="en-US" w:eastAsia="zh-CN"/>
                    </w:rPr>
                    <w:t>综合生产</w:t>
                  </w:r>
                  <w:r>
                    <w:rPr>
                      <w:rFonts w:hint="eastAsia"/>
                      <w:color w:val="auto"/>
                      <w:sz w:val="21"/>
                      <w:szCs w:val="21"/>
                    </w:rPr>
                    <w:t>废水</w:t>
                  </w:r>
                </w:p>
              </w:tc>
              <w:tc>
                <w:tcPr>
                  <w:tcW w:w="726" w:type="dxa"/>
                  <w:shd w:val="clear" w:color="auto" w:fill="auto"/>
                  <w:vAlign w:val="center"/>
                </w:tcPr>
                <w:p w14:paraId="24C99434">
                  <w:pPr>
                    <w:spacing w:line="240" w:lineRule="auto"/>
                    <w:ind w:firstLine="0" w:firstLineChars="0"/>
                    <w:jc w:val="center"/>
                    <w:rPr>
                      <w:color w:val="auto"/>
                      <w:sz w:val="21"/>
                      <w:szCs w:val="21"/>
                    </w:rPr>
                  </w:pPr>
                  <w:r>
                    <w:rPr>
                      <w:rFonts w:hint="eastAsia"/>
                      <w:snapToGrid w:val="0"/>
                      <w:color w:val="auto"/>
                      <w:sz w:val="21"/>
                      <w:szCs w:val="21"/>
                      <w:lang w:val="en-US" w:eastAsia="zh-CN"/>
                    </w:rPr>
                    <w:t>pH、色度、</w:t>
                  </w:r>
                  <w:r>
                    <w:rPr>
                      <w:rFonts w:hint="eastAsia"/>
                      <w:snapToGrid w:val="0"/>
                      <w:color w:val="auto"/>
                      <w:sz w:val="21"/>
                      <w:szCs w:val="21"/>
                    </w:rPr>
                    <w:t>COD、BOD</w:t>
                  </w:r>
                  <w:r>
                    <w:rPr>
                      <w:rFonts w:hint="eastAsia"/>
                      <w:snapToGrid w:val="0"/>
                      <w:color w:val="auto"/>
                      <w:sz w:val="21"/>
                      <w:szCs w:val="21"/>
                      <w:vertAlign w:val="subscript"/>
                    </w:rPr>
                    <w:t>5</w:t>
                  </w:r>
                  <w:r>
                    <w:rPr>
                      <w:rFonts w:hint="eastAsia"/>
                      <w:snapToGrid w:val="0"/>
                      <w:color w:val="auto"/>
                      <w:sz w:val="21"/>
                      <w:szCs w:val="21"/>
                    </w:rPr>
                    <w:t>、氨氮、SS</w:t>
                  </w:r>
                </w:p>
              </w:tc>
              <w:tc>
                <w:tcPr>
                  <w:tcW w:w="735" w:type="dxa"/>
                  <w:shd w:val="clear" w:color="auto" w:fill="auto"/>
                  <w:vAlign w:val="center"/>
                </w:tcPr>
                <w:p w14:paraId="1604C575">
                  <w:pPr>
                    <w:spacing w:line="240" w:lineRule="auto"/>
                    <w:ind w:firstLine="0" w:firstLineChars="0"/>
                    <w:jc w:val="center"/>
                    <w:rPr>
                      <w:color w:val="auto"/>
                      <w:sz w:val="21"/>
                      <w:szCs w:val="21"/>
                    </w:rPr>
                  </w:pPr>
                  <w:r>
                    <w:rPr>
                      <w:rFonts w:hint="eastAsia"/>
                      <w:color w:val="auto"/>
                      <w:sz w:val="21"/>
                      <w:szCs w:val="21"/>
                    </w:rPr>
                    <w:t>污水处理站</w:t>
                  </w:r>
                </w:p>
              </w:tc>
              <w:tc>
                <w:tcPr>
                  <w:tcW w:w="493" w:type="dxa"/>
                  <w:shd w:val="clear" w:color="auto" w:fill="auto"/>
                  <w:vAlign w:val="center"/>
                </w:tcPr>
                <w:p w14:paraId="1B95787E">
                  <w:pPr>
                    <w:spacing w:line="240" w:lineRule="auto"/>
                    <w:ind w:firstLine="0" w:firstLineChars="0"/>
                    <w:jc w:val="center"/>
                    <w:rPr>
                      <w:color w:val="auto"/>
                      <w:sz w:val="21"/>
                      <w:szCs w:val="21"/>
                    </w:rPr>
                  </w:pPr>
                  <w:r>
                    <w:rPr>
                      <w:rFonts w:hint="eastAsia"/>
                      <w:color w:val="auto"/>
                      <w:sz w:val="21"/>
                      <w:szCs w:val="21"/>
                    </w:rPr>
                    <w:t>间歇排放</w:t>
                  </w:r>
                </w:p>
              </w:tc>
              <w:tc>
                <w:tcPr>
                  <w:tcW w:w="689" w:type="dxa"/>
                  <w:shd w:val="clear" w:color="auto" w:fill="auto"/>
                  <w:vAlign w:val="center"/>
                </w:tcPr>
                <w:p w14:paraId="7573F459">
                  <w:pPr>
                    <w:spacing w:line="240" w:lineRule="auto"/>
                    <w:ind w:firstLine="0" w:firstLineChars="0"/>
                    <w:jc w:val="center"/>
                    <w:rPr>
                      <w:color w:val="auto"/>
                      <w:sz w:val="21"/>
                      <w:szCs w:val="21"/>
                    </w:rPr>
                  </w:pPr>
                  <w:r>
                    <w:rPr>
                      <w:rFonts w:hint="eastAsia"/>
                      <w:color w:val="auto"/>
                      <w:sz w:val="21"/>
                      <w:szCs w:val="21"/>
                    </w:rPr>
                    <w:t>/</w:t>
                  </w:r>
                </w:p>
              </w:tc>
              <w:tc>
                <w:tcPr>
                  <w:tcW w:w="716" w:type="dxa"/>
                  <w:shd w:val="clear" w:color="auto" w:fill="auto"/>
                  <w:vAlign w:val="center"/>
                </w:tcPr>
                <w:p w14:paraId="3719E208">
                  <w:pPr>
                    <w:spacing w:line="240" w:lineRule="auto"/>
                    <w:ind w:firstLine="0" w:firstLineChars="0"/>
                    <w:jc w:val="center"/>
                    <w:rPr>
                      <w:color w:val="auto"/>
                      <w:sz w:val="21"/>
                      <w:szCs w:val="21"/>
                    </w:rPr>
                  </w:pPr>
                  <w:r>
                    <w:rPr>
                      <w:rFonts w:hint="eastAsia"/>
                      <w:color w:val="auto"/>
                      <w:sz w:val="21"/>
                      <w:szCs w:val="21"/>
                    </w:rPr>
                    <w:t>污水处理站</w:t>
                  </w:r>
                </w:p>
              </w:tc>
              <w:tc>
                <w:tcPr>
                  <w:tcW w:w="1019" w:type="dxa"/>
                  <w:shd w:val="clear" w:color="auto" w:fill="auto"/>
                  <w:vAlign w:val="center"/>
                </w:tcPr>
                <w:p w14:paraId="686B66ED">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混凝+UASB+生物接触氧化</w:t>
                  </w:r>
                </w:p>
              </w:tc>
              <w:tc>
                <w:tcPr>
                  <w:tcW w:w="669" w:type="dxa"/>
                  <w:vMerge w:val="restart"/>
                  <w:shd w:val="clear" w:color="auto" w:fill="auto"/>
                  <w:vAlign w:val="center"/>
                </w:tcPr>
                <w:p w14:paraId="39BC18C7">
                  <w:pPr>
                    <w:spacing w:line="240" w:lineRule="auto"/>
                    <w:ind w:firstLine="0" w:firstLineChars="0"/>
                    <w:jc w:val="center"/>
                    <w:rPr>
                      <w:color w:val="auto"/>
                      <w:sz w:val="21"/>
                      <w:szCs w:val="21"/>
                    </w:rPr>
                  </w:pPr>
                  <w:r>
                    <w:rPr>
                      <w:rFonts w:hint="eastAsia"/>
                      <w:color w:val="auto"/>
                      <w:sz w:val="21"/>
                      <w:szCs w:val="21"/>
                    </w:rPr>
                    <w:t>DW001</w:t>
                  </w:r>
                </w:p>
              </w:tc>
              <w:tc>
                <w:tcPr>
                  <w:tcW w:w="685" w:type="dxa"/>
                  <w:vMerge w:val="restart"/>
                  <w:shd w:val="clear" w:color="auto" w:fill="auto"/>
                  <w:vAlign w:val="center"/>
                </w:tcPr>
                <w:p w14:paraId="7925D174">
                  <w:pPr>
                    <w:spacing w:line="240" w:lineRule="auto"/>
                    <w:ind w:firstLine="0" w:firstLineChars="0"/>
                    <w:jc w:val="center"/>
                    <w:rPr>
                      <w:color w:val="auto"/>
                      <w:sz w:val="21"/>
                      <w:szCs w:val="21"/>
                    </w:rPr>
                  </w:pPr>
                  <w:r>
                    <w:rPr>
                      <w:rFonts w:hint="eastAsia"/>
                      <w:color w:val="auto"/>
                      <w:sz w:val="21"/>
                      <w:szCs w:val="21"/>
                    </w:rPr>
                    <w:t>是</w:t>
                  </w:r>
                </w:p>
              </w:tc>
              <w:tc>
                <w:tcPr>
                  <w:tcW w:w="1689" w:type="dxa"/>
                  <w:vMerge w:val="restart"/>
                  <w:shd w:val="clear" w:color="auto" w:fill="auto"/>
                  <w:vAlign w:val="center"/>
                </w:tcPr>
                <w:p w14:paraId="7CCF7633">
                  <w:pPr>
                    <w:spacing w:line="240" w:lineRule="auto"/>
                    <w:ind w:firstLine="0" w:firstLineChars="0"/>
                    <w:jc w:val="left"/>
                    <w:rPr>
                      <w:color w:val="auto"/>
                      <w:sz w:val="21"/>
                      <w:szCs w:val="21"/>
                    </w:rPr>
                  </w:pPr>
                  <w:r>
                    <w:rPr>
                      <w:color w:val="auto"/>
                      <w:sz w:val="21"/>
                      <w:szCs w:val="21"/>
                    </w:rPr>
                    <w:sym w:font="Wingdings" w:char="00FE"/>
                  </w:r>
                  <w:r>
                    <w:rPr>
                      <w:color w:val="auto"/>
                      <w:sz w:val="21"/>
                      <w:szCs w:val="21"/>
                    </w:rPr>
                    <w:t>企业总排</w:t>
                  </w:r>
                </w:p>
                <w:p w14:paraId="314B4B06">
                  <w:pPr>
                    <w:spacing w:line="240" w:lineRule="auto"/>
                    <w:ind w:firstLine="0" w:firstLineChars="0"/>
                    <w:jc w:val="left"/>
                    <w:rPr>
                      <w:color w:val="auto"/>
                      <w:sz w:val="21"/>
                      <w:szCs w:val="21"/>
                    </w:rPr>
                  </w:pPr>
                  <w:r>
                    <w:rPr>
                      <w:color w:val="auto"/>
                      <w:sz w:val="21"/>
                      <w:szCs w:val="21"/>
                    </w:rPr>
                    <w:sym w:font="Wingdings" w:char="00A8"/>
                  </w:r>
                  <w:r>
                    <w:rPr>
                      <w:color w:val="auto"/>
                      <w:sz w:val="21"/>
                      <w:szCs w:val="21"/>
                    </w:rPr>
                    <w:t>雨水排放</w:t>
                  </w:r>
                </w:p>
                <w:p w14:paraId="0033BA65">
                  <w:pPr>
                    <w:spacing w:line="240" w:lineRule="auto"/>
                    <w:ind w:firstLine="0" w:firstLineChars="0"/>
                    <w:jc w:val="left"/>
                    <w:rPr>
                      <w:color w:val="auto"/>
                      <w:sz w:val="21"/>
                      <w:szCs w:val="21"/>
                    </w:rPr>
                  </w:pPr>
                  <w:r>
                    <w:rPr>
                      <w:color w:val="auto"/>
                      <w:sz w:val="21"/>
                      <w:szCs w:val="21"/>
                    </w:rPr>
                    <w:sym w:font="Wingdings" w:char="00A8"/>
                  </w:r>
                  <w:r>
                    <w:rPr>
                      <w:color w:val="auto"/>
                      <w:sz w:val="21"/>
                      <w:szCs w:val="21"/>
                    </w:rPr>
                    <w:t>清洁下水排放</w:t>
                  </w:r>
                </w:p>
                <w:p w14:paraId="50CF6322">
                  <w:pPr>
                    <w:spacing w:line="240" w:lineRule="auto"/>
                    <w:ind w:firstLine="0" w:firstLineChars="0"/>
                    <w:jc w:val="left"/>
                    <w:rPr>
                      <w:color w:val="auto"/>
                      <w:sz w:val="21"/>
                      <w:szCs w:val="21"/>
                    </w:rPr>
                  </w:pPr>
                  <w:r>
                    <w:rPr>
                      <w:color w:val="auto"/>
                      <w:sz w:val="21"/>
                      <w:szCs w:val="21"/>
                    </w:rPr>
                    <w:sym w:font="Wingdings" w:char="00A8"/>
                  </w:r>
                  <w:r>
                    <w:rPr>
                      <w:color w:val="auto"/>
                      <w:sz w:val="21"/>
                      <w:szCs w:val="21"/>
                    </w:rPr>
                    <w:t>温排水排放</w:t>
                  </w:r>
                </w:p>
                <w:p w14:paraId="31D9A4E8">
                  <w:pPr>
                    <w:spacing w:line="240" w:lineRule="auto"/>
                    <w:ind w:firstLine="0" w:firstLineChars="0"/>
                    <w:jc w:val="left"/>
                    <w:rPr>
                      <w:color w:val="auto"/>
                      <w:sz w:val="21"/>
                      <w:szCs w:val="21"/>
                    </w:rPr>
                  </w:pPr>
                  <w:r>
                    <w:rPr>
                      <w:color w:val="auto"/>
                      <w:sz w:val="21"/>
                      <w:szCs w:val="21"/>
                    </w:rPr>
                    <w:sym w:font="Wingdings" w:char="00A8"/>
                  </w:r>
                  <w:r>
                    <w:rPr>
                      <w:color w:val="auto"/>
                      <w:sz w:val="21"/>
                      <w:szCs w:val="21"/>
                    </w:rPr>
                    <w:t>车间或车间处理设施排放口</w:t>
                  </w:r>
                </w:p>
              </w:tc>
            </w:tr>
            <w:tr w14:paraId="654D4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1" w:type="dxa"/>
                  <w:shd w:val="clear" w:color="auto" w:fill="auto"/>
                  <w:vAlign w:val="center"/>
                </w:tcPr>
                <w:p w14:paraId="31AC99A0">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2</w:t>
                  </w:r>
                </w:p>
              </w:tc>
              <w:tc>
                <w:tcPr>
                  <w:tcW w:w="475" w:type="dxa"/>
                  <w:shd w:val="clear" w:color="auto" w:fill="auto"/>
                  <w:vAlign w:val="center"/>
                </w:tcPr>
                <w:p w14:paraId="064B8ADD">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生活污水</w:t>
                  </w:r>
                </w:p>
              </w:tc>
              <w:tc>
                <w:tcPr>
                  <w:tcW w:w="726" w:type="dxa"/>
                  <w:shd w:val="clear" w:color="auto" w:fill="auto"/>
                  <w:vAlign w:val="center"/>
                </w:tcPr>
                <w:p w14:paraId="086CB8E3">
                  <w:pPr>
                    <w:spacing w:line="240" w:lineRule="auto"/>
                    <w:ind w:firstLine="0" w:firstLineChars="0"/>
                    <w:jc w:val="center"/>
                    <w:rPr>
                      <w:rFonts w:hint="eastAsia"/>
                      <w:snapToGrid w:val="0"/>
                      <w:color w:val="auto"/>
                      <w:sz w:val="21"/>
                      <w:szCs w:val="21"/>
                      <w:lang w:val="en-US" w:eastAsia="zh-CN"/>
                    </w:rPr>
                  </w:pPr>
                  <w:r>
                    <w:rPr>
                      <w:rFonts w:hint="eastAsia"/>
                      <w:snapToGrid w:val="0"/>
                      <w:color w:val="auto"/>
                      <w:sz w:val="21"/>
                      <w:szCs w:val="21"/>
                      <w:lang w:val="en-US" w:eastAsia="zh-CN"/>
                    </w:rPr>
                    <w:t>pH、</w:t>
                  </w:r>
                  <w:r>
                    <w:rPr>
                      <w:rFonts w:hint="eastAsia"/>
                      <w:snapToGrid w:val="0"/>
                      <w:color w:val="auto"/>
                      <w:sz w:val="21"/>
                      <w:szCs w:val="21"/>
                    </w:rPr>
                    <w:t>COD、BOD</w:t>
                  </w:r>
                  <w:r>
                    <w:rPr>
                      <w:rFonts w:hint="eastAsia"/>
                      <w:snapToGrid w:val="0"/>
                      <w:color w:val="auto"/>
                      <w:sz w:val="21"/>
                      <w:szCs w:val="21"/>
                      <w:vertAlign w:val="subscript"/>
                    </w:rPr>
                    <w:t>5</w:t>
                  </w:r>
                  <w:r>
                    <w:rPr>
                      <w:rFonts w:hint="eastAsia"/>
                      <w:snapToGrid w:val="0"/>
                      <w:color w:val="auto"/>
                      <w:sz w:val="21"/>
                      <w:szCs w:val="21"/>
                    </w:rPr>
                    <w:t>、氨氮、SS</w:t>
                  </w:r>
                </w:p>
              </w:tc>
              <w:tc>
                <w:tcPr>
                  <w:tcW w:w="735" w:type="dxa"/>
                  <w:shd w:val="clear" w:color="auto" w:fill="auto"/>
                  <w:vAlign w:val="center"/>
                </w:tcPr>
                <w:p w14:paraId="1686C496">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化粪池</w:t>
                  </w:r>
                </w:p>
              </w:tc>
              <w:tc>
                <w:tcPr>
                  <w:tcW w:w="493" w:type="dxa"/>
                  <w:shd w:val="clear" w:color="auto" w:fill="auto"/>
                  <w:vAlign w:val="center"/>
                </w:tcPr>
                <w:p w14:paraId="4F3C8B50">
                  <w:pPr>
                    <w:spacing w:line="240" w:lineRule="auto"/>
                    <w:ind w:firstLine="0" w:firstLineChars="0"/>
                    <w:jc w:val="center"/>
                    <w:rPr>
                      <w:rFonts w:hint="eastAsia"/>
                      <w:color w:val="auto"/>
                      <w:sz w:val="21"/>
                      <w:szCs w:val="21"/>
                    </w:rPr>
                  </w:pPr>
                  <w:r>
                    <w:rPr>
                      <w:rFonts w:hint="eastAsia"/>
                      <w:color w:val="auto"/>
                      <w:sz w:val="21"/>
                      <w:szCs w:val="21"/>
                    </w:rPr>
                    <w:t>间歇排放</w:t>
                  </w:r>
                </w:p>
              </w:tc>
              <w:tc>
                <w:tcPr>
                  <w:tcW w:w="689" w:type="dxa"/>
                  <w:shd w:val="clear" w:color="auto" w:fill="auto"/>
                  <w:vAlign w:val="center"/>
                </w:tcPr>
                <w:p w14:paraId="703A1AF9">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c>
                <w:tcPr>
                  <w:tcW w:w="716" w:type="dxa"/>
                  <w:shd w:val="clear" w:color="auto" w:fill="auto"/>
                  <w:vAlign w:val="center"/>
                </w:tcPr>
                <w:p w14:paraId="63401814">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化粪池</w:t>
                  </w:r>
                </w:p>
              </w:tc>
              <w:tc>
                <w:tcPr>
                  <w:tcW w:w="1019" w:type="dxa"/>
                  <w:shd w:val="clear" w:color="auto" w:fill="auto"/>
                  <w:vAlign w:val="center"/>
                </w:tcPr>
                <w:p w14:paraId="0EACF731">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w:t>
                  </w:r>
                </w:p>
              </w:tc>
              <w:tc>
                <w:tcPr>
                  <w:tcW w:w="669" w:type="dxa"/>
                  <w:vMerge w:val="continue"/>
                  <w:shd w:val="clear" w:color="auto" w:fill="auto"/>
                  <w:vAlign w:val="center"/>
                </w:tcPr>
                <w:p w14:paraId="29E0F4AA">
                  <w:pPr>
                    <w:spacing w:line="240" w:lineRule="auto"/>
                    <w:ind w:firstLine="0" w:firstLineChars="0"/>
                    <w:jc w:val="center"/>
                    <w:rPr>
                      <w:rFonts w:hint="eastAsia" w:eastAsia="宋体"/>
                      <w:color w:val="auto"/>
                      <w:sz w:val="21"/>
                      <w:szCs w:val="21"/>
                      <w:lang w:val="en-US" w:eastAsia="zh-CN"/>
                    </w:rPr>
                  </w:pPr>
                </w:p>
              </w:tc>
              <w:tc>
                <w:tcPr>
                  <w:tcW w:w="685" w:type="dxa"/>
                  <w:vMerge w:val="continue"/>
                  <w:shd w:val="clear" w:color="auto" w:fill="auto"/>
                  <w:vAlign w:val="center"/>
                </w:tcPr>
                <w:p w14:paraId="11616523">
                  <w:pPr>
                    <w:spacing w:line="240" w:lineRule="auto"/>
                    <w:ind w:firstLine="0" w:firstLineChars="0"/>
                    <w:jc w:val="center"/>
                    <w:rPr>
                      <w:rFonts w:hint="eastAsia" w:eastAsia="宋体"/>
                      <w:color w:val="auto"/>
                      <w:sz w:val="21"/>
                      <w:szCs w:val="21"/>
                      <w:lang w:val="en-US" w:eastAsia="zh-CN"/>
                    </w:rPr>
                  </w:pPr>
                </w:p>
              </w:tc>
              <w:tc>
                <w:tcPr>
                  <w:tcW w:w="1689" w:type="dxa"/>
                  <w:vMerge w:val="continue"/>
                  <w:shd w:val="clear" w:color="auto" w:fill="auto"/>
                  <w:vAlign w:val="center"/>
                </w:tcPr>
                <w:p w14:paraId="3B4447B6">
                  <w:pPr>
                    <w:spacing w:line="240" w:lineRule="auto"/>
                    <w:ind w:firstLine="0" w:firstLineChars="0"/>
                    <w:jc w:val="left"/>
                    <w:rPr>
                      <w:color w:val="auto"/>
                      <w:sz w:val="21"/>
                      <w:szCs w:val="21"/>
                    </w:rPr>
                  </w:pPr>
                </w:p>
              </w:tc>
            </w:tr>
          </w:tbl>
          <w:p w14:paraId="38266D1C">
            <w:pPr>
              <w:keepNext w:val="0"/>
              <w:keepLines w:val="0"/>
              <w:pageBreakBefore w:val="0"/>
              <w:widowControl w:val="0"/>
              <w:numPr>
                <w:ilvl w:val="0"/>
                <w:numId w:val="9"/>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lang w:val="zh-CN"/>
              </w:rPr>
            </w:pPr>
            <w:r>
              <w:rPr>
                <w:rFonts w:hint="eastAsia" w:ascii="Times New Roman" w:hAnsi="Times New Roman" w:eastAsia="宋体" w:cs="Times New Roman"/>
                <w:b/>
                <w:bCs/>
                <w:color w:val="auto"/>
                <w:sz w:val="21"/>
                <w:szCs w:val="21"/>
                <w:lang w:val="zh-CN"/>
              </w:rPr>
              <w:t>废水间接排放口基本情况一览表</w:t>
            </w:r>
          </w:p>
          <w:tbl>
            <w:tblPr>
              <w:tblStyle w:val="20"/>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83"/>
              <w:gridCol w:w="629"/>
              <w:gridCol w:w="653"/>
              <w:gridCol w:w="874"/>
              <w:gridCol w:w="844"/>
              <w:gridCol w:w="594"/>
              <w:gridCol w:w="726"/>
              <w:gridCol w:w="897"/>
              <w:gridCol w:w="667"/>
              <w:gridCol w:w="1232"/>
            </w:tblGrid>
            <w:tr w14:paraId="675AB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4" w:type="dxa"/>
                  <w:shd w:val="clear" w:color="auto" w:fill="auto"/>
                  <w:vAlign w:val="center"/>
                </w:tcPr>
                <w:p w14:paraId="12EDB553">
                  <w:pPr>
                    <w:spacing w:line="240" w:lineRule="auto"/>
                    <w:ind w:firstLine="0" w:firstLineChars="0"/>
                    <w:jc w:val="center"/>
                    <w:rPr>
                      <w:color w:val="auto"/>
                      <w:sz w:val="21"/>
                      <w:szCs w:val="21"/>
                    </w:rPr>
                  </w:pPr>
                  <w:r>
                    <w:rPr>
                      <w:color w:val="auto"/>
                      <w:sz w:val="21"/>
                      <w:szCs w:val="21"/>
                    </w:rPr>
                    <w:t>排放口编号</w:t>
                  </w:r>
                </w:p>
              </w:tc>
              <w:tc>
                <w:tcPr>
                  <w:tcW w:w="1335" w:type="dxa"/>
                  <w:gridSpan w:val="2"/>
                  <w:shd w:val="clear" w:color="auto" w:fill="auto"/>
                  <w:vAlign w:val="center"/>
                </w:tcPr>
                <w:p w14:paraId="0D921975">
                  <w:pPr>
                    <w:spacing w:line="240" w:lineRule="auto"/>
                    <w:ind w:firstLine="0" w:firstLineChars="0"/>
                    <w:jc w:val="center"/>
                    <w:rPr>
                      <w:color w:val="auto"/>
                      <w:sz w:val="21"/>
                      <w:szCs w:val="21"/>
                    </w:rPr>
                  </w:pPr>
                  <w:r>
                    <w:rPr>
                      <w:color w:val="auto"/>
                      <w:sz w:val="21"/>
                      <w:szCs w:val="21"/>
                    </w:rPr>
                    <w:t>排放口坐标</w:t>
                  </w:r>
                </w:p>
              </w:tc>
              <w:tc>
                <w:tcPr>
                  <w:tcW w:w="909" w:type="dxa"/>
                  <w:vMerge w:val="restart"/>
                  <w:shd w:val="clear" w:color="auto" w:fill="auto"/>
                  <w:vAlign w:val="center"/>
                </w:tcPr>
                <w:p w14:paraId="30BD6978">
                  <w:pPr>
                    <w:spacing w:line="240" w:lineRule="auto"/>
                    <w:ind w:firstLine="0" w:firstLineChars="0"/>
                    <w:jc w:val="center"/>
                    <w:rPr>
                      <w:color w:val="auto"/>
                      <w:sz w:val="21"/>
                      <w:szCs w:val="21"/>
                    </w:rPr>
                  </w:pPr>
                  <w:r>
                    <w:rPr>
                      <w:color w:val="auto"/>
                      <w:sz w:val="21"/>
                      <w:szCs w:val="21"/>
                    </w:rPr>
                    <w:t>废水排放量（t/a）</w:t>
                  </w:r>
                </w:p>
              </w:tc>
              <w:tc>
                <w:tcPr>
                  <w:tcW w:w="883" w:type="dxa"/>
                  <w:vMerge w:val="restart"/>
                  <w:shd w:val="clear" w:color="auto" w:fill="auto"/>
                  <w:vAlign w:val="center"/>
                </w:tcPr>
                <w:p w14:paraId="10021EFB">
                  <w:pPr>
                    <w:spacing w:line="240" w:lineRule="auto"/>
                    <w:ind w:firstLine="0" w:firstLineChars="0"/>
                    <w:jc w:val="center"/>
                    <w:rPr>
                      <w:color w:val="auto"/>
                      <w:sz w:val="21"/>
                      <w:szCs w:val="21"/>
                    </w:rPr>
                  </w:pPr>
                  <w:r>
                    <w:rPr>
                      <w:color w:val="auto"/>
                      <w:sz w:val="21"/>
                      <w:szCs w:val="21"/>
                    </w:rPr>
                    <w:t>排放去向</w:t>
                  </w:r>
                </w:p>
              </w:tc>
              <w:tc>
                <w:tcPr>
                  <w:tcW w:w="617" w:type="dxa"/>
                  <w:vMerge w:val="restart"/>
                  <w:shd w:val="clear" w:color="auto" w:fill="auto"/>
                  <w:vAlign w:val="center"/>
                </w:tcPr>
                <w:p w14:paraId="53A87D0B">
                  <w:pPr>
                    <w:spacing w:line="240" w:lineRule="auto"/>
                    <w:ind w:firstLine="0" w:firstLineChars="0"/>
                    <w:jc w:val="center"/>
                    <w:rPr>
                      <w:color w:val="auto"/>
                      <w:sz w:val="21"/>
                      <w:szCs w:val="21"/>
                    </w:rPr>
                  </w:pPr>
                  <w:r>
                    <w:rPr>
                      <w:color w:val="auto"/>
                      <w:sz w:val="21"/>
                      <w:szCs w:val="21"/>
                    </w:rPr>
                    <w:t>排放规律</w:t>
                  </w:r>
                </w:p>
              </w:tc>
              <w:tc>
                <w:tcPr>
                  <w:tcW w:w="758" w:type="dxa"/>
                  <w:vMerge w:val="restart"/>
                  <w:shd w:val="clear" w:color="auto" w:fill="auto"/>
                  <w:vAlign w:val="center"/>
                </w:tcPr>
                <w:p w14:paraId="0E4F611D">
                  <w:pPr>
                    <w:spacing w:line="240" w:lineRule="auto"/>
                    <w:ind w:firstLine="0" w:firstLineChars="0"/>
                    <w:jc w:val="center"/>
                    <w:rPr>
                      <w:color w:val="auto"/>
                      <w:sz w:val="21"/>
                      <w:szCs w:val="21"/>
                    </w:rPr>
                  </w:pPr>
                  <w:r>
                    <w:rPr>
                      <w:color w:val="auto"/>
                      <w:sz w:val="21"/>
                      <w:szCs w:val="21"/>
                    </w:rPr>
                    <w:t>间歇排放时段</w:t>
                  </w:r>
                </w:p>
              </w:tc>
              <w:tc>
                <w:tcPr>
                  <w:tcW w:w="2929" w:type="dxa"/>
                  <w:gridSpan w:val="3"/>
                  <w:shd w:val="clear" w:color="auto" w:fill="auto"/>
                  <w:vAlign w:val="center"/>
                </w:tcPr>
                <w:p w14:paraId="3490CB54">
                  <w:pPr>
                    <w:spacing w:line="240" w:lineRule="auto"/>
                    <w:ind w:firstLine="0" w:firstLineChars="0"/>
                    <w:jc w:val="center"/>
                    <w:rPr>
                      <w:color w:val="auto"/>
                      <w:sz w:val="21"/>
                      <w:szCs w:val="21"/>
                    </w:rPr>
                  </w:pPr>
                  <w:r>
                    <w:rPr>
                      <w:color w:val="auto"/>
                      <w:sz w:val="21"/>
                      <w:szCs w:val="21"/>
                    </w:rPr>
                    <w:t>受纳污水处理厂信息</w:t>
                  </w:r>
                </w:p>
              </w:tc>
            </w:tr>
            <w:tr w14:paraId="3E339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4" w:type="dxa"/>
                  <w:vMerge w:val="restart"/>
                  <w:shd w:val="clear" w:color="auto" w:fill="auto"/>
                  <w:vAlign w:val="center"/>
                </w:tcPr>
                <w:p w14:paraId="770F3614">
                  <w:pPr>
                    <w:spacing w:line="240" w:lineRule="auto"/>
                    <w:ind w:firstLine="0" w:firstLineChars="0"/>
                    <w:jc w:val="center"/>
                    <w:rPr>
                      <w:color w:val="auto"/>
                      <w:sz w:val="21"/>
                      <w:szCs w:val="21"/>
                    </w:rPr>
                  </w:pPr>
                  <w:r>
                    <w:rPr>
                      <w:rFonts w:hint="eastAsia"/>
                      <w:color w:val="auto"/>
                      <w:sz w:val="21"/>
                      <w:szCs w:val="21"/>
                    </w:rPr>
                    <w:t>DW001</w:t>
                  </w:r>
                </w:p>
              </w:tc>
              <w:tc>
                <w:tcPr>
                  <w:tcW w:w="655" w:type="dxa"/>
                  <w:shd w:val="clear" w:color="auto" w:fill="auto"/>
                  <w:vAlign w:val="center"/>
                </w:tcPr>
                <w:p w14:paraId="58B9C5E5">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经度</w:t>
                  </w:r>
                </w:p>
              </w:tc>
              <w:tc>
                <w:tcPr>
                  <w:tcW w:w="680" w:type="dxa"/>
                  <w:shd w:val="clear" w:color="auto" w:fill="auto"/>
                  <w:vAlign w:val="center"/>
                </w:tcPr>
                <w:p w14:paraId="4ED76858">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纬度</w:t>
                  </w:r>
                </w:p>
              </w:tc>
              <w:tc>
                <w:tcPr>
                  <w:tcW w:w="909" w:type="dxa"/>
                  <w:vMerge w:val="continue"/>
                  <w:shd w:val="clear" w:color="auto" w:fill="auto"/>
                  <w:vAlign w:val="center"/>
                </w:tcPr>
                <w:p w14:paraId="6843A963">
                  <w:pPr>
                    <w:spacing w:line="240" w:lineRule="auto"/>
                    <w:ind w:firstLine="0" w:firstLineChars="0"/>
                    <w:jc w:val="center"/>
                    <w:rPr>
                      <w:color w:val="auto"/>
                      <w:sz w:val="21"/>
                      <w:szCs w:val="21"/>
                    </w:rPr>
                  </w:pPr>
                </w:p>
              </w:tc>
              <w:tc>
                <w:tcPr>
                  <w:tcW w:w="883" w:type="dxa"/>
                  <w:vMerge w:val="continue"/>
                  <w:shd w:val="clear" w:color="auto" w:fill="auto"/>
                  <w:vAlign w:val="center"/>
                </w:tcPr>
                <w:p w14:paraId="756CC162">
                  <w:pPr>
                    <w:spacing w:line="240" w:lineRule="auto"/>
                    <w:ind w:firstLine="0" w:firstLineChars="0"/>
                    <w:jc w:val="center"/>
                    <w:rPr>
                      <w:color w:val="auto"/>
                      <w:sz w:val="21"/>
                      <w:szCs w:val="21"/>
                    </w:rPr>
                  </w:pPr>
                </w:p>
              </w:tc>
              <w:tc>
                <w:tcPr>
                  <w:tcW w:w="617" w:type="dxa"/>
                  <w:vMerge w:val="continue"/>
                  <w:shd w:val="clear" w:color="auto" w:fill="auto"/>
                  <w:vAlign w:val="center"/>
                </w:tcPr>
                <w:p w14:paraId="67F9A999">
                  <w:pPr>
                    <w:spacing w:line="240" w:lineRule="auto"/>
                    <w:ind w:firstLine="0" w:firstLineChars="0"/>
                    <w:jc w:val="center"/>
                    <w:rPr>
                      <w:color w:val="auto"/>
                      <w:sz w:val="21"/>
                      <w:szCs w:val="21"/>
                    </w:rPr>
                  </w:pPr>
                </w:p>
              </w:tc>
              <w:tc>
                <w:tcPr>
                  <w:tcW w:w="758" w:type="dxa"/>
                  <w:vMerge w:val="continue"/>
                  <w:shd w:val="clear" w:color="auto" w:fill="auto"/>
                  <w:vAlign w:val="center"/>
                </w:tcPr>
                <w:p w14:paraId="7CBD2FD1">
                  <w:pPr>
                    <w:spacing w:line="240" w:lineRule="auto"/>
                    <w:ind w:firstLine="0" w:firstLineChars="0"/>
                    <w:jc w:val="center"/>
                    <w:rPr>
                      <w:color w:val="auto"/>
                      <w:sz w:val="21"/>
                      <w:szCs w:val="21"/>
                    </w:rPr>
                  </w:pPr>
                </w:p>
              </w:tc>
              <w:tc>
                <w:tcPr>
                  <w:tcW w:w="939" w:type="dxa"/>
                  <w:shd w:val="clear" w:color="auto" w:fill="auto"/>
                  <w:vAlign w:val="center"/>
                </w:tcPr>
                <w:p w14:paraId="7BEB4644">
                  <w:pPr>
                    <w:spacing w:line="240" w:lineRule="auto"/>
                    <w:ind w:firstLine="0" w:firstLineChars="0"/>
                    <w:jc w:val="center"/>
                    <w:rPr>
                      <w:color w:val="auto"/>
                      <w:sz w:val="21"/>
                      <w:szCs w:val="21"/>
                    </w:rPr>
                  </w:pPr>
                  <w:r>
                    <w:rPr>
                      <w:color w:val="auto"/>
                      <w:sz w:val="21"/>
                      <w:szCs w:val="21"/>
                    </w:rPr>
                    <w:t>名称</w:t>
                  </w:r>
                </w:p>
              </w:tc>
              <w:tc>
                <w:tcPr>
                  <w:tcW w:w="695" w:type="dxa"/>
                  <w:shd w:val="clear" w:color="auto" w:fill="auto"/>
                  <w:vAlign w:val="center"/>
                </w:tcPr>
                <w:p w14:paraId="597CCA0C">
                  <w:pPr>
                    <w:spacing w:line="240" w:lineRule="auto"/>
                    <w:ind w:firstLine="0" w:firstLineChars="0"/>
                    <w:jc w:val="center"/>
                    <w:rPr>
                      <w:color w:val="auto"/>
                      <w:sz w:val="21"/>
                      <w:szCs w:val="21"/>
                    </w:rPr>
                  </w:pPr>
                  <w:r>
                    <w:rPr>
                      <w:color w:val="auto"/>
                      <w:sz w:val="21"/>
                      <w:szCs w:val="21"/>
                    </w:rPr>
                    <w:t>污染物种类</w:t>
                  </w:r>
                </w:p>
              </w:tc>
              <w:tc>
                <w:tcPr>
                  <w:tcW w:w="1295" w:type="dxa"/>
                  <w:shd w:val="clear" w:color="auto" w:fill="auto"/>
                  <w:vAlign w:val="center"/>
                </w:tcPr>
                <w:p w14:paraId="0360C1A2">
                  <w:pPr>
                    <w:spacing w:line="240" w:lineRule="auto"/>
                    <w:ind w:firstLine="0" w:firstLineChars="0"/>
                    <w:jc w:val="center"/>
                    <w:rPr>
                      <w:color w:val="auto"/>
                      <w:sz w:val="21"/>
                      <w:szCs w:val="21"/>
                    </w:rPr>
                  </w:pPr>
                  <w:r>
                    <w:rPr>
                      <w:color w:val="auto"/>
                      <w:sz w:val="21"/>
                      <w:szCs w:val="21"/>
                    </w:rPr>
                    <w:t>国家地方标准浓度排放限制</w:t>
                  </w:r>
                </w:p>
              </w:tc>
            </w:tr>
            <w:tr w14:paraId="2AFBB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4" w:type="dxa"/>
                  <w:vMerge w:val="continue"/>
                  <w:shd w:val="clear" w:color="auto" w:fill="auto"/>
                  <w:vAlign w:val="center"/>
                </w:tcPr>
                <w:p w14:paraId="3BFB55E2">
                  <w:pPr>
                    <w:spacing w:line="240" w:lineRule="auto"/>
                    <w:ind w:firstLine="0" w:firstLineChars="0"/>
                    <w:jc w:val="center"/>
                    <w:rPr>
                      <w:color w:val="auto"/>
                      <w:sz w:val="21"/>
                      <w:szCs w:val="21"/>
                    </w:rPr>
                  </w:pPr>
                </w:p>
              </w:tc>
              <w:tc>
                <w:tcPr>
                  <w:tcW w:w="655" w:type="dxa"/>
                  <w:vMerge w:val="restart"/>
                  <w:shd w:val="clear" w:color="auto" w:fill="auto"/>
                  <w:vAlign w:val="center"/>
                </w:tcPr>
                <w:p w14:paraId="1608129A">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115°13′59.02452″</w:t>
                  </w:r>
                </w:p>
              </w:tc>
              <w:tc>
                <w:tcPr>
                  <w:tcW w:w="680" w:type="dxa"/>
                  <w:vMerge w:val="restart"/>
                  <w:shd w:val="clear" w:color="auto" w:fill="auto"/>
                  <w:vAlign w:val="center"/>
                </w:tcPr>
                <w:p w14:paraId="1DBCC121">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36°5′18.65446″″</w:t>
                  </w:r>
                </w:p>
              </w:tc>
              <w:tc>
                <w:tcPr>
                  <w:tcW w:w="909" w:type="dxa"/>
                  <w:vMerge w:val="restart"/>
                  <w:shd w:val="clear" w:color="auto" w:fill="auto"/>
                  <w:vAlign w:val="center"/>
                </w:tcPr>
                <w:p w14:paraId="18319E3D">
                  <w:pPr>
                    <w:spacing w:line="240" w:lineRule="auto"/>
                    <w:ind w:firstLine="0" w:firstLineChars="0"/>
                    <w:jc w:val="center"/>
                    <w:rPr>
                      <w:rFonts w:hint="default"/>
                      <w:color w:val="auto"/>
                      <w:sz w:val="21"/>
                      <w:szCs w:val="21"/>
                      <w:lang w:val="en-US"/>
                    </w:rPr>
                  </w:pPr>
                  <w:r>
                    <w:rPr>
                      <w:rFonts w:hint="eastAsia"/>
                      <w:color w:val="auto"/>
                      <w:sz w:val="21"/>
                      <w:szCs w:val="21"/>
                      <w:lang w:val="en-US" w:eastAsia="zh-CN"/>
                    </w:rPr>
                    <w:t>56184.92</w:t>
                  </w:r>
                </w:p>
              </w:tc>
              <w:tc>
                <w:tcPr>
                  <w:tcW w:w="883" w:type="dxa"/>
                  <w:vMerge w:val="restart"/>
                  <w:shd w:val="clear" w:color="auto" w:fill="auto"/>
                  <w:vAlign w:val="center"/>
                </w:tcPr>
                <w:p w14:paraId="25B55F86">
                  <w:pPr>
                    <w:spacing w:line="240" w:lineRule="auto"/>
                    <w:ind w:firstLine="0" w:firstLineChars="0"/>
                    <w:jc w:val="center"/>
                    <w:rPr>
                      <w:color w:val="auto"/>
                      <w:sz w:val="21"/>
                      <w:szCs w:val="21"/>
                    </w:rPr>
                  </w:pPr>
                  <w:r>
                    <w:rPr>
                      <w:rFonts w:hint="eastAsia"/>
                      <w:color w:val="auto"/>
                      <w:sz w:val="21"/>
                      <w:szCs w:val="21"/>
                    </w:rPr>
                    <w:t>污水处理站</w:t>
                  </w:r>
                </w:p>
              </w:tc>
              <w:tc>
                <w:tcPr>
                  <w:tcW w:w="617" w:type="dxa"/>
                  <w:vMerge w:val="restart"/>
                  <w:shd w:val="clear" w:color="auto" w:fill="auto"/>
                  <w:vAlign w:val="center"/>
                </w:tcPr>
                <w:p w14:paraId="36E038B9">
                  <w:pPr>
                    <w:spacing w:line="240" w:lineRule="auto"/>
                    <w:ind w:firstLine="0" w:firstLineChars="0"/>
                    <w:jc w:val="center"/>
                    <w:rPr>
                      <w:color w:val="auto"/>
                      <w:sz w:val="21"/>
                      <w:szCs w:val="21"/>
                    </w:rPr>
                  </w:pPr>
                  <w:r>
                    <w:rPr>
                      <w:color w:val="auto"/>
                      <w:sz w:val="21"/>
                      <w:szCs w:val="21"/>
                    </w:rPr>
                    <w:t>间歇排放</w:t>
                  </w:r>
                </w:p>
              </w:tc>
              <w:tc>
                <w:tcPr>
                  <w:tcW w:w="758" w:type="dxa"/>
                  <w:vMerge w:val="restart"/>
                  <w:shd w:val="clear" w:color="auto" w:fill="auto"/>
                  <w:vAlign w:val="center"/>
                </w:tcPr>
                <w:p w14:paraId="2F963A1F">
                  <w:pPr>
                    <w:spacing w:line="240" w:lineRule="auto"/>
                    <w:ind w:firstLine="0" w:firstLineChars="0"/>
                    <w:jc w:val="center"/>
                    <w:rPr>
                      <w:color w:val="auto"/>
                      <w:sz w:val="21"/>
                      <w:szCs w:val="21"/>
                    </w:rPr>
                  </w:pPr>
                  <w:r>
                    <w:rPr>
                      <w:rFonts w:hint="eastAsia"/>
                      <w:color w:val="auto"/>
                      <w:sz w:val="21"/>
                      <w:szCs w:val="21"/>
                    </w:rPr>
                    <w:t>/</w:t>
                  </w:r>
                </w:p>
              </w:tc>
              <w:tc>
                <w:tcPr>
                  <w:tcW w:w="939" w:type="dxa"/>
                  <w:vMerge w:val="restart"/>
                  <w:shd w:val="clear" w:color="auto" w:fill="auto"/>
                  <w:vAlign w:val="center"/>
                </w:tcPr>
                <w:p w14:paraId="3AB36822">
                  <w:pPr>
                    <w:spacing w:line="240" w:lineRule="auto"/>
                    <w:ind w:firstLine="0" w:firstLineChars="0"/>
                    <w:jc w:val="center"/>
                    <w:rPr>
                      <w:color w:val="auto"/>
                      <w:sz w:val="21"/>
                      <w:szCs w:val="21"/>
                    </w:rPr>
                  </w:pPr>
                  <w:r>
                    <w:rPr>
                      <w:rFonts w:hint="eastAsia"/>
                      <w:color w:val="auto"/>
                      <w:sz w:val="21"/>
                      <w:szCs w:val="21"/>
                    </w:rPr>
                    <w:t>南乐县污水处理厂</w:t>
                  </w:r>
                </w:p>
              </w:tc>
              <w:tc>
                <w:tcPr>
                  <w:tcW w:w="695" w:type="dxa"/>
                  <w:shd w:val="clear" w:color="auto" w:fill="auto"/>
                  <w:vAlign w:val="center"/>
                </w:tcPr>
                <w:p w14:paraId="6A6C2C29">
                  <w:pPr>
                    <w:spacing w:line="240" w:lineRule="auto"/>
                    <w:ind w:firstLine="0" w:firstLineChars="0"/>
                    <w:jc w:val="center"/>
                    <w:rPr>
                      <w:color w:val="auto"/>
                      <w:sz w:val="21"/>
                      <w:szCs w:val="21"/>
                    </w:rPr>
                  </w:pPr>
                  <w:r>
                    <w:rPr>
                      <w:rFonts w:hint="eastAsia"/>
                      <w:color w:val="auto"/>
                      <w:sz w:val="21"/>
                      <w:szCs w:val="21"/>
                    </w:rPr>
                    <w:t>COD</w:t>
                  </w:r>
                </w:p>
              </w:tc>
              <w:tc>
                <w:tcPr>
                  <w:tcW w:w="1295" w:type="dxa"/>
                  <w:shd w:val="clear" w:color="auto" w:fill="auto"/>
                  <w:vAlign w:val="center"/>
                </w:tcPr>
                <w:p w14:paraId="54912C24">
                  <w:pPr>
                    <w:spacing w:line="240" w:lineRule="auto"/>
                    <w:ind w:firstLine="0" w:firstLineChars="0"/>
                    <w:jc w:val="center"/>
                    <w:rPr>
                      <w:color w:val="auto"/>
                      <w:sz w:val="21"/>
                      <w:szCs w:val="21"/>
                    </w:rPr>
                  </w:pPr>
                  <w:r>
                    <w:rPr>
                      <w:rFonts w:hint="eastAsia"/>
                      <w:color w:val="auto"/>
                      <w:sz w:val="21"/>
                      <w:szCs w:val="21"/>
                    </w:rPr>
                    <w:t>40</w:t>
                  </w:r>
                  <w:r>
                    <w:rPr>
                      <w:color w:val="auto"/>
                      <w:sz w:val="21"/>
                      <w:szCs w:val="21"/>
                    </w:rPr>
                    <w:t>mg/L</w:t>
                  </w:r>
                </w:p>
              </w:tc>
            </w:tr>
            <w:tr w14:paraId="3BF80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4" w:type="dxa"/>
                  <w:vMerge w:val="continue"/>
                  <w:shd w:val="clear" w:color="auto" w:fill="auto"/>
                  <w:vAlign w:val="center"/>
                </w:tcPr>
                <w:p w14:paraId="5251908A">
                  <w:pPr>
                    <w:spacing w:line="240" w:lineRule="auto"/>
                    <w:ind w:firstLine="0" w:firstLineChars="0"/>
                    <w:jc w:val="center"/>
                    <w:rPr>
                      <w:color w:val="auto"/>
                      <w:sz w:val="21"/>
                      <w:szCs w:val="21"/>
                    </w:rPr>
                  </w:pPr>
                </w:p>
              </w:tc>
              <w:tc>
                <w:tcPr>
                  <w:tcW w:w="655" w:type="dxa"/>
                  <w:vMerge w:val="continue"/>
                  <w:shd w:val="clear" w:color="auto" w:fill="auto"/>
                  <w:vAlign w:val="center"/>
                </w:tcPr>
                <w:p w14:paraId="47F12DE1">
                  <w:pPr>
                    <w:spacing w:line="240" w:lineRule="auto"/>
                    <w:ind w:firstLine="0" w:firstLineChars="0"/>
                    <w:jc w:val="center"/>
                    <w:rPr>
                      <w:color w:val="auto"/>
                      <w:sz w:val="21"/>
                      <w:szCs w:val="21"/>
                    </w:rPr>
                  </w:pPr>
                </w:p>
              </w:tc>
              <w:tc>
                <w:tcPr>
                  <w:tcW w:w="680" w:type="dxa"/>
                  <w:vMerge w:val="continue"/>
                  <w:shd w:val="clear" w:color="auto" w:fill="auto"/>
                  <w:vAlign w:val="center"/>
                </w:tcPr>
                <w:p w14:paraId="43D61C28">
                  <w:pPr>
                    <w:spacing w:line="240" w:lineRule="auto"/>
                    <w:ind w:firstLine="0" w:firstLineChars="0"/>
                    <w:jc w:val="center"/>
                    <w:rPr>
                      <w:color w:val="auto"/>
                      <w:sz w:val="21"/>
                      <w:szCs w:val="21"/>
                    </w:rPr>
                  </w:pPr>
                </w:p>
              </w:tc>
              <w:tc>
                <w:tcPr>
                  <w:tcW w:w="909" w:type="dxa"/>
                  <w:vMerge w:val="continue"/>
                  <w:shd w:val="clear" w:color="auto" w:fill="auto"/>
                  <w:vAlign w:val="center"/>
                </w:tcPr>
                <w:p w14:paraId="3EE6FD9E">
                  <w:pPr>
                    <w:spacing w:line="240" w:lineRule="auto"/>
                    <w:ind w:firstLine="0" w:firstLineChars="0"/>
                    <w:jc w:val="center"/>
                    <w:rPr>
                      <w:color w:val="auto"/>
                      <w:sz w:val="21"/>
                      <w:szCs w:val="21"/>
                    </w:rPr>
                  </w:pPr>
                </w:p>
              </w:tc>
              <w:tc>
                <w:tcPr>
                  <w:tcW w:w="883" w:type="dxa"/>
                  <w:vMerge w:val="continue"/>
                  <w:shd w:val="clear" w:color="auto" w:fill="auto"/>
                  <w:vAlign w:val="center"/>
                </w:tcPr>
                <w:p w14:paraId="4678D41B">
                  <w:pPr>
                    <w:spacing w:line="240" w:lineRule="auto"/>
                    <w:ind w:firstLine="0" w:firstLineChars="0"/>
                    <w:jc w:val="center"/>
                    <w:rPr>
                      <w:color w:val="auto"/>
                      <w:sz w:val="21"/>
                      <w:szCs w:val="21"/>
                    </w:rPr>
                  </w:pPr>
                </w:p>
              </w:tc>
              <w:tc>
                <w:tcPr>
                  <w:tcW w:w="617" w:type="dxa"/>
                  <w:vMerge w:val="continue"/>
                  <w:shd w:val="clear" w:color="auto" w:fill="auto"/>
                  <w:vAlign w:val="center"/>
                </w:tcPr>
                <w:p w14:paraId="48F1DC4C">
                  <w:pPr>
                    <w:spacing w:line="240" w:lineRule="auto"/>
                    <w:ind w:firstLine="0" w:firstLineChars="0"/>
                    <w:jc w:val="center"/>
                    <w:rPr>
                      <w:color w:val="auto"/>
                      <w:sz w:val="21"/>
                      <w:szCs w:val="21"/>
                    </w:rPr>
                  </w:pPr>
                </w:p>
              </w:tc>
              <w:tc>
                <w:tcPr>
                  <w:tcW w:w="758" w:type="dxa"/>
                  <w:vMerge w:val="continue"/>
                  <w:shd w:val="clear" w:color="auto" w:fill="auto"/>
                  <w:vAlign w:val="center"/>
                </w:tcPr>
                <w:p w14:paraId="45DAC9DA">
                  <w:pPr>
                    <w:spacing w:line="240" w:lineRule="auto"/>
                    <w:ind w:firstLine="0" w:firstLineChars="0"/>
                    <w:jc w:val="center"/>
                    <w:rPr>
                      <w:color w:val="auto"/>
                      <w:sz w:val="21"/>
                      <w:szCs w:val="21"/>
                    </w:rPr>
                  </w:pPr>
                </w:p>
              </w:tc>
              <w:tc>
                <w:tcPr>
                  <w:tcW w:w="939" w:type="dxa"/>
                  <w:vMerge w:val="continue"/>
                  <w:shd w:val="clear" w:color="auto" w:fill="auto"/>
                  <w:vAlign w:val="center"/>
                </w:tcPr>
                <w:p w14:paraId="6F2A18FA">
                  <w:pPr>
                    <w:spacing w:line="240" w:lineRule="auto"/>
                    <w:ind w:firstLine="0" w:firstLineChars="0"/>
                    <w:jc w:val="center"/>
                    <w:rPr>
                      <w:color w:val="auto"/>
                      <w:sz w:val="21"/>
                      <w:szCs w:val="21"/>
                    </w:rPr>
                  </w:pPr>
                </w:p>
              </w:tc>
              <w:tc>
                <w:tcPr>
                  <w:tcW w:w="695" w:type="dxa"/>
                  <w:shd w:val="clear" w:color="auto" w:fill="auto"/>
                  <w:vAlign w:val="center"/>
                </w:tcPr>
                <w:p w14:paraId="543AB626">
                  <w:pPr>
                    <w:spacing w:line="240" w:lineRule="auto"/>
                    <w:ind w:firstLine="0" w:firstLineChars="0"/>
                    <w:jc w:val="center"/>
                    <w:rPr>
                      <w:color w:val="auto"/>
                      <w:sz w:val="21"/>
                      <w:szCs w:val="21"/>
                    </w:rPr>
                  </w:pPr>
                  <w:r>
                    <w:rPr>
                      <w:rFonts w:hint="eastAsia"/>
                      <w:color w:val="auto"/>
                      <w:sz w:val="21"/>
                      <w:szCs w:val="21"/>
                    </w:rPr>
                    <w:t>氨氮</w:t>
                  </w:r>
                </w:p>
              </w:tc>
              <w:tc>
                <w:tcPr>
                  <w:tcW w:w="1295" w:type="dxa"/>
                  <w:shd w:val="clear" w:color="auto" w:fill="auto"/>
                  <w:vAlign w:val="center"/>
                </w:tcPr>
                <w:p w14:paraId="0419CA12">
                  <w:pPr>
                    <w:spacing w:line="240" w:lineRule="auto"/>
                    <w:ind w:firstLine="0" w:firstLineChars="0"/>
                    <w:jc w:val="center"/>
                    <w:rPr>
                      <w:color w:val="auto"/>
                      <w:sz w:val="21"/>
                      <w:szCs w:val="21"/>
                    </w:rPr>
                  </w:pPr>
                  <w:r>
                    <w:rPr>
                      <w:rFonts w:hint="eastAsia"/>
                      <w:color w:val="auto"/>
                      <w:sz w:val="21"/>
                      <w:szCs w:val="21"/>
                    </w:rPr>
                    <w:t>2</w:t>
                  </w:r>
                  <w:r>
                    <w:rPr>
                      <w:color w:val="auto"/>
                      <w:sz w:val="21"/>
                      <w:szCs w:val="21"/>
                    </w:rPr>
                    <w:t>mg/L</w:t>
                  </w:r>
                </w:p>
              </w:tc>
            </w:tr>
          </w:tbl>
          <w:p w14:paraId="0E76CD72">
            <w:pPr>
              <w:keepNext w:val="0"/>
              <w:keepLines w:val="0"/>
              <w:pageBreakBefore w:val="0"/>
              <w:widowControl w:val="0"/>
              <w:numPr>
                <w:ilvl w:val="0"/>
                <w:numId w:val="9"/>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lang w:val="zh-CN"/>
              </w:rPr>
            </w:pPr>
            <w:r>
              <w:rPr>
                <w:rFonts w:hint="eastAsia" w:ascii="Times New Roman" w:hAnsi="Times New Roman" w:eastAsia="宋体" w:cs="Times New Roman"/>
                <w:b/>
                <w:bCs/>
                <w:color w:val="auto"/>
                <w:sz w:val="21"/>
                <w:szCs w:val="21"/>
                <w:lang w:val="zh-CN"/>
              </w:rPr>
              <w:t>废水</w:t>
            </w:r>
            <w:r>
              <w:rPr>
                <w:rFonts w:hint="eastAsia" w:ascii="Times New Roman" w:hAnsi="Times New Roman" w:eastAsia="宋体" w:cs="Times New Roman"/>
                <w:b/>
                <w:bCs/>
                <w:color w:val="auto"/>
                <w:sz w:val="21"/>
                <w:szCs w:val="21"/>
                <w:lang w:val="en-US" w:eastAsia="zh-CN"/>
              </w:rPr>
              <w:t>污染物排放执行标准</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70"/>
              <w:gridCol w:w="1521"/>
              <w:gridCol w:w="2351"/>
              <w:gridCol w:w="1616"/>
              <w:gridCol w:w="1619"/>
            </w:tblGrid>
            <w:tr w14:paraId="1D516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0" w:type="pct"/>
                  <w:vMerge w:val="restart"/>
                  <w:shd w:val="clear" w:color="auto" w:fill="auto"/>
                  <w:vAlign w:val="center"/>
                </w:tcPr>
                <w:p w14:paraId="356A5009">
                  <w:pPr>
                    <w:spacing w:line="240" w:lineRule="auto"/>
                    <w:ind w:firstLine="0" w:firstLineChars="0"/>
                    <w:jc w:val="center"/>
                    <w:rPr>
                      <w:snapToGrid w:val="0"/>
                      <w:color w:val="auto"/>
                      <w:sz w:val="21"/>
                      <w:szCs w:val="21"/>
                    </w:rPr>
                  </w:pPr>
                  <w:r>
                    <w:rPr>
                      <w:snapToGrid w:val="0"/>
                      <w:color w:val="auto"/>
                      <w:sz w:val="21"/>
                      <w:szCs w:val="21"/>
                    </w:rPr>
                    <w:t>序号</w:t>
                  </w:r>
                </w:p>
              </w:tc>
              <w:tc>
                <w:tcPr>
                  <w:tcW w:w="941" w:type="pct"/>
                  <w:vMerge w:val="restart"/>
                  <w:shd w:val="clear" w:color="auto" w:fill="auto"/>
                  <w:vAlign w:val="center"/>
                </w:tcPr>
                <w:p w14:paraId="562C1CD5">
                  <w:pPr>
                    <w:spacing w:line="240" w:lineRule="auto"/>
                    <w:ind w:firstLine="0" w:firstLineChars="0"/>
                    <w:jc w:val="center"/>
                    <w:rPr>
                      <w:rFonts w:hint="default" w:eastAsia="宋体"/>
                      <w:snapToGrid w:val="0"/>
                      <w:color w:val="auto"/>
                      <w:sz w:val="21"/>
                      <w:szCs w:val="21"/>
                      <w:lang w:val="en-US" w:eastAsia="zh-CN"/>
                    </w:rPr>
                  </w:pPr>
                  <w:r>
                    <w:rPr>
                      <w:rFonts w:hint="eastAsia"/>
                      <w:color w:val="auto"/>
                      <w:sz w:val="21"/>
                      <w:szCs w:val="21"/>
                      <w:lang w:val="en-US" w:eastAsia="zh-CN"/>
                    </w:rPr>
                    <w:t>排放口编号</w:t>
                  </w:r>
                </w:p>
              </w:tc>
              <w:tc>
                <w:tcPr>
                  <w:tcW w:w="1455" w:type="pct"/>
                  <w:vMerge w:val="restart"/>
                  <w:shd w:val="clear" w:color="auto" w:fill="auto"/>
                  <w:vAlign w:val="center"/>
                </w:tcPr>
                <w:p w14:paraId="3715C255">
                  <w:pPr>
                    <w:spacing w:line="240" w:lineRule="auto"/>
                    <w:ind w:firstLine="0" w:firstLineChars="0"/>
                    <w:jc w:val="center"/>
                    <w:rPr>
                      <w:snapToGrid w:val="0"/>
                      <w:color w:val="auto"/>
                      <w:sz w:val="21"/>
                      <w:szCs w:val="21"/>
                    </w:rPr>
                  </w:pPr>
                  <w:r>
                    <w:rPr>
                      <w:rFonts w:hint="eastAsia"/>
                      <w:snapToGrid w:val="0"/>
                      <w:color w:val="auto"/>
                      <w:sz w:val="21"/>
                      <w:szCs w:val="21"/>
                    </w:rPr>
                    <w:t>污染物种类</w:t>
                  </w:r>
                </w:p>
              </w:tc>
              <w:tc>
                <w:tcPr>
                  <w:tcW w:w="2002" w:type="pct"/>
                  <w:gridSpan w:val="2"/>
                  <w:shd w:val="clear" w:color="auto" w:fill="auto"/>
                  <w:vAlign w:val="center"/>
                </w:tcPr>
                <w:p w14:paraId="376C54DA">
                  <w:pPr>
                    <w:spacing w:line="240" w:lineRule="auto"/>
                    <w:ind w:firstLine="0" w:firstLineChars="0"/>
                    <w:jc w:val="center"/>
                    <w:rPr>
                      <w:rFonts w:hint="eastAsia" w:eastAsia="宋体"/>
                      <w:b/>
                      <w:bCs/>
                      <w:snapToGrid w:val="0"/>
                      <w:color w:val="auto"/>
                      <w:sz w:val="21"/>
                      <w:szCs w:val="21"/>
                      <w:u w:val="none"/>
                      <w:lang w:val="en-US" w:eastAsia="zh-CN"/>
                    </w:rPr>
                  </w:pPr>
                  <w:r>
                    <w:rPr>
                      <w:rFonts w:hint="eastAsia" w:eastAsia="宋体"/>
                      <w:b/>
                      <w:bCs/>
                      <w:snapToGrid w:val="0"/>
                      <w:color w:val="auto"/>
                      <w:sz w:val="21"/>
                      <w:szCs w:val="21"/>
                      <w:u w:val="none"/>
                      <w:lang w:val="en-US" w:eastAsia="zh-CN"/>
                    </w:rPr>
                    <w:t>国家或地方污染物排放标准</w:t>
                  </w:r>
                  <w:r>
                    <w:rPr>
                      <w:rFonts w:hint="eastAsia"/>
                      <w:b/>
                      <w:bCs/>
                      <w:snapToGrid w:val="0"/>
                      <w:color w:val="auto"/>
                      <w:sz w:val="21"/>
                      <w:szCs w:val="21"/>
                      <w:u w:val="none"/>
                      <w:lang w:val="en-US" w:eastAsia="zh-CN"/>
                    </w:rPr>
                    <w:t>及</w:t>
                  </w:r>
                  <w:r>
                    <w:rPr>
                      <w:rFonts w:hint="eastAsia" w:eastAsia="宋体"/>
                      <w:b/>
                      <w:bCs/>
                      <w:snapToGrid w:val="0"/>
                      <w:color w:val="auto"/>
                      <w:sz w:val="21"/>
                      <w:szCs w:val="21"/>
                      <w:u w:val="none"/>
                      <w:lang w:val="en-US" w:eastAsia="zh-CN"/>
                    </w:rPr>
                    <w:t>其他按规定商定的排放协议</w:t>
                  </w:r>
                </w:p>
              </w:tc>
            </w:tr>
            <w:tr w14:paraId="04176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0" w:type="pct"/>
                  <w:vMerge w:val="continue"/>
                  <w:shd w:val="clear" w:color="auto" w:fill="auto"/>
                  <w:vAlign w:val="center"/>
                </w:tcPr>
                <w:p w14:paraId="795402FF">
                  <w:pPr>
                    <w:spacing w:line="240" w:lineRule="auto"/>
                    <w:ind w:firstLine="0" w:firstLineChars="0"/>
                    <w:jc w:val="center"/>
                    <w:rPr>
                      <w:snapToGrid w:val="0"/>
                      <w:color w:val="auto"/>
                      <w:sz w:val="21"/>
                      <w:szCs w:val="21"/>
                    </w:rPr>
                  </w:pPr>
                </w:p>
              </w:tc>
              <w:tc>
                <w:tcPr>
                  <w:tcW w:w="941" w:type="pct"/>
                  <w:vMerge w:val="continue"/>
                  <w:shd w:val="clear" w:color="auto" w:fill="auto"/>
                  <w:vAlign w:val="center"/>
                </w:tcPr>
                <w:p w14:paraId="34F2574D">
                  <w:pPr>
                    <w:spacing w:line="240" w:lineRule="auto"/>
                    <w:ind w:firstLine="0" w:firstLineChars="0"/>
                    <w:jc w:val="center"/>
                    <w:rPr>
                      <w:rFonts w:hint="default" w:eastAsia="宋体"/>
                      <w:color w:val="auto"/>
                      <w:sz w:val="21"/>
                      <w:szCs w:val="21"/>
                      <w:lang w:val="en-US" w:eastAsia="zh-CN"/>
                    </w:rPr>
                  </w:pPr>
                </w:p>
              </w:tc>
              <w:tc>
                <w:tcPr>
                  <w:tcW w:w="1455" w:type="pct"/>
                  <w:vMerge w:val="continue"/>
                  <w:shd w:val="clear" w:color="auto" w:fill="auto"/>
                  <w:vAlign w:val="center"/>
                </w:tcPr>
                <w:p w14:paraId="75B6573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1000" w:type="pct"/>
                  <w:shd w:val="clear" w:color="auto" w:fill="auto"/>
                  <w:vAlign w:val="center"/>
                </w:tcPr>
                <w:p w14:paraId="1B156BF5">
                  <w:pPr>
                    <w:widowControl/>
                    <w:spacing w:line="240" w:lineRule="auto"/>
                    <w:ind w:firstLine="0" w:firstLineChars="0"/>
                    <w:jc w:val="center"/>
                    <w:textAlignment w:val="center"/>
                    <w:rPr>
                      <w:rFonts w:hint="eastAsia" w:eastAsia="宋体"/>
                      <w:b/>
                      <w:bCs/>
                      <w:snapToGrid w:val="0"/>
                      <w:color w:val="auto"/>
                      <w:sz w:val="21"/>
                      <w:szCs w:val="21"/>
                      <w:u w:val="none"/>
                      <w:lang w:val="en-US" w:eastAsia="zh-CN"/>
                    </w:rPr>
                  </w:pPr>
                  <w:r>
                    <w:rPr>
                      <w:rFonts w:hint="eastAsia"/>
                      <w:b/>
                      <w:bCs/>
                      <w:snapToGrid w:val="0"/>
                      <w:color w:val="auto"/>
                      <w:sz w:val="21"/>
                      <w:szCs w:val="21"/>
                      <w:u w:val="none"/>
                      <w:lang w:val="en-US" w:eastAsia="zh-CN"/>
                    </w:rPr>
                    <w:t>标准名称</w:t>
                  </w:r>
                </w:p>
              </w:tc>
              <w:tc>
                <w:tcPr>
                  <w:tcW w:w="1002" w:type="pct"/>
                  <w:shd w:val="clear" w:color="auto" w:fill="auto"/>
                  <w:vAlign w:val="center"/>
                </w:tcPr>
                <w:p w14:paraId="06D50BF1">
                  <w:pPr>
                    <w:widowControl/>
                    <w:spacing w:line="240" w:lineRule="auto"/>
                    <w:ind w:firstLine="0" w:firstLineChars="0"/>
                    <w:jc w:val="center"/>
                    <w:textAlignment w:val="center"/>
                    <w:rPr>
                      <w:rFonts w:hint="eastAsia"/>
                      <w:b/>
                      <w:bCs/>
                      <w:snapToGrid w:val="0"/>
                      <w:color w:val="auto"/>
                      <w:sz w:val="21"/>
                      <w:szCs w:val="21"/>
                      <w:u w:val="none"/>
                      <w:lang w:val="en-US" w:eastAsia="zh-CN"/>
                    </w:rPr>
                  </w:pPr>
                  <w:r>
                    <w:rPr>
                      <w:rFonts w:hint="eastAsia"/>
                      <w:b/>
                      <w:bCs/>
                      <w:snapToGrid w:val="0"/>
                      <w:color w:val="auto"/>
                      <w:sz w:val="21"/>
                      <w:szCs w:val="21"/>
                      <w:u w:val="none"/>
                      <w:lang w:val="en-US" w:eastAsia="zh-CN"/>
                    </w:rPr>
                    <w:t>浓度限值</w:t>
                  </w:r>
                </w:p>
              </w:tc>
            </w:tr>
            <w:tr w14:paraId="18CAD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0" w:type="pct"/>
                  <w:vMerge w:val="restart"/>
                  <w:shd w:val="clear" w:color="auto" w:fill="auto"/>
                  <w:vAlign w:val="center"/>
                </w:tcPr>
                <w:p w14:paraId="0143DC4E">
                  <w:pPr>
                    <w:spacing w:line="240" w:lineRule="auto"/>
                    <w:ind w:firstLine="0" w:firstLineChars="0"/>
                    <w:jc w:val="center"/>
                    <w:rPr>
                      <w:snapToGrid w:val="0"/>
                      <w:color w:val="auto"/>
                      <w:sz w:val="21"/>
                      <w:szCs w:val="21"/>
                    </w:rPr>
                  </w:pPr>
                  <w:r>
                    <w:rPr>
                      <w:snapToGrid w:val="0"/>
                      <w:color w:val="auto"/>
                      <w:sz w:val="21"/>
                      <w:szCs w:val="21"/>
                    </w:rPr>
                    <w:t>1</w:t>
                  </w:r>
                </w:p>
              </w:tc>
              <w:tc>
                <w:tcPr>
                  <w:tcW w:w="941" w:type="pct"/>
                  <w:vMerge w:val="restart"/>
                  <w:shd w:val="clear" w:color="auto" w:fill="auto"/>
                  <w:vAlign w:val="center"/>
                </w:tcPr>
                <w:p w14:paraId="7F3D5B86">
                  <w:pPr>
                    <w:spacing w:line="240" w:lineRule="auto"/>
                    <w:ind w:firstLine="0" w:firstLineChars="0"/>
                    <w:jc w:val="center"/>
                    <w:rPr>
                      <w:color w:val="auto"/>
                      <w:sz w:val="21"/>
                      <w:szCs w:val="21"/>
                    </w:rPr>
                  </w:pPr>
                  <w:r>
                    <w:rPr>
                      <w:rFonts w:hint="eastAsia"/>
                      <w:snapToGrid w:val="0"/>
                      <w:color w:val="auto"/>
                      <w:sz w:val="21"/>
                      <w:szCs w:val="21"/>
                      <w:lang w:val="en-US" w:eastAsia="zh-CN"/>
                    </w:rPr>
                    <w:t>DW001（厂排口）</w:t>
                  </w:r>
                </w:p>
              </w:tc>
              <w:tc>
                <w:tcPr>
                  <w:tcW w:w="1455" w:type="pct"/>
                  <w:shd w:val="clear" w:color="auto" w:fill="auto"/>
                  <w:vAlign w:val="center"/>
                </w:tcPr>
                <w:p w14:paraId="3D82014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pH</w:t>
                  </w:r>
                </w:p>
              </w:tc>
              <w:tc>
                <w:tcPr>
                  <w:tcW w:w="1000" w:type="pct"/>
                  <w:vMerge w:val="restart"/>
                  <w:shd w:val="clear" w:color="auto" w:fill="auto"/>
                  <w:vAlign w:val="center"/>
                </w:tcPr>
                <w:p w14:paraId="4E227E0C">
                  <w:pPr>
                    <w:widowControl/>
                    <w:spacing w:line="240" w:lineRule="auto"/>
                    <w:ind w:firstLine="0" w:firstLineChars="0"/>
                    <w:jc w:val="center"/>
                    <w:textAlignment w:val="center"/>
                    <w:rPr>
                      <w:rFonts w:hint="default" w:eastAsia="宋体"/>
                      <w:b/>
                      <w:bCs/>
                      <w:snapToGrid w:val="0"/>
                      <w:color w:val="auto"/>
                      <w:sz w:val="21"/>
                      <w:szCs w:val="21"/>
                      <w:u w:val="single"/>
                      <w:lang w:val="en-US" w:eastAsia="zh-CN"/>
                    </w:rPr>
                  </w:pPr>
                  <w:r>
                    <w:rPr>
                      <w:rFonts w:hint="default" w:eastAsia="宋体"/>
                      <w:b w:val="0"/>
                      <w:bCs w:val="0"/>
                      <w:snapToGrid w:val="0"/>
                      <w:color w:val="auto"/>
                      <w:sz w:val="21"/>
                      <w:szCs w:val="21"/>
                      <w:u w:val="none"/>
                      <w:lang w:val="en-US" w:eastAsia="zh-CN"/>
                    </w:rPr>
                    <w:t>《中药类制药工业水污染物排放标准》（GB21906-2008）表2标准限值</w:t>
                  </w:r>
                </w:p>
              </w:tc>
              <w:tc>
                <w:tcPr>
                  <w:tcW w:w="1002" w:type="pct"/>
                  <w:shd w:val="clear" w:color="auto" w:fill="auto"/>
                  <w:vAlign w:val="center"/>
                </w:tcPr>
                <w:p w14:paraId="1CB8455B">
                  <w:pPr>
                    <w:widowControl/>
                    <w:spacing w:line="240" w:lineRule="auto"/>
                    <w:ind w:firstLine="0" w:firstLineChars="0"/>
                    <w:jc w:val="center"/>
                    <w:textAlignment w:val="center"/>
                    <w:rPr>
                      <w:rFonts w:hint="eastAsia"/>
                      <w:b/>
                      <w:bCs/>
                      <w:snapToGrid w:val="0"/>
                      <w:color w:val="auto"/>
                      <w:sz w:val="21"/>
                      <w:szCs w:val="21"/>
                      <w:u w:val="single"/>
                      <w:lang w:val="en-US" w:eastAsia="zh-CN"/>
                    </w:rPr>
                  </w:pPr>
                  <w:r>
                    <w:rPr>
                      <w:rFonts w:hint="eastAsia"/>
                      <w:color w:val="auto"/>
                      <w:kern w:val="0"/>
                      <w:sz w:val="21"/>
                      <w:szCs w:val="21"/>
                      <w:lang w:val="en-US" w:eastAsia="zh-CN"/>
                    </w:rPr>
                    <w:t>6-9</w:t>
                  </w:r>
                </w:p>
              </w:tc>
            </w:tr>
            <w:tr w14:paraId="413A8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0" w:type="pct"/>
                  <w:vMerge w:val="continue"/>
                  <w:shd w:val="clear" w:color="auto" w:fill="auto"/>
                  <w:vAlign w:val="center"/>
                </w:tcPr>
                <w:p w14:paraId="5BED9062">
                  <w:pPr>
                    <w:spacing w:line="240" w:lineRule="auto"/>
                    <w:ind w:firstLine="0" w:firstLineChars="0"/>
                    <w:jc w:val="center"/>
                    <w:rPr>
                      <w:snapToGrid w:val="0"/>
                      <w:color w:val="auto"/>
                      <w:sz w:val="21"/>
                      <w:szCs w:val="21"/>
                    </w:rPr>
                  </w:pPr>
                </w:p>
              </w:tc>
              <w:tc>
                <w:tcPr>
                  <w:tcW w:w="941" w:type="pct"/>
                  <w:vMerge w:val="continue"/>
                  <w:shd w:val="clear" w:color="auto" w:fill="auto"/>
                  <w:vAlign w:val="center"/>
                </w:tcPr>
                <w:p w14:paraId="24B4D21F">
                  <w:pPr>
                    <w:spacing w:line="240" w:lineRule="auto"/>
                    <w:ind w:firstLine="0" w:firstLineChars="0"/>
                    <w:jc w:val="center"/>
                    <w:rPr>
                      <w:color w:val="auto"/>
                      <w:sz w:val="21"/>
                      <w:szCs w:val="21"/>
                    </w:rPr>
                  </w:pPr>
                </w:p>
              </w:tc>
              <w:tc>
                <w:tcPr>
                  <w:tcW w:w="1455" w:type="pct"/>
                  <w:shd w:val="clear" w:color="auto" w:fill="auto"/>
                  <w:vAlign w:val="center"/>
                </w:tcPr>
                <w:p w14:paraId="4CB1945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COD</w:t>
                  </w:r>
                </w:p>
              </w:tc>
              <w:tc>
                <w:tcPr>
                  <w:tcW w:w="1000" w:type="pct"/>
                  <w:vMerge w:val="continue"/>
                  <w:shd w:val="clear" w:color="auto" w:fill="auto"/>
                  <w:vAlign w:val="center"/>
                </w:tcPr>
                <w:p w14:paraId="1A7F841C">
                  <w:pPr>
                    <w:widowControl/>
                    <w:spacing w:line="240" w:lineRule="auto"/>
                    <w:ind w:firstLine="0" w:firstLineChars="0"/>
                    <w:jc w:val="center"/>
                    <w:textAlignment w:val="center"/>
                    <w:rPr>
                      <w:rFonts w:hint="eastAsia"/>
                      <w:b/>
                      <w:bCs/>
                      <w:snapToGrid w:val="0"/>
                      <w:color w:val="auto"/>
                      <w:sz w:val="21"/>
                      <w:szCs w:val="21"/>
                      <w:u w:val="single"/>
                    </w:rPr>
                  </w:pPr>
                </w:p>
              </w:tc>
              <w:tc>
                <w:tcPr>
                  <w:tcW w:w="1002" w:type="pct"/>
                  <w:shd w:val="clear" w:color="auto" w:fill="auto"/>
                  <w:vAlign w:val="center"/>
                </w:tcPr>
                <w:p w14:paraId="3F4493E4">
                  <w:pPr>
                    <w:pStyle w:val="19"/>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b/>
                      <w:bCs/>
                      <w:color w:val="auto"/>
                      <w:kern w:val="0"/>
                      <w:sz w:val="21"/>
                      <w:szCs w:val="21"/>
                      <w:vertAlign w:val="baseline"/>
                      <w:lang w:val="en-US" w:eastAsia="zh-CN" w:bidi="ar-SA"/>
                    </w:rPr>
                  </w:pPr>
                  <w:r>
                    <w:rPr>
                      <w:rFonts w:hint="eastAsia" w:cs="Times New Roman"/>
                      <w:color w:val="auto"/>
                      <w:kern w:val="0"/>
                      <w:sz w:val="21"/>
                      <w:szCs w:val="21"/>
                      <w:lang w:val="en-US" w:eastAsia="zh-CN" w:bidi="ar-SA"/>
                    </w:rPr>
                    <w:t>100</w:t>
                  </w:r>
                </w:p>
              </w:tc>
            </w:tr>
            <w:tr w14:paraId="75C38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0" w:type="pct"/>
                  <w:vMerge w:val="continue"/>
                  <w:shd w:val="clear" w:color="auto" w:fill="auto"/>
                  <w:vAlign w:val="center"/>
                </w:tcPr>
                <w:p w14:paraId="40D6038C">
                  <w:pPr>
                    <w:spacing w:line="240" w:lineRule="auto"/>
                    <w:ind w:firstLine="0" w:firstLineChars="0"/>
                    <w:jc w:val="center"/>
                    <w:rPr>
                      <w:snapToGrid w:val="0"/>
                      <w:color w:val="auto"/>
                      <w:sz w:val="21"/>
                      <w:szCs w:val="21"/>
                    </w:rPr>
                  </w:pPr>
                </w:p>
              </w:tc>
              <w:tc>
                <w:tcPr>
                  <w:tcW w:w="941" w:type="pct"/>
                  <w:vMerge w:val="continue"/>
                  <w:shd w:val="clear" w:color="auto" w:fill="auto"/>
                  <w:vAlign w:val="center"/>
                </w:tcPr>
                <w:p w14:paraId="4DF41EB7">
                  <w:pPr>
                    <w:spacing w:line="240" w:lineRule="auto"/>
                    <w:ind w:firstLine="0" w:firstLineChars="0"/>
                    <w:jc w:val="center"/>
                    <w:rPr>
                      <w:color w:val="auto"/>
                      <w:sz w:val="21"/>
                      <w:szCs w:val="21"/>
                    </w:rPr>
                  </w:pPr>
                </w:p>
              </w:tc>
              <w:tc>
                <w:tcPr>
                  <w:tcW w:w="1455" w:type="pct"/>
                  <w:shd w:val="clear" w:color="auto" w:fill="auto"/>
                  <w:vAlign w:val="center"/>
                </w:tcPr>
                <w:p w14:paraId="14C6D9A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BOD5</w:t>
                  </w:r>
                </w:p>
              </w:tc>
              <w:tc>
                <w:tcPr>
                  <w:tcW w:w="1000" w:type="pct"/>
                  <w:vMerge w:val="continue"/>
                  <w:shd w:val="clear" w:color="auto" w:fill="auto"/>
                  <w:vAlign w:val="center"/>
                </w:tcPr>
                <w:p w14:paraId="4D52AD07">
                  <w:pPr>
                    <w:widowControl/>
                    <w:spacing w:line="240" w:lineRule="auto"/>
                    <w:ind w:firstLine="0" w:firstLineChars="0"/>
                    <w:jc w:val="center"/>
                    <w:textAlignment w:val="center"/>
                    <w:rPr>
                      <w:rFonts w:hint="eastAsia"/>
                      <w:b/>
                      <w:bCs/>
                      <w:snapToGrid w:val="0"/>
                      <w:color w:val="auto"/>
                      <w:sz w:val="21"/>
                      <w:szCs w:val="21"/>
                      <w:u w:val="single"/>
                    </w:rPr>
                  </w:pPr>
                </w:p>
              </w:tc>
              <w:tc>
                <w:tcPr>
                  <w:tcW w:w="1002" w:type="pct"/>
                  <w:shd w:val="clear" w:color="auto" w:fill="auto"/>
                  <w:vAlign w:val="center"/>
                </w:tcPr>
                <w:p w14:paraId="71BD74CA">
                  <w:pPr>
                    <w:pStyle w:val="19"/>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b/>
                      <w:bCs/>
                      <w:color w:val="auto"/>
                      <w:kern w:val="0"/>
                      <w:sz w:val="21"/>
                      <w:szCs w:val="21"/>
                      <w:vertAlign w:val="baseline"/>
                      <w:lang w:val="en-US" w:eastAsia="zh-CN" w:bidi="ar-SA"/>
                    </w:rPr>
                  </w:pPr>
                  <w:r>
                    <w:rPr>
                      <w:rFonts w:hint="eastAsia"/>
                      <w:color w:val="auto"/>
                      <w:kern w:val="0"/>
                      <w:sz w:val="21"/>
                      <w:szCs w:val="21"/>
                      <w:lang w:val="en-US" w:eastAsia="zh-CN"/>
                    </w:rPr>
                    <w:t>20</w:t>
                  </w:r>
                </w:p>
              </w:tc>
            </w:tr>
            <w:tr w14:paraId="3E124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0" w:type="pct"/>
                  <w:vMerge w:val="continue"/>
                  <w:shd w:val="clear" w:color="auto" w:fill="auto"/>
                  <w:vAlign w:val="center"/>
                </w:tcPr>
                <w:p w14:paraId="35E7B6B2">
                  <w:pPr>
                    <w:spacing w:line="240" w:lineRule="auto"/>
                    <w:ind w:firstLine="0" w:firstLineChars="0"/>
                    <w:jc w:val="center"/>
                    <w:rPr>
                      <w:snapToGrid w:val="0"/>
                      <w:color w:val="auto"/>
                      <w:sz w:val="21"/>
                      <w:szCs w:val="21"/>
                    </w:rPr>
                  </w:pPr>
                </w:p>
              </w:tc>
              <w:tc>
                <w:tcPr>
                  <w:tcW w:w="941" w:type="pct"/>
                  <w:vMerge w:val="continue"/>
                  <w:shd w:val="clear" w:color="auto" w:fill="auto"/>
                  <w:vAlign w:val="center"/>
                </w:tcPr>
                <w:p w14:paraId="76682E18">
                  <w:pPr>
                    <w:spacing w:line="240" w:lineRule="auto"/>
                    <w:ind w:firstLine="0" w:firstLineChars="0"/>
                    <w:jc w:val="center"/>
                    <w:rPr>
                      <w:color w:val="auto"/>
                      <w:sz w:val="21"/>
                      <w:szCs w:val="21"/>
                    </w:rPr>
                  </w:pPr>
                </w:p>
              </w:tc>
              <w:tc>
                <w:tcPr>
                  <w:tcW w:w="1455" w:type="pct"/>
                  <w:shd w:val="clear" w:color="auto" w:fill="auto"/>
                  <w:vAlign w:val="center"/>
                </w:tcPr>
                <w:p w14:paraId="4CBC1E5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SS</w:t>
                  </w:r>
                </w:p>
              </w:tc>
              <w:tc>
                <w:tcPr>
                  <w:tcW w:w="1000" w:type="pct"/>
                  <w:vMerge w:val="continue"/>
                  <w:shd w:val="clear" w:color="auto" w:fill="auto"/>
                  <w:vAlign w:val="center"/>
                </w:tcPr>
                <w:p w14:paraId="69FCB1E0">
                  <w:pPr>
                    <w:widowControl/>
                    <w:spacing w:line="240" w:lineRule="auto"/>
                    <w:ind w:firstLine="0" w:firstLineChars="0"/>
                    <w:jc w:val="center"/>
                    <w:textAlignment w:val="center"/>
                    <w:rPr>
                      <w:rFonts w:hint="eastAsia"/>
                      <w:b/>
                      <w:bCs/>
                      <w:snapToGrid w:val="0"/>
                      <w:color w:val="auto"/>
                      <w:sz w:val="21"/>
                      <w:szCs w:val="21"/>
                      <w:u w:val="single"/>
                    </w:rPr>
                  </w:pPr>
                </w:p>
              </w:tc>
              <w:tc>
                <w:tcPr>
                  <w:tcW w:w="1002" w:type="pct"/>
                  <w:shd w:val="clear" w:color="auto" w:fill="auto"/>
                  <w:vAlign w:val="center"/>
                </w:tcPr>
                <w:p w14:paraId="63E08AD3">
                  <w:pPr>
                    <w:pStyle w:val="19"/>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b/>
                      <w:bCs/>
                      <w:color w:val="auto"/>
                      <w:kern w:val="0"/>
                      <w:sz w:val="21"/>
                      <w:szCs w:val="21"/>
                      <w:vertAlign w:val="baseline"/>
                      <w:lang w:val="en-US" w:eastAsia="zh-CN" w:bidi="ar-SA"/>
                    </w:rPr>
                  </w:pPr>
                  <w:r>
                    <w:rPr>
                      <w:rFonts w:hint="eastAsia"/>
                      <w:color w:val="auto"/>
                      <w:kern w:val="0"/>
                      <w:sz w:val="21"/>
                      <w:szCs w:val="21"/>
                      <w:lang w:val="en-US" w:eastAsia="zh-CN"/>
                    </w:rPr>
                    <w:t>50</w:t>
                  </w:r>
                </w:p>
              </w:tc>
            </w:tr>
            <w:tr w14:paraId="6F7D3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0" w:type="pct"/>
                  <w:vMerge w:val="continue"/>
                  <w:shd w:val="clear" w:color="auto" w:fill="auto"/>
                  <w:vAlign w:val="center"/>
                </w:tcPr>
                <w:p w14:paraId="7AE9BC02">
                  <w:pPr>
                    <w:spacing w:line="240" w:lineRule="auto"/>
                    <w:ind w:firstLine="0" w:firstLineChars="0"/>
                    <w:jc w:val="center"/>
                    <w:rPr>
                      <w:snapToGrid w:val="0"/>
                      <w:color w:val="auto"/>
                      <w:sz w:val="21"/>
                      <w:szCs w:val="21"/>
                    </w:rPr>
                  </w:pPr>
                </w:p>
              </w:tc>
              <w:tc>
                <w:tcPr>
                  <w:tcW w:w="941" w:type="pct"/>
                  <w:vMerge w:val="continue"/>
                  <w:shd w:val="clear" w:color="auto" w:fill="auto"/>
                  <w:vAlign w:val="center"/>
                </w:tcPr>
                <w:p w14:paraId="6ECDF0D6">
                  <w:pPr>
                    <w:spacing w:line="240" w:lineRule="auto"/>
                    <w:ind w:firstLine="0" w:firstLineChars="0"/>
                    <w:jc w:val="center"/>
                    <w:rPr>
                      <w:color w:val="auto"/>
                      <w:sz w:val="21"/>
                      <w:szCs w:val="21"/>
                    </w:rPr>
                  </w:pPr>
                </w:p>
              </w:tc>
              <w:tc>
                <w:tcPr>
                  <w:tcW w:w="1455" w:type="pct"/>
                  <w:shd w:val="clear" w:color="auto" w:fill="auto"/>
                  <w:vAlign w:val="center"/>
                </w:tcPr>
                <w:p w14:paraId="01DB18A0">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NH3-N</w:t>
                  </w:r>
                </w:p>
              </w:tc>
              <w:tc>
                <w:tcPr>
                  <w:tcW w:w="1000" w:type="pct"/>
                  <w:vMerge w:val="continue"/>
                  <w:shd w:val="clear" w:color="auto" w:fill="auto"/>
                  <w:vAlign w:val="center"/>
                </w:tcPr>
                <w:p w14:paraId="2824B4CC">
                  <w:pPr>
                    <w:widowControl/>
                    <w:spacing w:line="240" w:lineRule="auto"/>
                    <w:ind w:firstLine="0" w:firstLineChars="0"/>
                    <w:jc w:val="center"/>
                    <w:textAlignment w:val="center"/>
                    <w:rPr>
                      <w:rFonts w:hint="eastAsia"/>
                      <w:b/>
                      <w:bCs/>
                      <w:snapToGrid w:val="0"/>
                      <w:color w:val="auto"/>
                      <w:sz w:val="21"/>
                      <w:szCs w:val="21"/>
                      <w:u w:val="single"/>
                    </w:rPr>
                  </w:pPr>
                </w:p>
              </w:tc>
              <w:tc>
                <w:tcPr>
                  <w:tcW w:w="1002" w:type="pct"/>
                  <w:shd w:val="clear" w:color="auto" w:fill="auto"/>
                  <w:vAlign w:val="center"/>
                </w:tcPr>
                <w:p w14:paraId="1DEE8017">
                  <w:pPr>
                    <w:pStyle w:val="19"/>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b/>
                      <w:bCs/>
                      <w:color w:val="auto"/>
                      <w:kern w:val="0"/>
                      <w:sz w:val="21"/>
                      <w:szCs w:val="21"/>
                      <w:vertAlign w:val="baseline"/>
                      <w:lang w:val="en-US" w:eastAsia="zh-CN" w:bidi="ar-SA"/>
                    </w:rPr>
                  </w:pPr>
                  <w:r>
                    <w:rPr>
                      <w:rFonts w:hint="eastAsia"/>
                      <w:color w:val="auto"/>
                      <w:kern w:val="0"/>
                      <w:sz w:val="21"/>
                      <w:szCs w:val="21"/>
                      <w:lang w:val="en-US" w:eastAsia="zh-CN"/>
                    </w:rPr>
                    <w:t>8</w:t>
                  </w:r>
                </w:p>
              </w:tc>
            </w:tr>
            <w:tr w14:paraId="038C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0" w:type="pct"/>
                  <w:vMerge w:val="continue"/>
                  <w:shd w:val="clear" w:color="auto" w:fill="auto"/>
                  <w:vAlign w:val="center"/>
                </w:tcPr>
                <w:p w14:paraId="68ADB65C">
                  <w:pPr>
                    <w:spacing w:line="240" w:lineRule="auto"/>
                    <w:ind w:firstLine="0" w:firstLineChars="0"/>
                    <w:jc w:val="center"/>
                    <w:rPr>
                      <w:rFonts w:hint="default" w:eastAsia="宋体"/>
                      <w:color w:val="auto"/>
                      <w:sz w:val="21"/>
                      <w:szCs w:val="21"/>
                      <w:lang w:val="en-US" w:eastAsia="zh-CN"/>
                    </w:rPr>
                  </w:pPr>
                </w:p>
              </w:tc>
              <w:tc>
                <w:tcPr>
                  <w:tcW w:w="941" w:type="pct"/>
                  <w:vMerge w:val="continue"/>
                  <w:shd w:val="clear" w:color="auto" w:fill="auto"/>
                  <w:vAlign w:val="center"/>
                </w:tcPr>
                <w:p w14:paraId="1B768C71">
                  <w:pPr>
                    <w:spacing w:line="240" w:lineRule="auto"/>
                    <w:ind w:firstLine="0" w:firstLineChars="0"/>
                    <w:jc w:val="center"/>
                    <w:rPr>
                      <w:rFonts w:hint="default" w:eastAsia="宋体"/>
                      <w:color w:val="auto"/>
                      <w:sz w:val="21"/>
                      <w:szCs w:val="21"/>
                      <w:lang w:val="en-US" w:eastAsia="zh-CN"/>
                    </w:rPr>
                  </w:pPr>
                </w:p>
              </w:tc>
              <w:tc>
                <w:tcPr>
                  <w:tcW w:w="1455" w:type="pct"/>
                  <w:shd w:val="clear" w:color="auto" w:fill="auto"/>
                  <w:vAlign w:val="center"/>
                </w:tcPr>
                <w:p w14:paraId="76805A7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色度</w:t>
                  </w:r>
                  <w:r>
                    <w:rPr>
                      <w:rFonts w:hint="eastAsia"/>
                      <w:color w:val="auto"/>
                      <w:kern w:val="0"/>
                      <w:sz w:val="21"/>
                      <w:szCs w:val="21"/>
                      <w:lang w:val="en-US" w:eastAsia="zh-CN"/>
                    </w:rPr>
                    <w:t>（稀释倍数）</w:t>
                  </w:r>
                </w:p>
              </w:tc>
              <w:tc>
                <w:tcPr>
                  <w:tcW w:w="1000" w:type="pct"/>
                  <w:vMerge w:val="continue"/>
                  <w:shd w:val="clear" w:color="auto" w:fill="auto"/>
                  <w:vAlign w:val="center"/>
                </w:tcPr>
                <w:p w14:paraId="69C4BD2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u w:val="single"/>
                      <w:vertAlign w:val="baseline"/>
                      <w:lang w:val="en-US" w:eastAsia="zh-CN" w:bidi="ar-SA"/>
                    </w:rPr>
                  </w:pPr>
                </w:p>
              </w:tc>
              <w:tc>
                <w:tcPr>
                  <w:tcW w:w="1002" w:type="pct"/>
                  <w:shd w:val="clear" w:color="auto" w:fill="auto"/>
                  <w:vAlign w:val="center"/>
                </w:tcPr>
                <w:p w14:paraId="447933E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u w:val="single"/>
                      <w:vertAlign w:val="baseline"/>
                      <w:lang w:val="en-US" w:eastAsia="zh-CN" w:bidi="ar-SA"/>
                    </w:rPr>
                  </w:pPr>
                  <w:r>
                    <w:rPr>
                      <w:rFonts w:hint="eastAsia" w:cs="Times New Roman"/>
                      <w:b w:val="0"/>
                      <w:bCs w:val="0"/>
                      <w:color w:val="auto"/>
                      <w:kern w:val="2"/>
                      <w:sz w:val="21"/>
                      <w:szCs w:val="21"/>
                      <w:u w:val="none"/>
                      <w:vertAlign w:val="baseline"/>
                      <w:lang w:val="en-US" w:eastAsia="zh-CN" w:bidi="ar-SA"/>
                    </w:rPr>
                    <w:t>50</w:t>
                  </w:r>
                </w:p>
              </w:tc>
            </w:tr>
            <w:tr w14:paraId="204F6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0" w:type="pct"/>
                  <w:vMerge w:val="restart"/>
                  <w:shd w:val="clear" w:color="auto" w:fill="auto"/>
                  <w:vAlign w:val="center"/>
                </w:tcPr>
                <w:p w14:paraId="2754F1F2">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2</w:t>
                  </w:r>
                </w:p>
              </w:tc>
              <w:tc>
                <w:tcPr>
                  <w:tcW w:w="941" w:type="pct"/>
                  <w:vMerge w:val="restart"/>
                  <w:shd w:val="clear" w:color="auto" w:fill="auto"/>
                  <w:vAlign w:val="center"/>
                </w:tcPr>
                <w:p w14:paraId="6450BEC7">
                  <w:pPr>
                    <w:spacing w:line="240" w:lineRule="auto"/>
                    <w:ind w:firstLine="0" w:firstLineChars="0"/>
                    <w:jc w:val="center"/>
                    <w:rPr>
                      <w:rFonts w:hint="default" w:eastAsia="宋体"/>
                      <w:color w:val="auto"/>
                      <w:sz w:val="21"/>
                      <w:szCs w:val="21"/>
                      <w:lang w:val="en-US" w:eastAsia="zh-CN"/>
                    </w:rPr>
                  </w:pPr>
                  <w:r>
                    <w:rPr>
                      <w:rFonts w:hint="eastAsia"/>
                      <w:b/>
                      <w:bCs/>
                      <w:snapToGrid w:val="0"/>
                      <w:color w:val="auto"/>
                      <w:sz w:val="21"/>
                      <w:szCs w:val="21"/>
                      <w:u w:val="single"/>
                      <w:lang w:val="en-US" w:eastAsia="zh-CN"/>
                    </w:rPr>
                    <w:t>南乐县污水处理厂接管处</w:t>
                  </w:r>
                </w:p>
              </w:tc>
              <w:tc>
                <w:tcPr>
                  <w:tcW w:w="1455" w:type="pct"/>
                  <w:shd w:val="clear" w:color="auto" w:fill="auto"/>
                  <w:vAlign w:val="center"/>
                </w:tcPr>
                <w:p w14:paraId="3BFBD585">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u w:val="single"/>
                      <w:vertAlign w:val="baseline"/>
                      <w:lang w:val="en-US" w:eastAsia="zh-CN" w:bidi="ar-SA"/>
                    </w:rPr>
                  </w:pPr>
                  <w:r>
                    <w:rPr>
                      <w:rFonts w:hint="eastAsia"/>
                      <w:b/>
                      <w:bCs/>
                      <w:color w:val="auto"/>
                      <w:sz w:val="21"/>
                      <w:szCs w:val="21"/>
                      <w:u w:val="single"/>
                      <w:vertAlign w:val="baseline"/>
                      <w:lang w:val="en-US" w:eastAsia="zh-CN"/>
                    </w:rPr>
                    <w:t>pH</w:t>
                  </w:r>
                </w:p>
              </w:tc>
              <w:tc>
                <w:tcPr>
                  <w:tcW w:w="1000" w:type="pct"/>
                  <w:vMerge w:val="restart"/>
                  <w:shd w:val="clear" w:color="auto" w:fill="auto"/>
                  <w:vAlign w:val="center"/>
                </w:tcPr>
                <w:p w14:paraId="4347133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u w:val="single"/>
                      <w:vertAlign w:val="baseline"/>
                      <w:lang w:val="en-US" w:eastAsia="zh-CN" w:bidi="ar-SA"/>
                    </w:rPr>
                  </w:pPr>
                  <w:r>
                    <w:rPr>
                      <w:rFonts w:hint="eastAsia" w:cs="Times New Roman"/>
                      <w:b/>
                      <w:bCs/>
                      <w:color w:val="auto"/>
                      <w:kern w:val="2"/>
                      <w:sz w:val="21"/>
                      <w:szCs w:val="21"/>
                      <w:u w:val="single"/>
                      <w:vertAlign w:val="baseline"/>
                      <w:lang w:val="en-US" w:eastAsia="zh-CN" w:bidi="ar-SA"/>
                    </w:rPr>
                    <w:t>/</w:t>
                  </w:r>
                </w:p>
              </w:tc>
              <w:tc>
                <w:tcPr>
                  <w:tcW w:w="1002" w:type="pct"/>
                  <w:shd w:val="clear" w:color="auto" w:fill="auto"/>
                  <w:vAlign w:val="center"/>
                </w:tcPr>
                <w:p w14:paraId="19199CE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u w:val="single"/>
                      <w:vertAlign w:val="baseline"/>
                      <w:lang w:val="en-US" w:eastAsia="zh-CN" w:bidi="ar-SA"/>
                    </w:rPr>
                  </w:pPr>
                  <w:r>
                    <w:rPr>
                      <w:rFonts w:hint="eastAsia"/>
                      <w:b/>
                      <w:bCs/>
                      <w:color w:val="auto"/>
                      <w:kern w:val="0"/>
                      <w:sz w:val="21"/>
                      <w:szCs w:val="21"/>
                      <w:u w:val="single"/>
                      <w:lang w:val="en-US" w:eastAsia="zh-CN"/>
                    </w:rPr>
                    <w:t>6-9</w:t>
                  </w:r>
                </w:p>
              </w:tc>
            </w:tr>
            <w:tr w14:paraId="6CDE6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0" w:type="pct"/>
                  <w:vMerge w:val="continue"/>
                  <w:shd w:val="clear" w:color="auto" w:fill="auto"/>
                  <w:vAlign w:val="center"/>
                </w:tcPr>
                <w:p w14:paraId="08D0C752">
                  <w:pPr>
                    <w:spacing w:line="240" w:lineRule="auto"/>
                    <w:ind w:firstLine="0" w:firstLineChars="0"/>
                    <w:jc w:val="center"/>
                    <w:rPr>
                      <w:rFonts w:hint="default" w:eastAsia="宋体"/>
                      <w:color w:val="auto"/>
                      <w:sz w:val="21"/>
                      <w:szCs w:val="21"/>
                      <w:lang w:val="en-US" w:eastAsia="zh-CN"/>
                    </w:rPr>
                  </w:pPr>
                </w:p>
              </w:tc>
              <w:tc>
                <w:tcPr>
                  <w:tcW w:w="941" w:type="pct"/>
                  <w:vMerge w:val="continue"/>
                  <w:shd w:val="clear" w:color="auto" w:fill="auto"/>
                  <w:vAlign w:val="center"/>
                </w:tcPr>
                <w:p w14:paraId="0F81A6BF">
                  <w:pPr>
                    <w:spacing w:line="240" w:lineRule="auto"/>
                    <w:ind w:firstLine="0" w:firstLineChars="0"/>
                    <w:jc w:val="center"/>
                    <w:rPr>
                      <w:rFonts w:hint="default" w:eastAsia="宋体"/>
                      <w:color w:val="auto"/>
                      <w:sz w:val="21"/>
                      <w:szCs w:val="21"/>
                      <w:lang w:val="en-US" w:eastAsia="zh-CN"/>
                    </w:rPr>
                  </w:pPr>
                </w:p>
              </w:tc>
              <w:tc>
                <w:tcPr>
                  <w:tcW w:w="1455" w:type="pct"/>
                  <w:shd w:val="clear" w:color="auto" w:fill="auto"/>
                  <w:vAlign w:val="center"/>
                </w:tcPr>
                <w:p w14:paraId="0CBECEB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u w:val="single"/>
                      <w:vertAlign w:val="baseline"/>
                      <w:lang w:val="en-US" w:eastAsia="zh-CN" w:bidi="ar-SA"/>
                    </w:rPr>
                  </w:pPr>
                  <w:r>
                    <w:rPr>
                      <w:rFonts w:hint="eastAsia"/>
                      <w:b/>
                      <w:bCs/>
                      <w:color w:val="auto"/>
                      <w:sz w:val="21"/>
                      <w:szCs w:val="21"/>
                      <w:u w:val="single"/>
                      <w:vertAlign w:val="baseline"/>
                      <w:lang w:val="en-US" w:eastAsia="zh-CN"/>
                    </w:rPr>
                    <w:t>COD</w:t>
                  </w:r>
                </w:p>
              </w:tc>
              <w:tc>
                <w:tcPr>
                  <w:tcW w:w="1000" w:type="pct"/>
                  <w:vMerge w:val="continue"/>
                  <w:shd w:val="clear" w:color="auto" w:fill="auto"/>
                  <w:vAlign w:val="center"/>
                </w:tcPr>
                <w:p w14:paraId="35FB214D">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u w:val="single"/>
                      <w:vertAlign w:val="baseline"/>
                      <w:lang w:val="en-US" w:eastAsia="zh-CN" w:bidi="ar-SA"/>
                    </w:rPr>
                  </w:pPr>
                </w:p>
              </w:tc>
              <w:tc>
                <w:tcPr>
                  <w:tcW w:w="1002" w:type="pct"/>
                  <w:shd w:val="clear" w:color="auto" w:fill="auto"/>
                  <w:vAlign w:val="center"/>
                </w:tcPr>
                <w:p w14:paraId="5AE846D1">
                  <w:pPr>
                    <w:pStyle w:val="19"/>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b/>
                      <w:bCs/>
                      <w:color w:val="auto"/>
                      <w:kern w:val="0"/>
                      <w:sz w:val="21"/>
                      <w:szCs w:val="21"/>
                      <w:u w:val="single"/>
                      <w:vertAlign w:val="baseline"/>
                      <w:lang w:val="en-US" w:eastAsia="zh-CN" w:bidi="ar-SA"/>
                    </w:rPr>
                  </w:pPr>
                  <w:r>
                    <w:rPr>
                      <w:b/>
                      <w:bCs/>
                      <w:color w:val="auto"/>
                      <w:kern w:val="0"/>
                      <w:sz w:val="21"/>
                      <w:szCs w:val="21"/>
                      <w:u w:val="single"/>
                    </w:rPr>
                    <w:t>40</w:t>
                  </w:r>
                  <w:r>
                    <w:rPr>
                      <w:rFonts w:hint="eastAsia"/>
                      <w:b/>
                      <w:bCs/>
                      <w:color w:val="auto"/>
                      <w:kern w:val="0"/>
                      <w:sz w:val="21"/>
                      <w:szCs w:val="21"/>
                      <w:u w:val="single"/>
                      <w:lang w:val="en-US" w:eastAsia="zh-CN"/>
                    </w:rPr>
                    <w:t>0</w:t>
                  </w:r>
                </w:p>
              </w:tc>
            </w:tr>
            <w:tr w14:paraId="6D8D3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0" w:type="pct"/>
                  <w:vMerge w:val="continue"/>
                  <w:shd w:val="clear" w:color="auto" w:fill="auto"/>
                  <w:vAlign w:val="center"/>
                </w:tcPr>
                <w:p w14:paraId="699B31C2">
                  <w:pPr>
                    <w:spacing w:line="240" w:lineRule="auto"/>
                    <w:ind w:firstLine="0" w:firstLineChars="0"/>
                    <w:jc w:val="center"/>
                    <w:rPr>
                      <w:rFonts w:hint="default" w:eastAsia="宋体"/>
                      <w:color w:val="auto"/>
                      <w:sz w:val="21"/>
                      <w:szCs w:val="21"/>
                      <w:lang w:val="en-US" w:eastAsia="zh-CN"/>
                    </w:rPr>
                  </w:pPr>
                </w:p>
              </w:tc>
              <w:tc>
                <w:tcPr>
                  <w:tcW w:w="941" w:type="pct"/>
                  <w:vMerge w:val="continue"/>
                  <w:shd w:val="clear" w:color="auto" w:fill="auto"/>
                  <w:vAlign w:val="center"/>
                </w:tcPr>
                <w:p w14:paraId="6AAA1A42">
                  <w:pPr>
                    <w:spacing w:line="240" w:lineRule="auto"/>
                    <w:ind w:firstLine="0" w:firstLineChars="0"/>
                    <w:jc w:val="center"/>
                    <w:rPr>
                      <w:rFonts w:hint="default" w:eastAsia="宋体"/>
                      <w:color w:val="auto"/>
                      <w:sz w:val="21"/>
                      <w:szCs w:val="21"/>
                      <w:lang w:val="en-US" w:eastAsia="zh-CN"/>
                    </w:rPr>
                  </w:pPr>
                </w:p>
              </w:tc>
              <w:tc>
                <w:tcPr>
                  <w:tcW w:w="1455" w:type="pct"/>
                  <w:shd w:val="clear" w:color="auto" w:fill="auto"/>
                  <w:vAlign w:val="center"/>
                </w:tcPr>
                <w:p w14:paraId="601112D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u w:val="single"/>
                      <w:vertAlign w:val="baseline"/>
                      <w:lang w:val="en-US" w:eastAsia="zh-CN" w:bidi="ar-SA"/>
                    </w:rPr>
                  </w:pPr>
                  <w:r>
                    <w:rPr>
                      <w:rFonts w:hint="eastAsia"/>
                      <w:b/>
                      <w:bCs/>
                      <w:color w:val="auto"/>
                      <w:sz w:val="21"/>
                      <w:szCs w:val="21"/>
                      <w:u w:val="single"/>
                      <w:vertAlign w:val="baseline"/>
                      <w:lang w:val="en-US" w:eastAsia="zh-CN"/>
                    </w:rPr>
                    <w:t>BOD5</w:t>
                  </w:r>
                </w:p>
              </w:tc>
              <w:tc>
                <w:tcPr>
                  <w:tcW w:w="1000" w:type="pct"/>
                  <w:vMerge w:val="continue"/>
                  <w:shd w:val="clear" w:color="auto" w:fill="auto"/>
                  <w:vAlign w:val="center"/>
                </w:tcPr>
                <w:p w14:paraId="07469C3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u w:val="single"/>
                      <w:vertAlign w:val="baseline"/>
                      <w:lang w:val="en-US" w:eastAsia="zh-CN" w:bidi="ar-SA"/>
                    </w:rPr>
                  </w:pPr>
                </w:p>
              </w:tc>
              <w:tc>
                <w:tcPr>
                  <w:tcW w:w="1002" w:type="pct"/>
                  <w:shd w:val="clear" w:color="auto" w:fill="auto"/>
                  <w:vAlign w:val="center"/>
                </w:tcPr>
                <w:p w14:paraId="12216E11">
                  <w:pPr>
                    <w:pStyle w:val="19"/>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b/>
                      <w:bCs/>
                      <w:color w:val="auto"/>
                      <w:kern w:val="0"/>
                      <w:sz w:val="21"/>
                      <w:szCs w:val="21"/>
                      <w:u w:val="single"/>
                      <w:vertAlign w:val="baseline"/>
                      <w:lang w:val="en-US" w:eastAsia="zh-CN" w:bidi="ar-SA"/>
                    </w:rPr>
                  </w:pPr>
                  <w:r>
                    <w:rPr>
                      <w:rFonts w:hint="eastAsia"/>
                      <w:b/>
                      <w:bCs/>
                      <w:color w:val="auto"/>
                      <w:kern w:val="0"/>
                      <w:sz w:val="21"/>
                      <w:szCs w:val="21"/>
                      <w:u w:val="single"/>
                      <w:lang w:val="en-US" w:eastAsia="zh-CN"/>
                    </w:rPr>
                    <w:t>200</w:t>
                  </w:r>
                </w:p>
              </w:tc>
            </w:tr>
            <w:tr w14:paraId="6310F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0" w:type="pct"/>
                  <w:vMerge w:val="continue"/>
                  <w:shd w:val="clear" w:color="auto" w:fill="auto"/>
                  <w:vAlign w:val="center"/>
                </w:tcPr>
                <w:p w14:paraId="0D501E25">
                  <w:pPr>
                    <w:spacing w:line="240" w:lineRule="auto"/>
                    <w:ind w:firstLine="0" w:firstLineChars="0"/>
                    <w:jc w:val="center"/>
                    <w:rPr>
                      <w:rFonts w:hint="default" w:eastAsia="宋体"/>
                      <w:color w:val="auto"/>
                      <w:sz w:val="21"/>
                      <w:szCs w:val="21"/>
                      <w:lang w:val="en-US" w:eastAsia="zh-CN"/>
                    </w:rPr>
                  </w:pPr>
                </w:p>
              </w:tc>
              <w:tc>
                <w:tcPr>
                  <w:tcW w:w="941" w:type="pct"/>
                  <w:vMerge w:val="continue"/>
                  <w:shd w:val="clear" w:color="auto" w:fill="auto"/>
                  <w:vAlign w:val="center"/>
                </w:tcPr>
                <w:p w14:paraId="58DACEDF">
                  <w:pPr>
                    <w:spacing w:line="240" w:lineRule="auto"/>
                    <w:ind w:firstLine="0" w:firstLineChars="0"/>
                    <w:jc w:val="center"/>
                    <w:rPr>
                      <w:rFonts w:hint="default" w:eastAsia="宋体"/>
                      <w:color w:val="auto"/>
                      <w:sz w:val="21"/>
                      <w:szCs w:val="21"/>
                      <w:lang w:val="en-US" w:eastAsia="zh-CN"/>
                    </w:rPr>
                  </w:pPr>
                </w:p>
              </w:tc>
              <w:tc>
                <w:tcPr>
                  <w:tcW w:w="1455" w:type="pct"/>
                  <w:shd w:val="clear" w:color="auto" w:fill="auto"/>
                  <w:vAlign w:val="center"/>
                </w:tcPr>
                <w:p w14:paraId="68EEB28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u w:val="single"/>
                      <w:vertAlign w:val="baseline"/>
                      <w:lang w:val="en-US" w:eastAsia="zh-CN" w:bidi="ar-SA"/>
                    </w:rPr>
                  </w:pPr>
                  <w:r>
                    <w:rPr>
                      <w:rFonts w:hint="eastAsia"/>
                      <w:b/>
                      <w:bCs/>
                      <w:color w:val="auto"/>
                      <w:sz w:val="21"/>
                      <w:szCs w:val="21"/>
                      <w:u w:val="single"/>
                      <w:vertAlign w:val="baseline"/>
                      <w:lang w:val="en-US" w:eastAsia="zh-CN"/>
                    </w:rPr>
                    <w:t>SS</w:t>
                  </w:r>
                </w:p>
              </w:tc>
              <w:tc>
                <w:tcPr>
                  <w:tcW w:w="1000" w:type="pct"/>
                  <w:vMerge w:val="continue"/>
                  <w:shd w:val="clear" w:color="auto" w:fill="auto"/>
                  <w:vAlign w:val="center"/>
                </w:tcPr>
                <w:p w14:paraId="24487E2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u w:val="single"/>
                      <w:vertAlign w:val="baseline"/>
                      <w:lang w:val="en-US" w:eastAsia="zh-CN" w:bidi="ar-SA"/>
                    </w:rPr>
                  </w:pPr>
                </w:p>
              </w:tc>
              <w:tc>
                <w:tcPr>
                  <w:tcW w:w="1002" w:type="pct"/>
                  <w:shd w:val="clear" w:color="auto" w:fill="auto"/>
                  <w:vAlign w:val="center"/>
                </w:tcPr>
                <w:p w14:paraId="13425617">
                  <w:pPr>
                    <w:pStyle w:val="19"/>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b/>
                      <w:bCs/>
                      <w:color w:val="auto"/>
                      <w:kern w:val="0"/>
                      <w:sz w:val="21"/>
                      <w:szCs w:val="21"/>
                      <w:u w:val="single"/>
                      <w:vertAlign w:val="baseline"/>
                      <w:lang w:val="en-US" w:eastAsia="zh-CN" w:bidi="ar-SA"/>
                    </w:rPr>
                  </w:pPr>
                  <w:r>
                    <w:rPr>
                      <w:rFonts w:hint="eastAsia"/>
                      <w:b/>
                      <w:bCs/>
                      <w:color w:val="auto"/>
                      <w:kern w:val="0"/>
                      <w:sz w:val="21"/>
                      <w:szCs w:val="21"/>
                      <w:u w:val="single"/>
                      <w:lang w:val="en-US" w:eastAsia="zh-CN"/>
                    </w:rPr>
                    <w:t>350</w:t>
                  </w:r>
                </w:p>
              </w:tc>
            </w:tr>
            <w:tr w14:paraId="15972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0" w:type="pct"/>
                  <w:vMerge w:val="continue"/>
                  <w:shd w:val="clear" w:color="auto" w:fill="auto"/>
                  <w:vAlign w:val="center"/>
                </w:tcPr>
                <w:p w14:paraId="3D243258">
                  <w:pPr>
                    <w:spacing w:line="240" w:lineRule="auto"/>
                    <w:ind w:firstLine="0" w:firstLineChars="0"/>
                    <w:jc w:val="center"/>
                    <w:rPr>
                      <w:rFonts w:hint="default" w:eastAsia="宋体"/>
                      <w:color w:val="auto"/>
                      <w:sz w:val="21"/>
                      <w:szCs w:val="21"/>
                      <w:lang w:val="en-US" w:eastAsia="zh-CN"/>
                    </w:rPr>
                  </w:pPr>
                </w:p>
              </w:tc>
              <w:tc>
                <w:tcPr>
                  <w:tcW w:w="941" w:type="pct"/>
                  <w:vMerge w:val="continue"/>
                  <w:shd w:val="clear" w:color="auto" w:fill="auto"/>
                  <w:vAlign w:val="center"/>
                </w:tcPr>
                <w:p w14:paraId="1390ECF9">
                  <w:pPr>
                    <w:spacing w:line="240" w:lineRule="auto"/>
                    <w:ind w:firstLine="0" w:firstLineChars="0"/>
                    <w:jc w:val="center"/>
                    <w:rPr>
                      <w:rFonts w:hint="default" w:eastAsia="宋体"/>
                      <w:color w:val="auto"/>
                      <w:sz w:val="21"/>
                      <w:szCs w:val="21"/>
                      <w:lang w:val="en-US" w:eastAsia="zh-CN"/>
                    </w:rPr>
                  </w:pPr>
                </w:p>
              </w:tc>
              <w:tc>
                <w:tcPr>
                  <w:tcW w:w="1455" w:type="pct"/>
                  <w:shd w:val="clear" w:color="auto" w:fill="auto"/>
                  <w:vAlign w:val="center"/>
                </w:tcPr>
                <w:p w14:paraId="339DD4C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u w:val="single"/>
                      <w:vertAlign w:val="baseline"/>
                      <w:lang w:val="en-US" w:eastAsia="zh-CN" w:bidi="ar-SA"/>
                    </w:rPr>
                  </w:pPr>
                  <w:r>
                    <w:rPr>
                      <w:rFonts w:hint="eastAsia"/>
                      <w:b/>
                      <w:bCs/>
                      <w:color w:val="auto"/>
                      <w:sz w:val="21"/>
                      <w:szCs w:val="21"/>
                      <w:u w:val="single"/>
                      <w:vertAlign w:val="baseline"/>
                      <w:lang w:val="en-US" w:eastAsia="zh-CN"/>
                    </w:rPr>
                    <w:t>NH3-N</w:t>
                  </w:r>
                </w:p>
              </w:tc>
              <w:tc>
                <w:tcPr>
                  <w:tcW w:w="1000" w:type="pct"/>
                  <w:vMerge w:val="continue"/>
                  <w:shd w:val="clear" w:color="auto" w:fill="auto"/>
                  <w:vAlign w:val="center"/>
                </w:tcPr>
                <w:p w14:paraId="760B5EF2">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u w:val="single"/>
                      <w:vertAlign w:val="baseline"/>
                      <w:lang w:val="en-US" w:eastAsia="zh-CN" w:bidi="ar-SA"/>
                    </w:rPr>
                  </w:pPr>
                </w:p>
              </w:tc>
              <w:tc>
                <w:tcPr>
                  <w:tcW w:w="1002" w:type="pct"/>
                  <w:shd w:val="clear" w:color="auto" w:fill="auto"/>
                  <w:vAlign w:val="center"/>
                </w:tcPr>
                <w:p w14:paraId="0E9DA8D0">
                  <w:pPr>
                    <w:pStyle w:val="19"/>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b/>
                      <w:bCs/>
                      <w:color w:val="auto"/>
                      <w:kern w:val="0"/>
                      <w:sz w:val="21"/>
                      <w:szCs w:val="21"/>
                      <w:u w:val="single"/>
                      <w:vertAlign w:val="baseline"/>
                      <w:lang w:val="en-US" w:eastAsia="zh-CN" w:bidi="ar-SA"/>
                    </w:rPr>
                  </w:pPr>
                  <w:r>
                    <w:rPr>
                      <w:rFonts w:hint="eastAsia"/>
                      <w:b/>
                      <w:bCs/>
                      <w:color w:val="auto"/>
                      <w:kern w:val="0"/>
                      <w:sz w:val="21"/>
                      <w:szCs w:val="21"/>
                      <w:u w:val="single"/>
                      <w:lang w:val="en-US" w:eastAsia="zh-CN"/>
                    </w:rPr>
                    <w:t>35</w:t>
                  </w:r>
                </w:p>
              </w:tc>
            </w:tr>
            <w:tr w14:paraId="7042E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0" w:type="pct"/>
                  <w:vMerge w:val="continue"/>
                  <w:shd w:val="clear" w:color="auto" w:fill="auto"/>
                  <w:vAlign w:val="center"/>
                </w:tcPr>
                <w:p w14:paraId="2948AEE7">
                  <w:pPr>
                    <w:spacing w:line="240" w:lineRule="auto"/>
                    <w:ind w:firstLine="0" w:firstLineChars="0"/>
                    <w:jc w:val="center"/>
                    <w:rPr>
                      <w:rFonts w:hint="default" w:eastAsia="宋体"/>
                      <w:color w:val="auto"/>
                      <w:sz w:val="21"/>
                      <w:szCs w:val="21"/>
                      <w:lang w:val="en-US" w:eastAsia="zh-CN"/>
                    </w:rPr>
                  </w:pPr>
                </w:p>
              </w:tc>
              <w:tc>
                <w:tcPr>
                  <w:tcW w:w="941" w:type="pct"/>
                  <w:vMerge w:val="continue"/>
                  <w:shd w:val="clear" w:color="auto" w:fill="auto"/>
                  <w:vAlign w:val="center"/>
                </w:tcPr>
                <w:p w14:paraId="755135BF">
                  <w:pPr>
                    <w:spacing w:line="240" w:lineRule="auto"/>
                    <w:ind w:firstLine="0" w:firstLineChars="0"/>
                    <w:jc w:val="center"/>
                    <w:rPr>
                      <w:rFonts w:hint="default" w:eastAsia="宋体"/>
                      <w:color w:val="auto"/>
                      <w:sz w:val="21"/>
                      <w:szCs w:val="21"/>
                      <w:lang w:val="en-US" w:eastAsia="zh-CN"/>
                    </w:rPr>
                  </w:pPr>
                </w:p>
              </w:tc>
              <w:tc>
                <w:tcPr>
                  <w:tcW w:w="1455" w:type="pct"/>
                  <w:shd w:val="clear" w:color="auto" w:fill="auto"/>
                  <w:vAlign w:val="center"/>
                </w:tcPr>
                <w:p w14:paraId="048DD02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u w:val="single"/>
                      <w:vertAlign w:val="baseline"/>
                      <w:lang w:val="en-US" w:eastAsia="zh-CN" w:bidi="ar-SA"/>
                    </w:rPr>
                  </w:pPr>
                  <w:r>
                    <w:rPr>
                      <w:rFonts w:hint="eastAsia"/>
                      <w:b/>
                      <w:bCs/>
                      <w:color w:val="auto"/>
                      <w:sz w:val="21"/>
                      <w:szCs w:val="21"/>
                      <w:u w:val="single"/>
                      <w:vertAlign w:val="baseline"/>
                      <w:lang w:val="en-US" w:eastAsia="zh-CN"/>
                    </w:rPr>
                    <w:t>色度</w:t>
                  </w:r>
                </w:p>
              </w:tc>
              <w:tc>
                <w:tcPr>
                  <w:tcW w:w="1000" w:type="pct"/>
                  <w:vMerge w:val="continue"/>
                  <w:shd w:val="clear" w:color="auto" w:fill="auto"/>
                  <w:vAlign w:val="center"/>
                </w:tcPr>
                <w:p w14:paraId="5AC9CACD">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u w:val="single"/>
                      <w:vertAlign w:val="baseline"/>
                      <w:lang w:val="en-US" w:eastAsia="zh-CN" w:bidi="ar-SA"/>
                    </w:rPr>
                  </w:pPr>
                </w:p>
              </w:tc>
              <w:tc>
                <w:tcPr>
                  <w:tcW w:w="1002" w:type="pct"/>
                  <w:shd w:val="clear" w:color="auto" w:fill="auto"/>
                  <w:vAlign w:val="center"/>
                </w:tcPr>
                <w:p w14:paraId="7C6F7E9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u w:val="single"/>
                      <w:vertAlign w:val="baseline"/>
                      <w:lang w:val="en-US" w:eastAsia="zh-CN" w:bidi="ar-SA"/>
                    </w:rPr>
                  </w:pPr>
                  <w:r>
                    <w:rPr>
                      <w:rFonts w:hint="eastAsia" w:cs="Times New Roman"/>
                      <w:b/>
                      <w:bCs/>
                      <w:color w:val="auto"/>
                      <w:kern w:val="2"/>
                      <w:sz w:val="21"/>
                      <w:szCs w:val="21"/>
                      <w:u w:val="single"/>
                      <w:vertAlign w:val="baseline"/>
                      <w:lang w:val="en-US" w:eastAsia="zh-CN" w:bidi="ar-SA"/>
                    </w:rPr>
                    <w:t>/</w:t>
                  </w:r>
                </w:p>
              </w:tc>
            </w:tr>
          </w:tbl>
          <w:p w14:paraId="30E380F4">
            <w:pPr>
              <w:keepNext w:val="0"/>
              <w:keepLines w:val="0"/>
              <w:pageBreakBefore w:val="0"/>
              <w:widowControl w:val="0"/>
              <w:numPr>
                <w:ilvl w:val="0"/>
                <w:numId w:val="9"/>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u w:val="single"/>
                <w:lang w:val="zh-CN"/>
              </w:rPr>
            </w:pPr>
            <w:r>
              <w:rPr>
                <w:rFonts w:hint="eastAsia" w:ascii="Times New Roman" w:hAnsi="Times New Roman" w:eastAsia="宋体" w:cs="Times New Roman"/>
                <w:b/>
                <w:bCs/>
                <w:color w:val="auto"/>
                <w:sz w:val="21"/>
                <w:szCs w:val="21"/>
                <w:u w:val="single"/>
                <w:lang w:val="zh-CN"/>
              </w:rPr>
              <w:t>废水</w:t>
            </w:r>
            <w:r>
              <w:rPr>
                <w:rFonts w:hint="eastAsia" w:ascii="Times New Roman" w:hAnsi="Times New Roman" w:eastAsia="宋体" w:cs="Times New Roman"/>
                <w:b/>
                <w:bCs/>
                <w:color w:val="auto"/>
                <w:sz w:val="21"/>
                <w:szCs w:val="21"/>
                <w:u w:val="single"/>
                <w:lang w:val="en-US" w:eastAsia="zh-CN"/>
              </w:rPr>
              <w:t>污染物排放信息</w:t>
            </w:r>
            <w:r>
              <w:rPr>
                <w:rFonts w:hint="eastAsia" w:ascii="Times New Roman" w:hAnsi="Times New Roman" w:eastAsia="宋体" w:cs="Times New Roman"/>
                <w:b/>
                <w:bCs/>
                <w:color w:val="auto"/>
                <w:sz w:val="21"/>
                <w:szCs w:val="21"/>
                <w:u w:val="single"/>
                <w:lang w:val="zh-CN"/>
              </w:rPr>
              <w:t>表</w:t>
            </w:r>
          </w:p>
          <w:tbl>
            <w:tblPr>
              <w:tblStyle w:val="2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41"/>
              <w:gridCol w:w="1153"/>
              <w:gridCol w:w="861"/>
              <w:gridCol w:w="1047"/>
              <w:gridCol w:w="869"/>
              <w:gridCol w:w="955"/>
              <w:gridCol w:w="948"/>
              <w:gridCol w:w="948"/>
              <w:gridCol w:w="952"/>
            </w:tblGrid>
            <w:tr w14:paraId="3BE93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11" w:type="pct"/>
                  <w:vMerge w:val="restart"/>
                  <w:shd w:val="clear" w:color="auto" w:fill="auto"/>
                  <w:vAlign w:val="center"/>
                </w:tcPr>
                <w:p w14:paraId="121FAAEA">
                  <w:pPr>
                    <w:spacing w:line="240" w:lineRule="auto"/>
                    <w:ind w:firstLine="0" w:firstLineChars="0"/>
                    <w:jc w:val="center"/>
                    <w:rPr>
                      <w:b/>
                      <w:bCs/>
                      <w:snapToGrid w:val="0"/>
                      <w:color w:val="auto"/>
                      <w:sz w:val="21"/>
                      <w:szCs w:val="21"/>
                      <w:u w:val="single"/>
                    </w:rPr>
                  </w:pPr>
                  <w:r>
                    <w:rPr>
                      <w:b/>
                      <w:bCs/>
                      <w:snapToGrid w:val="0"/>
                      <w:color w:val="auto"/>
                      <w:sz w:val="21"/>
                      <w:szCs w:val="21"/>
                      <w:u w:val="single"/>
                    </w:rPr>
                    <w:t>序号</w:t>
                  </w:r>
                </w:p>
              </w:tc>
              <w:tc>
                <w:tcPr>
                  <w:tcW w:w="714" w:type="pct"/>
                  <w:vMerge w:val="restart"/>
                  <w:shd w:val="clear" w:color="auto" w:fill="auto"/>
                  <w:vAlign w:val="center"/>
                </w:tcPr>
                <w:p w14:paraId="5C3D1FD1">
                  <w:pPr>
                    <w:spacing w:line="240" w:lineRule="auto"/>
                    <w:ind w:firstLine="0" w:firstLineChars="0"/>
                    <w:jc w:val="center"/>
                    <w:rPr>
                      <w:rFonts w:hint="default" w:eastAsia="宋体"/>
                      <w:b/>
                      <w:bCs/>
                      <w:snapToGrid w:val="0"/>
                      <w:color w:val="auto"/>
                      <w:sz w:val="21"/>
                      <w:szCs w:val="21"/>
                      <w:u w:val="single"/>
                      <w:lang w:val="en-US" w:eastAsia="zh-CN"/>
                    </w:rPr>
                  </w:pPr>
                  <w:r>
                    <w:rPr>
                      <w:rFonts w:hint="eastAsia"/>
                      <w:b/>
                      <w:bCs/>
                      <w:color w:val="auto"/>
                      <w:sz w:val="21"/>
                      <w:szCs w:val="21"/>
                      <w:u w:val="single"/>
                      <w:lang w:val="en-US" w:eastAsia="zh-CN"/>
                    </w:rPr>
                    <w:t>排放口编号</w:t>
                  </w:r>
                </w:p>
              </w:tc>
              <w:tc>
                <w:tcPr>
                  <w:tcW w:w="533" w:type="pct"/>
                  <w:vMerge w:val="restart"/>
                  <w:shd w:val="clear" w:color="auto" w:fill="auto"/>
                  <w:vAlign w:val="center"/>
                </w:tcPr>
                <w:p w14:paraId="30B45B3F">
                  <w:pPr>
                    <w:spacing w:line="240" w:lineRule="auto"/>
                    <w:ind w:firstLine="0" w:firstLineChars="0"/>
                    <w:jc w:val="center"/>
                    <w:rPr>
                      <w:b/>
                      <w:bCs/>
                      <w:snapToGrid w:val="0"/>
                      <w:color w:val="auto"/>
                      <w:sz w:val="21"/>
                      <w:szCs w:val="21"/>
                      <w:u w:val="single"/>
                    </w:rPr>
                  </w:pPr>
                  <w:r>
                    <w:rPr>
                      <w:rFonts w:hint="eastAsia"/>
                      <w:b/>
                      <w:bCs/>
                      <w:snapToGrid w:val="0"/>
                      <w:color w:val="auto"/>
                      <w:sz w:val="21"/>
                      <w:szCs w:val="21"/>
                      <w:u w:val="single"/>
                    </w:rPr>
                    <w:t>污染物种类</w:t>
                  </w:r>
                </w:p>
              </w:tc>
              <w:tc>
                <w:tcPr>
                  <w:tcW w:w="1777" w:type="pct"/>
                  <w:gridSpan w:val="3"/>
                  <w:shd w:val="clear" w:color="auto" w:fill="auto"/>
                  <w:vAlign w:val="center"/>
                </w:tcPr>
                <w:p w14:paraId="2513B313">
                  <w:pPr>
                    <w:spacing w:line="240" w:lineRule="auto"/>
                    <w:ind w:firstLine="0" w:firstLineChars="0"/>
                    <w:jc w:val="center"/>
                    <w:rPr>
                      <w:rFonts w:hint="eastAsia"/>
                      <w:b/>
                      <w:bCs/>
                      <w:snapToGrid w:val="0"/>
                      <w:color w:val="auto"/>
                      <w:sz w:val="21"/>
                      <w:szCs w:val="21"/>
                      <w:u w:val="single"/>
                      <w:lang w:val="en-US" w:eastAsia="zh-CN"/>
                    </w:rPr>
                  </w:pPr>
                  <w:r>
                    <w:rPr>
                      <w:rFonts w:hint="eastAsia"/>
                      <w:b/>
                      <w:bCs/>
                      <w:snapToGrid w:val="0"/>
                      <w:color w:val="auto"/>
                      <w:sz w:val="21"/>
                      <w:szCs w:val="21"/>
                      <w:u w:val="single"/>
                      <w:lang w:val="en-US" w:eastAsia="zh-CN"/>
                    </w:rPr>
                    <w:t>厂排口</w:t>
                  </w:r>
                </w:p>
              </w:tc>
              <w:tc>
                <w:tcPr>
                  <w:tcW w:w="1763" w:type="pct"/>
                  <w:gridSpan w:val="3"/>
                  <w:shd w:val="clear" w:color="auto" w:fill="auto"/>
                  <w:vAlign w:val="center"/>
                </w:tcPr>
                <w:p w14:paraId="4036E6A8">
                  <w:pPr>
                    <w:spacing w:line="240" w:lineRule="auto"/>
                    <w:ind w:firstLine="0" w:firstLineChars="0"/>
                    <w:jc w:val="center"/>
                    <w:rPr>
                      <w:rFonts w:hint="default"/>
                      <w:b/>
                      <w:bCs/>
                      <w:snapToGrid w:val="0"/>
                      <w:color w:val="auto"/>
                      <w:sz w:val="21"/>
                      <w:szCs w:val="21"/>
                      <w:u w:val="single"/>
                      <w:lang w:val="en-US" w:eastAsia="zh-CN"/>
                    </w:rPr>
                  </w:pPr>
                  <w:r>
                    <w:rPr>
                      <w:rFonts w:hint="eastAsia"/>
                      <w:b/>
                      <w:bCs/>
                      <w:snapToGrid w:val="0"/>
                      <w:color w:val="auto"/>
                      <w:sz w:val="21"/>
                      <w:szCs w:val="21"/>
                      <w:u w:val="single"/>
                      <w:lang w:val="en-US" w:eastAsia="zh-CN"/>
                    </w:rPr>
                    <w:t>南乐县污水处理厂处理后</w:t>
                  </w:r>
                </w:p>
              </w:tc>
            </w:tr>
            <w:tr w14:paraId="5EFAB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11" w:type="pct"/>
                  <w:vMerge w:val="continue"/>
                  <w:shd w:val="clear" w:color="auto" w:fill="auto"/>
                  <w:vAlign w:val="center"/>
                </w:tcPr>
                <w:p w14:paraId="02467480">
                  <w:pPr>
                    <w:spacing w:line="240" w:lineRule="auto"/>
                    <w:ind w:firstLine="0" w:firstLineChars="0"/>
                    <w:jc w:val="center"/>
                    <w:rPr>
                      <w:b/>
                      <w:bCs/>
                      <w:snapToGrid w:val="0"/>
                      <w:color w:val="auto"/>
                      <w:sz w:val="21"/>
                      <w:szCs w:val="21"/>
                      <w:u w:val="single"/>
                    </w:rPr>
                  </w:pPr>
                </w:p>
              </w:tc>
              <w:tc>
                <w:tcPr>
                  <w:tcW w:w="714" w:type="pct"/>
                  <w:vMerge w:val="continue"/>
                  <w:shd w:val="clear" w:color="auto" w:fill="auto"/>
                  <w:vAlign w:val="center"/>
                </w:tcPr>
                <w:p w14:paraId="61FD7DFB">
                  <w:pPr>
                    <w:spacing w:line="240" w:lineRule="auto"/>
                    <w:ind w:firstLine="0" w:firstLineChars="0"/>
                    <w:jc w:val="center"/>
                    <w:rPr>
                      <w:rFonts w:hint="default" w:eastAsia="宋体"/>
                      <w:b/>
                      <w:bCs/>
                      <w:snapToGrid w:val="0"/>
                      <w:color w:val="auto"/>
                      <w:sz w:val="21"/>
                      <w:szCs w:val="21"/>
                      <w:u w:val="single"/>
                      <w:lang w:val="en-US" w:eastAsia="zh-CN"/>
                    </w:rPr>
                  </w:pPr>
                </w:p>
              </w:tc>
              <w:tc>
                <w:tcPr>
                  <w:tcW w:w="533" w:type="pct"/>
                  <w:vMerge w:val="continue"/>
                  <w:shd w:val="clear" w:color="auto" w:fill="auto"/>
                  <w:vAlign w:val="center"/>
                </w:tcPr>
                <w:p w14:paraId="286A48B3">
                  <w:pPr>
                    <w:spacing w:line="240" w:lineRule="auto"/>
                    <w:ind w:firstLine="0" w:firstLineChars="0"/>
                    <w:jc w:val="center"/>
                    <w:rPr>
                      <w:b/>
                      <w:bCs/>
                      <w:snapToGrid w:val="0"/>
                      <w:color w:val="auto"/>
                      <w:sz w:val="21"/>
                      <w:szCs w:val="21"/>
                      <w:u w:val="single"/>
                    </w:rPr>
                  </w:pPr>
                </w:p>
              </w:tc>
              <w:tc>
                <w:tcPr>
                  <w:tcW w:w="648" w:type="pct"/>
                  <w:shd w:val="clear" w:color="auto" w:fill="auto"/>
                  <w:vAlign w:val="center"/>
                </w:tcPr>
                <w:p w14:paraId="085EB7E7">
                  <w:pPr>
                    <w:spacing w:line="240" w:lineRule="auto"/>
                    <w:ind w:firstLine="0" w:firstLineChars="0"/>
                    <w:jc w:val="center"/>
                    <w:rPr>
                      <w:b/>
                      <w:bCs/>
                      <w:snapToGrid w:val="0"/>
                      <w:color w:val="auto"/>
                      <w:sz w:val="21"/>
                      <w:szCs w:val="21"/>
                      <w:u w:val="single"/>
                    </w:rPr>
                  </w:pPr>
                  <w:r>
                    <w:rPr>
                      <w:rFonts w:hint="eastAsia"/>
                      <w:b/>
                      <w:bCs/>
                      <w:snapToGrid w:val="0"/>
                      <w:color w:val="auto"/>
                      <w:sz w:val="21"/>
                      <w:szCs w:val="21"/>
                      <w:u w:val="single"/>
                    </w:rPr>
                    <w:t>排放浓度</w:t>
                  </w:r>
                  <w:r>
                    <w:rPr>
                      <w:b/>
                      <w:bCs/>
                      <w:color w:val="auto"/>
                      <w:sz w:val="21"/>
                      <w:szCs w:val="21"/>
                      <w:u w:val="single"/>
                    </w:rPr>
                    <w:t>mg/L</w:t>
                  </w:r>
                </w:p>
              </w:tc>
              <w:tc>
                <w:tcPr>
                  <w:tcW w:w="538" w:type="pct"/>
                  <w:shd w:val="clear" w:color="auto" w:fill="auto"/>
                  <w:vAlign w:val="center"/>
                </w:tcPr>
                <w:p w14:paraId="383FBF3C">
                  <w:pPr>
                    <w:spacing w:line="240" w:lineRule="auto"/>
                    <w:ind w:firstLine="0" w:firstLineChars="0"/>
                    <w:jc w:val="center"/>
                    <w:rPr>
                      <w:rFonts w:hint="eastAsia" w:eastAsia="宋体"/>
                      <w:b/>
                      <w:bCs/>
                      <w:snapToGrid w:val="0"/>
                      <w:color w:val="auto"/>
                      <w:sz w:val="21"/>
                      <w:szCs w:val="21"/>
                      <w:u w:val="single"/>
                      <w:lang w:eastAsia="zh-CN"/>
                    </w:rPr>
                  </w:pPr>
                  <w:r>
                    <w:rPr>
                      <w:rFonts w:hint="eastAsia"/>
                      <w:b/>
                      <w:bCs/>
                      <w:snapToGrid w:val="0"/>
                      <w:color w:val="auto"/>
                      <w:sz w:val="21"/>
                      <w:szCs w:val="21"/>
                      <w:u w:val="single"/>
                      <w:lang w:val="en-US" w:eastAsia="zh-CN"/>
                    </w:rPr>
                    <w:t>日</w:t>
                  </w:r>
                  <w:r>
                    <w:rPr>
                      <w:rFonts w:hint="eastAsia"/>
                      <w:b/>
                      <w:bCs/>
                      <w:snapToGrid w:val="0"/>
                      <w:color w:val="auto"/>
                      <w:sz w:val="21"/>
                      <w:szCs w:val="21"/>
                      <w:u w:val="single"/>
                    </w:rPr>
                    <w:t>排放量t/</w:t>
                  </w:r>
                  <w:r>
                    <w:rPr>
                      <w:rFonts w:hint="eastAsia"/>
                      <w:b/>
                      <w:bCs/>
                      <w:snapToGrid w:val="0"/>
                      <w:color w:val="auto"/>
                      <w:sz w:val="21"/>
                      <w:szCs w:val="21"/>
                      <w:u w:val="single"/>
                      <w:lang w:val="en-US" w:eastAsia="zh-CN"/>
                    </w:rPr>
                    <w:t>d</w:t>
                  </w:r>
                </w:p>
              </w:tc>
              <w:tc>
                <w:tcPr>
                  <w:tcW w:w="591" w:type="pct"/>
                  <w:shd w:val="clear" w:color="auto" w:fill="auto"/>
                  <w:vAlign w:val="center"/>
                </w:tcPr>
                <w:p w14:paraId="0101E532">
                  <w:pPr>
                    <w:spacing w:line="240" w:lineRule="auto"/>
                    <w:ind w:firstLine="0" w:firstLineChars="0"/>
                    <w:jc w:val="center"/>
                    <w:rPr>
                      <w:rFonts w:hint="default" w:eastAsia="宋体"/>
                      <w:b/>
                      <w:bCs/>
                      <w:snapToGrid w:val="0"/>
                      <w:color w:val="auto"/>
                      <w:sz w:val="21"/>
                      <w:szCs w:val="21"/>
                      <w:u w:val="single"/>
                      <w:lang w:val="en-US" w:eastAsia="zh-CN"/>
                    </w:rPr>
                  </w:pPr>
                  <w:r>
                    <w:rPr>
                      <w:rFonts w:hint="eastAsia"/>
                      <w:b/>
                      <w:bCs/>
                      <w:snapToGrid w:val="0"/>
                      <w:color w:val="auto"/>
                      <w:sz w:val="21"/>
                      <w:szCs w:val="21"/>
                      <w:u w:val="single"/>
                      <w:lang w:val="en-US" w:eastAsia="zh-CN"/>
                    </w:rPr>
                    <w:t>年排放量t/a</w:t>
                  </w:r>
                </w:p>
              </w:tc>
              <w:tc>
                <w:tcPr>
                  <w:tcW w:w="587" w:type="pct"/>
                  <w:shd w:val="clear" w:color="auto" w:fill="auto"/>
                  <w:vAlign w:val="center"/>
                </w:tcPr>
                <w:p w14:paraId="64CFC22E">
                  <w:pPr>
                    <w:spacing w:line="240" w:lineRule="auto"/>
                    <w:ind w:firstLine="0" w:firstLineChars="0"/>
                    <w:jc w:val="center"/>
                    <w:rPr>
                      <w:rFonts w:hint="eastAsia" w:ascii="Times New Roman" w:hAnsi="Times New Roman" w:eastAsia="宋体" w:cs="Times New Roman"/>
                      <w:b/>
                      <w:bCs/>
                      <w:snapToGrid w:val="0"/>
                      <w:color w:val="auto"/>
                      <w:kern w:val="2"/>
                      <w:sz w:val="21"/>
                      <w:szCs w:val="21"/>
                      <w:u w:val="single"/>
                      <w:lang w:val="en-US" w:eastAsia="zh-CN" w:bidi="ar-SA"/>
                    </w:rPr>
                  </w:pPr>
                  <w:r>
                    <w:rPr>
                      <w:rFonts w:hint="eastAsia"/>
                      <w:b/>
                      <w:bCs/>
                      <w:snapToGrid w:val="0"/>
                      <w:color w:val="auto"/>
                      <w:sz w:val="21"/>
                      <w:szCs w:val="21"/>
                      <w:u w:val="single"/>
                    </w:rPr>
                    <w:t>排放浓度</w:t>
                  </w:r>
                  <w:r>
                    <w:rPr>
                      <w:b/>
                      <w:bCs/>
                      <w:color w:val="auto"/>
                      <w:sz w:val="21"/>
                      <w:szCs w:val="21"/>
                      <w:u w:val="single"/>
                    </w:rPr>
                    <w:t>mg/L</w:t>
                  </w:r>
                </w:p>
              </w:tc>
              <w:tc>
                <w:tcPr>
                  <w:tcW w:w="587" w:type="pct"/>
                  <w:shd w:val="clear" w:color="auto" w:fill="auto"/>
                  <w:vAlign w:val="center"/>
                </w:tcPr>
                <w:p w14:paraId="4F4A1E96">
                  <w:pPr>
                    <w:spacing w:line="240" w:lineRule="auto"/>
                    <w:ind w:firstLine="0" w:firstLineChars="0"/>
                    <w:jc w:val="center"/>
                    <w:rPr>
                      <w:rFonts w:hint="eastAsia" w:ascii="Times New Roman" w:hAnsi="Times New Roman" w:eastAsia="宋体" w:cs="Times New Roman"/>
                      <w:b/>
                      <w:bCs/>
                      <w:snapToGrid w:val="0"/>
                      <w:color w:val="auto"/>
                      <w:kern w:val="2"/>
                      <w:sz w:val="21"/>
                      <w:szCs w:val="21"/>
                      <w:u w:val="single"/>
                      <w:lang w:val="en-US" w:eastAsia="zh-CN" w:bidi="ar-SA"/>
                    </w:rPr>
                  </w:pPr>
                  <w:r>
                    <w:rPr>
                      <w:rFonts w:hint="eastAsia"/>
                      <w:b/>
                      <w:bCs/>
                      <w:snapToGrid w:val="0"/>
                      <w:color w:val="auto"/>
                      <w:sz w:val="21"/>
                      <w:szCs w:val="21"/>
                      <w:u w:val="single"/>
                      <w:lang w:val="en-US" w:eastAsia="zh-CN"/>
                    </w:rPr>
                    <w:t>日</w:t>
                  </w:r>
                  <w:r>
                    <w:rPr>
                      <w:rFonts w:hint="eastAsia"/>
                      <w:b/>
                      <w:bCs/>
                      <w:snapToGrid w:val="0"/>
                      <w:color w:val="auto"/>
                      <w:sz w:val="21"/>
                      <w:szCs w:val="21"/>
                      <w:u w:val="single"/>
                    </w:rPr>
                    <w:t>排放量t/</w:t>
                  </w:r>
                  <w:r>
                    <w:rPr>
                      <w:rFonts w:hint="eastAsia"/>
                      <w:b/>
                      <w:bCs/>
                      <w:snapToGrid w:val="0"/>
                      <w:color w:val="auto"/>
                      <w:sz w:val="21"/>
                      <w:szCs w:val="21"/>
                      <w:u w:val="single"/>
                      <w:lang w:val="en-US" w:eastAsia="zh-CN"/>
                    </w:rPr>
                    <w:t>d</w:t>
                  </w:r>
                </w:p>
              </w:tc>
              <w:tc>
                <w:tcPr>
                  <w:tcW w:w="589" w:type="pct"/>
                  <w:shd w:val="clear" w:color="auto" w:fill="auto"/>
                  <w:vAlign w:val="center"/>
                </w:tcPr>
                <w:p w14:paraId="63D86106">
                  <w:pPr>
                    <w:spacing w:line="240" w:lineRule="auto"/>
                    <w:ind w:firstLine="0" w:firstLineChars="0"/>
                    <w:jc w:val="center"/>
                    <w:rPr>
                      <w:rFonts w:hint="eastAsia" w:ascii="Times New Roman" w:hAnsi="Times New Roman" w:eastAsia="宋体" w:cs="Times New Roman"/>
                      <w:b/>
                      <w:bCs/>
                      <w:snapToGrid w:val="0"/>
                      <w:color w:val="auto"/>
                      <w:kern w:val="2"/>
                      <w:sz w:val="21"/>
                      <w:szCs w:val="21"/>
                      <w:u w:val="single"/>
                      <w:lang w:val="en-US" w:eastAsia="zh-CN" w:bidi="ar-SA"/>
                    </w:rPr>
                  </w:pPr>
                  <w:r>
                    <w:rPr>
                      <w:rFonts w:hint="eastAsia"/>
                      <w:b/>
                      <w:bCs/>
                      <w:snapToGrid w:val="0"/>
                      <w:color w:val="auto"/>
                      <w:sz w:val="21"/>
                      <w:szCs w:val="21"/>
                      <w:u w:val="single"/>
                      <w:lang w:val="en-US" w:eastAsia="zh-CN"/>
                    </w:rPr>
                    <w:t>年排放量t/a</w:t>
                  </w:r>
                </w:p>
              </w:tc>
            </w:tr>
            <w:tr w14:paraId="7D4E7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11" w:type="pct"/>
                  <w:vMerge w:val="restart"/>
                  <w:shd w:val="clear" w:color="auto" w:fill="auto"/>
                  <w:vAlign w:val="center"/>
                </w:tcPr>
                <w:p w14:paraId="13FC00BD">
                  <w:pPr>
                    <w:spacing w:line="240" w:lineRule="auto"/>
                    <w:ind w:firstLine="0" w:firstLineChars="0"/>
                    <w:jc w:val="center"/>
                    <w:rPr>
                      <w:b/>
                      <w:bCs/>
                      <w:snapToGrid w:val="0"/>
                      <w:color w:val="auto"/>
                      <w:sz w:val="21"/>
                      <w:szCs w:val="21"/>
                      <w:u w:val="single"/>
                    </w:rPr>
                  </w:pPr>
                  <w:r>
                    <w:rPr>
                      <w:b/>
                      <w:bCs/>
                      <w:snapToGrid w:val="0"/>
                      <w:color w:val="auto"/>
                      <w:sz w:val="21"/>
                      <w:szCs w:val="21"/>
                      <w:u w:val="single"/>
                    </w:rPr>
                    <w:t>1</w:t>
                  </w:r>
                </w:p>
              </w:tc>
              <w:tc>
                <w:tcPr>
                  <w:tcW w:w="714" w:type="pct"/>
                  <w:vMerge w:val="restart"/>
                  <w:shd w:val="clear" w:color="auto" w:fill="auto"/>
                  <w:vAlign w:val="center"/>
                </w:tcPr>
                <w:p w14:paraId="4FF049C8">
                  <w:pPr>
                    <w:spacing w:line="240" w:lineRule="auto"/>
                    <w:ind w:firstLine="0" w:firstLineChars="0"/>
                    <w:jc w:val="center"/>
                    <w:rPr>
                      <w:rFonts w:hint="default" w:eastAsia="宋体"/>
                      <w:b/>
                      <w:bCs/>
                      <w:color w:val="auto"/>
                      <w:sz w:val="21"/>
                      <w:szCs w:val="21"/>
                      <w:u w:val="single"/>
                      <w:lang w:val="en-US" w:eastAsia="zh-CN"/>
                    </w:rPr>
                  </w:pPr>
                  <w:r>
                    <w:rPr>
                      <w:rFonts w:hint="eastAsia"/>
                      <w:b/>
                      <w:bCs/>
                      <w:snapToGrid w:val="0"/>
                      <w:color w:val="auto"/>
                      <w:sz w:val="21"/>
                      <w:szCs w:val="21"/>
                      <w:u w:val="single"/>
                      <w:lang w:val="en-US" w:eastAsia="zh-CN"/>
                    </w:rPr>
                    <w:t>DW001</w:t>
                  </w:r>
                </w:p>
              </w:tc>
              <w:tc>
                <w:tcPr>
                  <w:tcW w:w="533" w:type="pct"/>
                  <w:shd w:val="clear" w:color="auto" w:fill="auto"/>
                  <w:vAlign w:val="center"/>
                </w:tcPr>
                <w:p w14:paraId="6863335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u w:val="single"/>
                      <w:vertAlign w:val="baseline"/>
                      <w:lang w:val="en-US" w:eastAsia="zh-CN" w:bidi="ar-SA"/>
                    </w:rPr>
                  </w:pPr>
                  <w:r>
                    <w:rPr>
                      <w:rFonts w:hint="eastAsia"/>
                      <w:b/>
                      <w:bCs/>
                      <w:color w:val="auto"/>
                      <w:sz w:val="21"/>
                      <w:szCs w:val="21"/>
                      <w:u w:val="single"/>
                      <w:vertAlign w:val="baseline"/>
                      <w:lang w:val="en-US" w:eastAsia="zh-CN"/>
                    </w:rPr>
                    <w:t>pH</w:t>
                  </w:r>
                </w:p>
              </w:tc>
              <w:tc>
                <w:tcPr>
                  <w:tcW w:w="648" w:type="pct"/>
                  <w:shd w:val="clear" w:color="auto" w:fill="auto"/>
                  <w:vAlign w:val="center"/>
                </w:tcPr>
                <w:p w14:paraId="2CE638EB">
                  <w:pPr>
                    <w:widowControl/>
                    <w:spacing w:line="240" w:lineRule="auto"/>
                    <w:ind w:firstLine="0" w:firstLineChars="0"/>
                    <w:jc w:val="center"/>
                    <w:textAlignment w:val="center"/>
                    <w:rPr>
                      <w:rFonts w:hint="default" w:eastAsia="宋体"/>
                      <w:b/>
                      <w:bCs/>
                      <w:snapToGrid w:val="0"/>
                      <w:color w:val="auto"/>
                      <w:sz w:val="21"/>
                      <w:szCs w:val="21"/>
                      <w:u w:val="single"/>
                      <w:lang w:val="en-US" w:eastAsia="zh-CN"/>
                    </w:rPr>
                  </w:pPr>
                  <w:r>
                    <w:rPr>
                      <w:rFonts w:hint="eastAsia"/>
                      <w:b/>
                      <w:bCs/>
                      <w:snapToGrid w:val="0"/>
                      <w:color w:val="auto"/>
                      <w:sz w:val="21"/>
                      <w:szCs w:val="21"/>
                      <w:u w:val="single"/>
                      <w:lang w:val="en-US" w:eastAsia="zh-CN"/>
                    </w:rPr>
                    <w:t>6~9</w:t>
                  </w:r>
                </w:p>
              </w:tc>
              <w:tc>
                <w:tcPr>
                  <w:tcW w:w="538" w:type="pct"/>
                  <w:shd w:val="clear" w:color="auto" w:fill="auto"/>
                  <w:vAlign w:val="center"/>
                </w:tcPr>
                <w:p w14:paraId="4135452C">
                  <w:pPr>
                    <w:widowControl/>
                    <w:spacing w:line="240" w:lineRule="auto"/>
                    <w:ind w:firstLine="0" w:firstLineChars="0"/>
                    <w:jc w:val="center"/>
                    <w:textAlignment w:val="center"/>
                    <w:rPr>
                      <w:rFonts w:hint="eastAsia" w:eastAsia="宋体"/>
                      <w:b/>
                      <w:bCs/>
                      <w:snapToGrid w:val="0"/>
                      <w:color w:val="auto"/>
                      <w:sz w:val="21"/>
                      <w:szCs w:val="21"/>
                      <w:u w:val="single"/>
                      <w:lang w:val="en-US" w:eastAsia="zh-CN"/>
                    </w:rPr>
                  </w:pPr>
                  <w:r>
                    <w:rPr>
                      <w:rFonts w:hint="eastAsia"/>
                      <w:b/>
                      <w:bCs/>
                      <w:snapToGrid w:val="0"/>
                      <w:color w:val="auto"/>
                      <w:sz w:val="21"/>
                      <w:szCs w:val="21"/>
                      <w:u w:val="single"/>
                      <w:lang w:val="en-US" w:eastAsia="zh-CN"/>
                    </w:rPr>
                    <w:t>/</w:t>
                  </w:r>
                </w:p>
              </w:tc>
              <w:tc>
                <w:tcPr>
                  <w:tcW w:w="591" w:type="pct"/>
                  <w:shd w:val="clear" w:color="auto" w:fill="auto"/>
                  <w:vAlign w:val="center"/>
                </w:tcPr>
                <w:p w14:paraId="134563E3">
                  <w:pPr>
                    <w:spacing w:line="240" w:lineRule="auto"/>
                    <w:ind w:firstLine="0" w:firstLineChars="0"/>
                    <w:jc w:val="center"/>
                    <w:rPr>
                      <w:rFonts w:hint="eastAsia" w:eastAsia="宋体"/>
                      <w:b/>
                      <w:bCs/>
                      <w:snapToGrid w:val="0"/>
                      <w:color w:val="auto"/>
                      <w:sz w:val="21"/>
                      <w:szCs w:val="21"/>
                      <w:u w:val="single"/>
                      <w:lang w:val="en-US" w:eastAsia="zh-CN"/>
                    </w:rPr>
                  </w:pPr>
                  <w:r>
                    <w:rPr>
                      <w:rFonts w:hint="eastAsia"/>
                      <w:b/>
                      <w:bCs/>
                      <w:snapToGrid w:val="0"/>
                      <w:color w:val="auto"/>
                      <w:sz w:val="21"/>
                      <w:szCs w:val="21"/>
                      <w:u w:val="single"/>
                      <w:lang w:val="en-US" w:eastAsia="zh-CN"/>
                    </w:rPr>
                    <w:t>/</w:t>
                  </w:r>
                </w:p>
              </w:tc>
              <w:tc>
                <w:tcPr>
                  <w:tcW w:w="587" w:type="pct"/>
                  <w:shd w:val="clear" w:color="auto" w:fill="auto"/>
                  <w:vAlign w:val="center"/>
                </w:tcPr>
                <w:p w14:paraId="54910F5C">
                  <w:pPr>
                    <w:widowControl/>
                    <w:spacing w:line="240" w:lineRule="auto"/>
                    <w:ind w:firstLine="0" w:firstLineChars="0"/>
                    <w:jc w:val="center"/>
                    <w:textAlignment w:val="center"/>
                    <w:rPr>
                      <w:rFonts w:hint="eastAsia" w:ascii="Times New Roman" w:hAnsi="Times New Roman" w:eastAsia="宋体" w:cs="Times New Roman"/>
                      <w:b/>
                      <w:bCs/>
                      <w:snapToGrid w:val="0"/>
                      <w:color w:val="auto"/>
                      <w:kern w:val="2"/>
                      <w:sz w:val="21"/>
                      <w:szCs w:val="21"/>
                      <w:u w:val="single"/>
                      <w:lang w:val="en-US" w:eastAsia="zh-CN" w:bidi="ar-SA"/>
                    </w:rPr>
                  </w:pPr>
                  <w:r>
                    <w:rPr>
                      <w:rFonts w:hint="eastAsia"/>
                      <w:b/>
                      <w:bCs/>
                      <w:snapToGrid w:val="0"/>
                      <w:color w:val="auto"/>
                      <w:sz w:val="21"/>
                      <w:szCs w:val="21"/>
                      <w:u w:val="single"/>
                      <w:lang w:val="en-US" w:eastAsia="zh-CN"/>
                    </w:rPr>
                    <w:t>6~9</w:t>
                  </w:r>
                </w:p>
              </w:tc>
              <w:tc>
                <w:tcPr>
                  <w:tcW w:w="587" w:type="pct"/>
                  <w:shd w:val="clear" w:color="auto" w:fill="auto"/>
                  <w:vAlign w:val="center"/>
                </w:tcPr>
                <w:p w14:paraId="06B1BC6D">
                  <w:pPr>
                    <w:widowControl/>
                    <w:spacing w:line="240" w:lineRule="auto"/>
                    <w:ind w:firstLine="0" w:firstLineChars="0"/>
                    <w:jc w:val="center"/>
                    <w:textAlignment w:val="center"/>
                    <w:rPr>
                      <w:rFonts w:hint="eastAsia" w:ascii="Times New Roman" w:hAnsi="Times New Roman" w:eastAsia="宋体" w:cs="Times New Roman"/>
                      <w:b/>
                      <w:bCs/>
                      <w:snapToGrid w:val="0"/>
                      <w:color w:val="auto"/>
                      <w:kern w:val="2"/>
                      <w:sz w:val="21"/>
                      <w:szCs w:val="21"/>
                      <w:u w:val="single"/>
                      <w:lang w:val="en-US" w:eastAsia="zh-CN" w:bidi="ar-SA"/>
                    </w:rPr>
                  </w:pPr>
                  <w:r>
                    <w:rPr>
                      <w:rFonts w:hint="eastAsia"/>
                      <w:b/>
                      <w:bCs/>
                      <w:snapToGrid w:val="0"/>
                      <w:color w:val="auto"/>
                      <w:sz w:val="21"/>
                      <w:szCs w:val="21"/>
                      <w:u w:val="single"/>
                      <w:lang w:val="en-US" w:eastAsia="zh-CN"/>
                    </w:rPr>
                    <w:t>/</w:t>
                  </w:r>
                </w:p>
              </w:tc>
              <w:tc>
                <w:tcPr>
                  <w:tcW w:w="589" w:type="pct"/>
                  <w:shd w:val="clear" w:color="auto" w:fill="auto"/>
                  <w:vAlign w:val="center"/>
                </w:tcPr>
                <w:p w14:paraId="4731741F">
                  <w:pPr>
                    <w:spacing w:line="240" w:lineRule="auto"/>
                    <w:ind w:firstLine="0" w:firstLineChars="0"/>
                    <w:jc w:val="center"/>
                    <w:rPr>
                      <w:rFonts w:hint="eastAsia" w:ascii="Times New Roman" w:hAnsi="Times New Roman" w:eastAsia="宋体" w:cs="Times New Roman"/>
                      <w:b/>
                      <w:bCs/>
                      <w:snapToGrid w:val="0"/>
                      <w:color w:val="auto"/>
                      <w:kern w:val="2"/>
                      <w:sz w:val="21"/>
                      <w:szCs w:val="21"/>
                      <w:u w:val="single"/>
                      <w:lang w:val="en-US" w:eastAsia="zh-CN" w:bidi="ar-SA"/>
                    </w:rPr>
                  </w:pPr>
                  <w:r>
                    <w:rPr>
                      <w:rFonts w:hint="eastAsia"/>
                      <w:b/>
                      <w:bCs/>
                      <w:snapToGrid w:val="0"/>
                      <w:color w:val="auto"/>
                      <w:sz w:val="21"/>
                      <w:szCs w:val="21"/>
                      <w:u w:val="single"/>
                      <w:lang w:val="en-US" w:eastAsia="zh-CN"/>
                    </w:rPr>
                    <w:t>/</w:t>
                  </w:r>
                </w:p>
              </w:tc>
            </w:tr>
            <w:tr w14:paraId="412D5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11" w:type="pct"/>
                  <w:vMerge w:val="continue"/>
                  <w:shd w:val="clear" w:color="auto" w:fill="auto"/>
                  <w:vAlign w:val="center"/>
                </w:tcPr>
                <w:p w14:paraId="6492C211">
                  <w:pPr>
                    <w:spacing w:line="240" w:lineRule="auto"/>
                    <w:ind w:firstLine="0" w:firstLineChars="0"/>
                    <w:jc w:val="center"/>
                    <w:rPr>
                      <w:b/>
                      <w:bCs/>
                      <w:snapToGrid w:val="0"/>
                      <w:color w:val="auto"/>
                      <w:sz w:val="21"/>
                      <w:szCs w:val="21"/>
                      <w:u w:val="single"/>
                    </w:rPr>
                  </w:pPr>
                </w:p>
              </w:tc>
              <w:tc>
                <w:tcPr>
                  <w:tcW w:w="714" w:type="pct"/>
                  <w:vMerge w:val="continue"/>
                  <w:shd w:val="clear" w:color="auto" w:fill="auto"/>
                  <w:vAlign w:val="center"/>
                </w:tcPr>
                <w:p w14:paraId="78E49F24">
                  <w:pPr>
                    <w:spacing w:line="240" w:lineRule="auto"/>
                    <w:ind w:firstLine="0" w:firstLineChars="0"/>
                    <w:jc w:val="center"/>
                    <w:rPr>
                      <w:b/>
                      <w:bCs/>
                      <w:color w:val="auto"/>
                      <w:sz w:val="21"/>
                      <w:szCs w:val="21"/>
                      <w:u w:val="single"/>
                    </w:rPr>
                  </w:pPr>
                </w:p>
              </w:tc>
              <w:tc>
                <w:tcPr>
                  <w:tcW w:w="533" w:type="pct"/>
                  <w:shd w:val="clear" w:color="auto" w:fill="auto"/>
                  <w:vAlign w:val="center"/>
                </w:tcPr>
                <w:p w14:paraId="524035A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u w:val="single"/>
                      <w:vertAlign w:val="baseline"/>
                      <w:lang w:val="en-US" w:eastAsia="zh-CN" w:bidi="ar-SA"/>
                    </w:rPr>
                  </w:pPr>
                  <w:r>
                    <w:rPr>
                      <w:rFonts w:hint="eastAsia"/>
                      <w:b/>
                      <w:bCs/>
                      <w:color w:val="auto"/>
                      <w:sz w:val="21"/>
                      <w:szCs w:val="21"/>
                      <w:u w:val="single"/>
                      <w:vertAlign w:val="baseline"/>
                      <w:lang w:val="en-US" w:eastAsia="zh-CN"/>
                    </w:rPr>
                    <w:t>COD</w:t>
                  </w:r>
                </w:p>
              </w:tc>
              <w:tc>
                <w:tcPr>
                  <w:tcW w:w="648" w:type="pct"/>
                  <w:shd w:val="clear" w:color="auto" w:fill="auto"/>
                  <w:vAlign w:val="center"/>
                </w:tcPr>
                <w:p w14:paraId="17577FFD">
                  <w:pPr>
                    <w:spacing w:line="240" w:lineRule="auto"/>
                    <w:ind w:firstLine="0" w:firstLineChars="0"/>
                    <w:jc w:val="center"/>
                    <w:rPr>
                      <w:rFonts w:hint="eastAsia" w:ascii="Times New Roman" w:hAnsi="Times New Roman" w:eastAsia="宋体" w:cs="Times New Roman"/>
                      <w:b/>
                      <w:bCs/>
                      <w:color w:val="auto"/>
                      <w:sz w:val="24"/>
                      <w:szCs w:val="24"/>
                      <w:u w:val="single"/>
                      <w:lang w:val="en-US" w:eastAsia="zh-CN"/>
                    </w:rPr>
                  </w:pPr>
                  <w:r>
                    <w:rPr>
                      <w:rFonts w:hint="eastAsia" w:ascii="Times New Roman" w:hAnsi="Times New Roman" w:eastAsia="宋体" w:cs="Times New Roman"/>
                      <w:b/>
                      <w:bCs/>
                      <w:color w:val="auto"/>
                      <w:sz w:val="24"/>
                      <w:szCs w:val="24"/>
                      <w:u w:val="single"/>
                      <w:lang w:val="en-US" w:eastAsia="zh-CN"/>
                    </w:rPr>
                    <w:t>93.</w:t>
                  </w:r>
                  <w:r>
                    <w:rPr>
                      <w:rFonts w:hint="eastAsia" w:cs="Times New Roman"/>
                      <w:b/>
                      <w:bCs/>
                      <w:color w:val="auto"/>
                      <w:sz w:val="24"/>
                      <w:szCs w:val="24"/>
                      <w:u w:val="single"/>
                      <w:lang w:val="en-US" w:eastAsia="zh-CN"/>
                    </w:rPr>
                    <w:t>4</w:t>
                  </w:r>
                </w:p>
              </w:tc>
              <w:tc>
                <w:tcPr>
                  <w:tcW w:w="538" w:type="pct"/>
                  <w:shd w:val="clear" w:color="auto" w:fill="auto"/>
                  <w:vAlign w:val="center"/>
                </w:tcPr>
                <w:p w14:paraId="58848817">
                  <w:pPr>
                    <w:spacing w:line="240" w:lineRule="auto"/>
                    <w:ind w:firstLine="0" w:firstLineChars="0"/>
                    <w:jc w:val="center"/>
                    <w:rPr>
                      <w:rFonts w:hint="eastAsia" w:ascii="Times New Roman" w:hAnsi="Times New Roman" w:eastAsia="宋体" w:cs="Times New Roman"/>
                      <w:b/>
                      <w:bCs/>
                      <w:color w:val="auto"/>
                      <w:sz w:val="24"/>
                      <w:szCs w:val="24"/>
                      <w:u w:val="single"/>
                      <w:lang w:val="en-US" w:eastAsia="zh-CN"/>
                    </w:rPr>
                  </w:pPr>
                  <w:r>
                    <w:rPr>
                      <w:rFonts w:hint="eastAsia" w:ascii="Times New Roman" w:hAnsi="Times New Roman" w:eastAsia="宋体" w:cs="Times New Roman"/>
                      <w:b/>
                      <w:bCs/>
                      <w:color w:val="auto"/>
                      <w:sz w:val="24"/>
                      <w:szCs w:val="24"/>
                      <w:u w:val="single"/>
                      <w:lang w:val="en-US" w:eastAsia="zh-CN"/>
                    </w:rPr>
                    <w:t>0.0164</w:t>
                  </w:r>
                </w:p>
              </w:tc>
              <w:tc>
                <w:tcPr>
                  <w:tcW w:w="591" w:type="pct"/>
                  <w:shd w:val="clear" w:color="auto" w:fill="auto"/>
                  <w:vAlign w:val="center"/>
                </w:tcPr>
                <w:p w14:paraId="7E81F42D">
                  <w:pPr>
                    <w:spacing w:line="240" w:lineRule="auto"/>
                    <w:ind w:firstLine="0" w:firstLineChars="0"/>
                    <w:jc w:val="center"/>
                    <w:rPr>
                      <w:rFonts w:hint="default"/>
                      <w:b/>
                      <w:bCs/>
                      <w:snapToGrid w:val="0"/>
                      <w:color w:val="auto"/>
                      <w:sz w:val="21"/>
                      <w:szCs w:val="21"/>
                      <w:u w:val="single"/>
                      <w:lang w:val="en-US"/>
                    </w:rPr>
                  </w:pPr>
                  <w:r>
                    <w:rPr>
                      <w:rFonts w:hint="eastAsia" w:ascii="Times New Roman" w:hAnsi="Times New Roman" w:eastAsia="宋体" w:cs="Times New Roman"/>
                      <w:b/>
                      <w:bCs/>
                      <w:color w:val="auto"/>
                      <w:sz w:val="24"/>
                      <w:szCs w:val="24"/>
                      <w:u w:val="single"/>
                      <w:lang w:val="en-US" w:eastAsia="zh-CN"/>
                    </w:rPr>
                    <w:t>5.2</w:t>
                  </w:r>
                  <w:r>
                    <w:rPr>
                      <w:rFonts w:hint="eastAsia" w:cs="Times New Roman"/>
                      <w:b/>
                      <w:bCs/>
                      <w:color w:val="auto"/>
                      <w:sz w:val="24"/>
                      <w:szCs w:val="24"/>
                      <w:u w:val="single"/>
                      <w:lang w:val="en-US" w:eastAsia="zh-CN"/>
                    </w:rPr>
                    <w:t>507</w:t>
                  </w:r>
                </w:p>
              </w:tc>
              <w:tc>
                <w:tcPr>
                  <w:tcW w:w="587" w:type="pct"/>
                  <w:shd w:val="clear" w:color="auto" w:fill="auto"/>
                  <w:vAlign w:val="center"/>
                </w:tcPr>
                <w:p w14:paraId="5AA020BA">
                  <w:pPr>
                    <w:widowControl/>
                    <w:spacing w:line="240" w:lineRule="auto"/>
                    <w:ind w:firstLine="0" w:firstLineChars="0"/>
                    <w:jc w:val="center"/>
                    <w:textAlignment w:val="center"/>
                    <w:rPr>
                      <w:rFonts w:hint="eastAsia" w:ascii="Times New Roman" w:hAnsi="Times New Roman" w:eastAsia="宋体" w:cs="Times New Roman"/>
                      <w:b/>
                      <w:bCs/>
                      <w:color w:val="auto"/>
                      <w:kern w:val="0"/>
                      <w:sz w:val="21"/>
                      <w:szCs w:val="21"/>
                      <w:u w:val="single"/>
                      <w:lang w:val="en-US" w:eastAsia="zh-CN" w:bidi="ar"/>
                    </w:rPr>
                  </w:pPr>
                  <w:r>
                    <w:rPr>
                      <w:rFonts w:hint="eastAsia"/>
                      <w:b/>
                      <w:bCs/>
                      <w:color w:val="auto"/>
                      <w:kern w:val="0"/>
                      <w:sz w:val="21"/>
                      <w:szCs w:val="21"/>
                      <w:u w:val="single"/>
                      <w:lang w:val="en-US" w:eastAsia="zh-CN" w:bidi="ar"/>
                    </w:rPr>
                    <w:t>40</w:t>
                  </w:r>
                </w:p>
              </w:tc>
              <w:tc>
                <w:tcPr>
                  <w:tcW w:w="587" w:type="pct"/>
                  <w:shd w:val="clear" w:color="auto" w:fill="auto"/>
                  <w:vAlign w:val="center"/>
                </w:tcPr>
                <w:p w14:paraId="23B7C6B7">
                  <w:pPr>
                    <w:spacing w:line="240" w:lineRule="auto"/>
                    <w:ind w:firstLine="0" w:firstLineChars="0"/>
                    <w:jc w:val="center"/>
                    <w:rPr>
                      <w:rFonts w:hint="eastAsia" w:ascii="Times New Roman" w:hAnsi="Times New Roman" w:eastAsia="宋体" w:cs="Times New Roman"/>
                      <w:b/>
                      <w:bCs/>
                      <w:color w:val="auto"/>
                      <w:sz w:val="24"/>
                      <w:szCs w:val="24"/>
                      <w:u w:val="single"/>
                      <w:lang w:val="en-US" w:eastAsia="zh-CN"/>
                    </w:rPr>
                  </w:pPr>
                  <w:r>
                    <w:rPr>
                      <w:rFonts w:hint="eastAsia" w:ascii="Times New Roman" w:hAnsi="Times New Roman" w:eastAsia="宋体" w:cs="Times New Roman"/>
                      <w:b/>
                      <w:bCs/>
                      <w:color w:val="auto"/>
                      <w:sz w:val="24"/>
                      <w:szCs w:val="24"/>
                      <w:u w:val="single"/>
                      <w:lang w:val="en-US" w:eastAsia="zh-CN"/>
                    </w:rPr>
                    <w:t>0.0070</w:t>
                  </w:r>
                </w:p>
              </w:tc>
              <w:tc>
                <w:tcPr>
                  <w:tcW w:w="589" w:type="pct"/>
                  <w:shd w:val="clear" w:color="auto" w:fill="auto"/>
                  <w:vAlign w:val="center"/>
                </w:tcPr>
                <w:p w14:paraId="3F1A58C2">
                  <w:pPr>
                    <w:spacing w:line="240" w:lineRule="auto"/>
                    <w:ind w:firstLine="0" w:firstLineChars="0"/>
                    <w:jc w:val="center"/>
                    <w:rPr>
                      <w:rFonts w:hint="default" w:ascii="Times New Roman" w:hAnsi="Times New Roman" w:eastAsia="宋体" w:cs="Times New Roman"/>
                      <w:b/>
                      <w:bCs/>
                      <w:color w:val="auto"/>
                      <w:sz w:val="24"/>
                      <w:szCs w:val="24"/>
                      <w:u w:val="single"/>
                      <w:lang w:val="en-US" w:eastAsia="zh-CN"/>
                    </w:rPr>
                  </w:pPr>
                  <w:r>
                    <w:rPr>
                      <w:rFonts w:hint="eastAsia" w:ascii="Times New Roman" w:hAnsi="Times New Roman" w:eastAsia="宋体" w:cs="Times New Roman"/>
                      <w:b/>
                      <w:bCs/>
                      <w:color w:val="auto"/>
                      <w:sz w:val="24"/>
                      <w:szCs w:val="24"/>
                      <w:u w:val="single"/>
                      <w:lang w:val="en-US" w:eastAsia="zh-CN"/>
                    </w:rPr>
                    <w:t>2.24</w:t>
                  </w:r>
                  <w:r>
                    <w:rPr>
                      <w:rFonts w:hint="eastAsia" w:cs="Times New Roman"/>
                      <w:b/>
                      <w:bCs/>
                      <w:color w:val="auto"/>
                      <w:sz w:val="24"/>
                      <w:szCs w:val="24"/>
                      <w:u w:val="single"/>
                      <w:lang w:val="en-US" w:eastAsia="zh-CN"/>
                    </w:rPr>
                    <w:t>74</w:t>
                  </w:r>
                </w:p>
              </w:tc>
            </w:tr>
            <w:tr w14:paraId="532B9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11" w:type="pct"/>
                  <w:vMerge w:val="continue"/>
                  <w:shd w:val="clear" w:color="auto" w:fill="auto"/>
                  <w:vAlign w:val="center"/>
                </w:tcPr>
                <w:p w14:paraId="4655B31E">
                  <w:pPr>
                    <w:spacing w:line="240" w:lineRule="auto"/>
                    <w:ind w:firstLine="0" w:firstLineChars="0"/>
                    <w:jc w:val="center"/>
                    <w:rPr>
                      <w:b/>
                      <w:bCs/>
                      <w:snapToGrid w:val="0"/>
                      <w:color w:val="auto"/>
                      <w:sz w:val="21"/>
                      <w:szCs w:val="21"/>
                      <w:u w:val="single"/>
                    </w:rPr>
                  </w:pPr>
                </w:p>
              </w:tc>
              <w:tc>
                <w:tcPr>
                  <w:tcW w:w="714" w:type="pct"/>
                  <w:vMerge w:val="continue"/>
                  <w:shd w:val="clear" w:color="auto" w:fill="auto"/>
                  <w:vAlign w:val="center"/>
                </w:tcPr>
                <w:p w14:paraId="097AD8A7">
                  <w:pPr>
                    <w:spacing w:line="240" w:lineRule="auto"/>
                    <w:ind w:firstLine="0" w:firstLineChars="0"/>
                    <w:jc w:val="center"/>
                    <w:rPr>
                      <w:b/>
                      <w:bCs/>
                      <w:color w:val="auto"/>
                      <w:sz w:val="21"/>
                      <w:szCs w:val="21"/>
                      <w:u w:val="single"/>
                    </w:rPr>
                  </w:pPr>
                </w:p>
              </w:tc>
              <w:tc>
                <w:tcPr>
                  <w:tcW w:w="533" w:type="pct"/>
                  <w:shd w:val="clear" w:color="auto" w:fill="auto"/>
                  <w:vAlign w:val="center"/>
                </w:tcPr>
                <w:p w14:paraId="10F71DC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u w:val="single"/>
                      <w:vertAlign w:val="baseline"/>
                      <w:lang w:val="en-US" w:eastAsia="zh-CN" w:bidi="ar-SA"/>
                    </w:rPr>
                  </w:pPr>
                  <w:r>
                    <w:rPr>
                      <w:rFonts w:hint="eastAsia"/>
                      <w:b/>
                      <w:bCs/>
                      <w:color w:val="auto"/>
                      <w:sz w:val="21"/>
                      <w:szCs w:val="21"/>
                      <w:u w:val="single"/>
                      <w:vertAlign w:val="baseline"/>
                      <w:lang w:val="en-US" w:eastAsia="zh-CN"/>
                    </w:rPr>
                    <w:t>BOD5</w:t>
                  </w:r>
                </w:p>
              </w:tc>
              <w:tc>
                <w:tcPr>
                  <w:tcW w:w="648" w:type="pct"/>
                  <w:shd w:val="clear" w:color="auto" w:fill="auto"/>
                  <w:vAlign w:val="center"/>
                </w:tcPr>
                <w:p w14:paraId="29CAB244">
                  <w:pPr>
                    <w:spacing w:line="240" w:lineRule="auto"/>
                    <w:ind w:firstLine="0" w:firstLineChars="0"/>
                    <w:jc w:val="center"/>
                    <w:rPr>
                      <w:rFonts w:hint="eastAsia" w:ascii="Times New Roman" w:hAnsi="Times New Roman" w:eastAsia="宋体" w:cs="Times New Roman"/>
                      <w:b/>
                      <w:bCs/>
                      <w:color w:val="auto"/>
                      <w:sz w:val="24"/>
                      <w:szCs w:val="24"/>
                      <w:u w:val="single"/>
                      <w:lang w:val="en-US" w:eastAsia="zh-CN"/>
                    </w:rPr>
                  </w:pPr>
                  <w:r>
                    <w:rPr>
                      <w:rFonts w:hint="eastAsia" w:cs="Times New Roman"/>
                      <w:b/>
                      <w:bCs/>
                      <w:color w:val="auto"/>
                      <w:sz w:val="24"/>
                      <w:szCs w:val="24"/>
                      <w:u w:val="single"/>
                      <w:lang w:val="en-US" w:eastAsia="zh-CN"/>
                    </w:rPr>
                    <w:t>1</w:t>
                  </w:r>
                  <w:r>
                    <w:rPr>
                      <w:rFonts w:hint="eastAsia" w:ascii="Times New Roman" w:hAnsi="Times New Roman" w:eastAsia="宋体" w:cs="Times New Roman"/>
                      <w:b/>
                      <w:bCs/>
                      <w:color w:val="auto"/>
                      <w:sz w:val="24"/>
                      <w:szCs w:val="24"/>
                      <w:u w:val="single"/>
                      <w:lang w:val="en-US" w:eastAsia="zh-CN"/>
                    </w:rPr>
                    <w:t>4.8</w:t>
                  </w:r>
                </w:p>
              </w:tc>
              <w:tc>
                <w:tcPr>
                  <w:tcW w:w="538" w:type="pct"/>
                  <w:shd w:val="clear" w:color="auto" w:fill="auto"/>
                  <w:vAlign w:val="center"/>
                </w:tcPr>
                <w:p w14:paraId="0237E94A">
                  <w:pPr>
                    <w:spacing w:line="240" w:lineRule="auto"/>
                    <w:ind w:firstLine="0" w:firstLineChars="0"/>
                    <w:jc w:val="center"/>
                    <w:rPr>
                      <w:rFonts w:hint="eastAsia" w:ascii="Times New Roman" w:hAnsi="Times New Roman" w:eastAsia="宋体" w:cs="Times New Roman"/>
                      <w:b/>
                      <w:bCs/>
                      <w:color w:val="auto"/>
                      <w:sz w:val="24"/>
                      <w:szCs w:val="24"/>
                      <w:u w:val="single"/>
                      <w:lang w:val="en-US" w:eastAsia="zh-CN"/>
                    </w:rPr>
                  </w:pPr>
                  <w:r>
                    <w:rPr>
                      <w:rFonts w:hint="eastAsia" w:ascii="Times New Roman" w:hAnsi="Times New Roman" w:eastAsia="宋体" w:cs="Times New Roman"/>
                      <w:b/>
                      <w:bCs/>
                      <w:color w:val="auto"/>
                      <w:sz w:val="24"/>
                      <w:szCs w:val="24"/>
                      <w:u w:val="single"/>
                      <w:lang w:val="en-US" w:eastAsia="zh-CN"/>
                    </w:rPr>
                    <w:t>0.002</w:t>
                  </w:r>
                  <w:r>
                    <w:rPr>
                      <w:rFonts w:hint="eastAsia" w:cs="Times New Roman"/>
                      <w:b/>
                      <w:bCs/>
                      <w:color w:val="auto"/>
                      <w:sz w:val="24"/>
                      <w:szCs w:val="24"/>
                      <w:u w:val="single"/>
                      <w:lang w:val="en-US" w:eastAsia="zh-CN"/>
                    </w:rPr>
                    <w:t>5</w:t>
                  </w:r>
                </w:p>
              </w:tc>
              <w:tc>
                <w:tcPr>
                  <w:tcW w:w="591" w:type="pct"/>
                  <w:shd w:val="clear" w:color="auto" w:fill="auto"/>
                  <w:vAlign w:val="center"/>
                </w:tcPr>
                <w:p w14:paraId="10BF92F1">
                  <w:pPr>
                    <w:spacing w:line="240" w:lineRule="auto"/>
                    <w:ind w:firstLine="0" w:firstLineChars="0"/>
                    <w:jc w:val="center"/>
                    <w:rPr>
                      <w:rFonts w:hint="default"/>
                      <w:b/>
                      <w:bCs/>
                      <w:snapToGrid w:val="0"/>
                      <w:color w:val="auto"/>
                      <w:sz w:val="21"/>
                      <w:szCs w:val="21"/>
                      <w:u w:val="single"/>
                      <w:lang w:val="en-US"/>
                    </w:rPr>
                  </w:pPr>
                  <w:r>
                    <w:rPr>
                      <w:rFonts w:hint="eastAsia" w:ascii="Times New Roman" w:hAnsi="Times New Roman" w:eastAsia="宋体" w:cs="Times New Roman"/>
                      <w:b/>
                      <w:bCs/>
                      <w:color w:val="auto"/>
                      <w:sz w:val="24"/>
                      <w:szCs w:val="24"/>
                      <w:u w:val="single"/>
                      <w:lang w:val="en-US" w:eastAsia="zh-CN"/>
                    </w:rPr>
                    <w:t>0.83</w:t>
                  </w:r>
                  <w:r>
                    <w:rPr>
                      <w:rFonts w:hint="eastAsia" w:cs="Times New Roman"/>
                      <w:b/>
                      <w:bCs/>
                      <w:color w:val="auto"/>
                      <w:sz w:val="24"/>
                      <w:szCs w:val="24"/>
                      <w:u w:val="single"/>
                      <w:lang w:val="en-US" w:eastAsia="zh-CN"/>
                    </w:rPr>
                    <w:t>36</w:t>
                  </w:r>
                </w:p>
              </w:tc>
              <w:tc>
                <w:tcPr>
                  <w:tcW w:w="587" w:type="pct"/>
                  <w:shd w:val="clear" w:color="auto" w:fill="auto"/>
                  <w:vAlign w:val="center"/>
                </w:tcPr>
                <w:p w14:paraId="7CDBB603">
                  <w:pPr>
                    <w:widowControl/>
                    <w:spacing w:line="240" w:lineRule="auto"/>
                    <w:ind w:firstLine="0" w:firstLineChars="0"/>
                    <w:jc w:val="center"/>
                    <w:textAlignment w:val="center"/>
                    <w:rPr>
                      <w:rFonts w:hint="eastAsia" w:ascii="Times New Roman" w:hAnsi="Times New Roman" w:eastAsia="宋体" w:cs="Times New Roman"/>
                      <w:b/>
                      <w:bCs/>
                      <w:color w:val="auto"/>
                      <w:kern w:val="0"/>
                      <w:sz w:val="21"/>
                      <w:szCs w:val="21"/>
                      <w:u w:val="single"/>
                      <w:lang w:val="en-US" w:eastAsia="zh-CN" w:bidi="ar"/>
                    </w:rPr>
                  </w:pPr>
                  <w:r>
                    <w:rPr>
                      <w:rFonts w:hint="eastAsia"/>
                      <w:b/>
                      <w:bCs/>
                      <w:color w:val="auto"/>
                      <w:kern w:val="0"/>
                      <w:sz w:val="21"/>
                      <w:szCs w:val="21"/>
                      <w:u w:val="single"/>
                      <w:lang w:val="en-US" w:eastAsia="zh-CN" w:bidi="ar"/>
                    </w:rPr>
                    <w:t>10</w:t>
                  </w:r>
                </w:p>
              </w:tc>
              <w:tc>
                <w:tcPr>
                  <w:tcW w:w="587" w:type="pct"/>
                  <w:shd w:val="clear" w:color="auto" w:fill="auto"/>
                  <w:vAlign w:val="center"/>
                </w:tcPr>
                <w:p w14:paraId="3E46EE73">
                  <w:pPr>
                    <w:spacing w:line="240" w:lineRule="auto"/>
                    <w:ind w:firstLine="0" w:firstLineChars="0"/>
                    <w:jc w:val="center"/>
                    <w:rPr>
                      <w:rFonts w:hint="eastAsia" w:ascii="Times New Roman" w:hAnsi="Times New Roman" w:eastAsia="宋体" w:cs="Times New Roman"/>
                      <w:b/>
                      <w:bCs/>
                      <w:color w:val="auto"/>
                      <w:sz w:val="24"/>
                      <w:szCs w:val="24"/>
                      <w:u w:val="single"/>
                      <w:lang w:val="en-US" w:eastAsia="zh-CN"/>
                    </w:rPr>
                  </w:pPr>
                  <w:r>
                    <w:rPr>
                      <w:rFonts w:hint="eastAsia" w:ascii="Times New Roman" w:hAnsi="Times New Roman" w:eastAsia="宋体" w:cs="Times New Roman"/>
                      <w:b/>
                      <w:bCs/>
                      <w:color w:val="auto"/>
                      <w:sz w:val="24"/>
                      <w:szCs w:val="24"/>
                      <w:u w:val="single"/>
                      <w:lang w:val="en-US" w:eastAsia="zh-CN"/>
                    </w:rPr>
                    <w:t>0.0018</w:t>
                  </w:r>
                </w:p>
              </w:tc>
              <w:tc>
                <w:tcPr>
                  <w:tcW w:w="589" w:type="pct"/>
                  <w:shd w:val="clear" w:color="auto" w:fill="auto"/>
                  <w:vAlign w:val="center"/>
                </w:tcPr>
                <w:p w14:paraId="7F02F3DC">
                  <w:pPr>
                    <w:spacing w:line="240" w:lineRule="auto"/>
                    <w:ind w:firstLine="0" w:firstLineChars="0"/>
                    <w:jc w:val="center"/>
                    <w:rPr>
                      <w:rFonts w:hint="eastAsia" w:ascii="Times New Roman" w:hAnsi="Times New Roman" w:eastAsia="宋体" w:cs="Times New Roman"/>
                      <w:b/>
                      <w:bCs/>
                      <w:color w:val="auto"/>
                      <w:sz w:val="24"/>
                      <w:szCs w:val="24"/>
                      <w:u w:val="single"/>
                      <w:lang w:val="en-US" w:eastAsia="zh-CN"/>
                    </w:rPr>
                  </w:pPr>
                  <w:r>
                    <w:rPr>
                      <w:rFonts w:hint="eastAsia" w:ascii="Times New Roman" w:hAnsi="Times New Roman" w:eastAsia="宋体" w:cs="Times New Roman"/>
                      <w:b/>
                      <w:bCs/>
                      <w:color w:val="auto"/>
                      <w:sz w:val="24"/>
                      <w:szCs w:val="24"/>
                      <w:u w:val="single"/>
                      <w:lang w:val="en-US" w:eastAsia="zh-CN"/>
                    </w:rPr>
                    <w:t>0.561</w:t>
                  </w:r>
                  <w:r>
                    <w:rPr>
                      <w:rFonts w:hint="eastAsia" w:cs="Times New Roman"/>
                      <w:b/>
                      <w:bCs/>
                      <w:color w:val="auto"/>
                      <w:sz w:val="24"/>
                      <w:szCs w:val="24"/>
                      <w:u w:val="single"/>
                      <w:lang w:val="en-US" w:eastAsia="zh-CN"/>
                    </w:rPr>
                    <w:t>8</w:t>
                  </w:r>
                </w:p>
              </w:tc>
            </w:tr>
            <w:tr w14:paraId="36BD5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11" w:type="pct"/>
                  <w:vMerge w:val="continue"/>
                  <w:shd w:val="clear" w:color="auto" w:fill="auto"/>
                  <w:vAlign w:val="center"/>
                </w:tcPr>
                <w:p w14:paraId="40F98548">
                  <w:pPr>
                    <w:spacing w:line="240" w:lineRule="auto"/>
                    <w:ind w:firstLine="0" w:firstLineChars="0"/>
                    <w:jc w:val="center"/>
                    <w:rPr>
                      <w:b/>
                      <w:bCs/>
                      <w:snapToGrid w:val="0"/>
                      <w:color w:val="auto"/>
                      <w:sz w:val="21"/>
                      <w:szCs w:val="21"/>
                      <w:u w:val="single"/>
                    </w:rPr>
                  </w:pPr>
                </w:p>
              </w:tc>
              <w:tc>
                <w:tcPr>
                  <w:tcW w:w="714" w:type="pct"/>
                  <w:vMerge w:val="continue"/>
                  <w:shd w:val="clear" w:color="auto" w:fill="auto"/>
                  <w:vAlign w:val="center"/>
                </w:tcPr>
                <w:p w14:paraId="59EC3560">
                  <w:pPr>
                    <w:spacing w:line="240" w:lineRule="auto"/>
                    <w:ind w:firstLine="0" w:firstLineChars="0"/>
                    <w:jc w:val="center"/>
                    <w:rPr>
                      <w:b/>
                      <w:bCs/>
                      <w:color w:val="auto"/>
                      <w:sz w:val="21"/>
                      <w:szCs w:val="21"/>
                      <w:u w:val="single"/>
                    </w:rPr>
                  </w:pPr>
                </w:p>
              </w:tc>
              <w:tc>
                <w:tcPr>
                  <w:tcW w:w="533" w:type="pct"/>
                  <w:shd w:val="clear" w:color="auto" w:fill="auto"/>
                  <w:vAlign w:val="center"/>
                </w:tcPr>
                <w:p w14:paraId="499E200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u w:val="single"/>
                      <w:vertAlign w:val="baseline"/>
                      <w:lang w:val="en-US" w:eastAsia="zh-CN" w:bidi="ar-SA"/>
                    </w:rPr>
                  </w:pPr>
                  <w:r>
                    <w:rPr>
                      <w:rFonts w:hint="eastAsia"/>
                      <w:b/>
                      <w:bCs/>
                      <w:color w:val="auto"/>
                      <w:sz w:val="21"/>
                      <w:szCs w:val="21"/>
                      <w:u w:val="single"/>
                      <w:vertAlign w:val="baseline"/>
                      <w:lang w:val="en-US" w:eastAsia="zh-CN"/>
                    </w:rPr>
                    <w:t>SS</w:t>
                  </w:r>
                </w:p>
              </w:tc>
              <w:tc>
                <w:tcPr>
                  <w:tcW w:w="648" w:type="pct"/>
                  <w:shd w:val="clear" w:color="auto" w:fill="auto"/>
                  <w:vAlign w:val="center"/>
                </w:tcPr>
                <w:p w14:paraId="0377EB88">
                  <w:pPr>
                    <w:spacing w:line="240" w:lineRule="auto"/>
                    <w:ind w:firstLine="0" w:firstLineChars="0"/>
                    <w:jc w:val="center"/>
                    <w:rPr>
                      <w:rFonts w:hint="eastAsia" w:ascii="Times New Roman" w:hAnsi="Times New Roman" w:eastAsia="宋体" w:cs="Times New Roman"/>
                      <w:b/>
                      <w:bCs/>
                      <w:color w:val="auto"/>
                      <w:sz w:val="24"/>
                      <w:szCs w:val="24"/>
                      <w:u w:val="single"/>
                      <w:lang w:val="en-US" w:eastAsia="zh-CN"/>
                    </w:rPr>
                  </w:pPr>
                  <w:r>
                    <w:rPr>
                      <w:rFonts w:hint="eastAsia" w:ascii="Times New Roman" w:hAnsi="Times New Roman" w:eastAsia="宋体" w:cs="Times New Roman"/>
                      <w:b/>
                      <w:bCs/>
                      <w:color w:val="auto"/>
                      <w:sz w:val="24"/>
                      <w:szCs w:val="24"/>
                      <w:u w:val="single"/>
                      <w:lang w:val="en-US" w:eastAsia="zh-CN"/>
                    </w:rPr>
                    <w:t>29.6</w:t>
                  </w:r>
                </w:p>
              </w:tc>
              <w:tc>
                <w:tcPr>
                  <w:tcW w:w="538" w:type="pct"/>
                  <w:shd w:val="clear" w:color="auto" w:fill="auto"/>
                  <w:vAlign w:val="center"/>
                </w:tcPr>
                <w:p w14:paraId="0E2B97EA">
                  <w:pPr>
                    <w:spacing w:line="240" w:lineRule="auto"/>
                    <w:ind w:firstLine="0" w:firstLineChars="0"/>
                    <w:jc w:val="center"/>
                    <w:rPr>
                      <w:rFonts w:hint="eastAsia" w:ascii="Times New Roman" w:hAnsi="Times New Roman" w:eastAsia="宋体" w:cs="Times New Roman"/>
                      <w:b/>
                      <w:bCs/>
                      <w:color w:val="auto"/>
                      <w:sz w:val="24"/>
                      <w:szCs w:val="24"/>
                      <w:u w:val="single"/>
                      <w:lang w:val="en-US" w:eastAsia="zh-CN"/>
                    </w:rPr>
                  </w:pPr>
                  <w:r>
                    <w:rPr>
                      <w:rFonts w:hint="eastAsia" w:ascii="Times New Roman" w:hAnsi="Times New Roman" w:eastAsia="宋体" w:cs="Times New Roman"/>
                      <w:b/>
                      <w:bCs/>
                      <w:color w:val="auto"/>
                      <w:sz w:val="24"/>
                      <w:szCs w:val="24"/>
                      <w:u w:val="single"/>
                      <w:lang w:val="en-US" w:eastAsia="zh-CN"/>
                    </w:rPr>
                    <w:t>0.0052</w:t>
                  </w:r>
                </w:p>
              </w:tc>
              <w:tc>
                <w:tcPr>
                  <w:tcW w:w="591" w:type="pct"/>
                  <w:shd w:val="clear" w:color="auto" w:fill="auto"/>
                  <w:vAlign w:val="center"/>
                </w:tcPr>
                <w:p w14:paraId="7DD0EA5D">
                  <w:pPr>
                    <w:spacing w:line="240" w:lineRule="auto"/>
                    <w:ind w:firstLine="0" w:firstLineChars="0"/>
                    <w:jc w:val="center"/>
                    <w:rPr>
                      <w:rFonts w:hint="default"/>
                      <w:b/>
                      <w:bCs/>
                      <w:snapToGrid w:val="0"/>
                      <w:color w:val="auto"/>
                      <w:sz w:val="21"/>
                      <w:szCs w:val="21"/>
                      <w:u w:val="single"/>
                      <w:lang w:val="en-US"/>
                    </w:rPr>
                  </w:pPr>
                  <w:r>
                    <w:rPr>
                      <w:rFonts w:hint="eastAsia" w:ascii="Times New Roman" w:hAnsi="Times New Roman" w:eastAsia="宋体" w:cs="Times New Roman"/>
                      <w:b/>
                      <w:bCs/>
                      <w:color w:val="auto"/>
                      <w:sz w:val="24"/>
                      <w:szCs w:val="24"/>
                      <w:u w:val="single"/>
                      <w:lang w:val="en-US" w:eastAsia="zh-CN"/>
                    </w:rPr>
                    <w:t>1.66</w:t>
                  </w:r>
                  <w:r>
                    <w:rPr>
                      <w:rFonts w:hint="eastAsia" w:cs="Times New Roman"/>
                      <w:b/>
                      <w:bCs/>
                      <w:color w:val="auto"/>
                      <w:sz w:val="24"/>
                      <w:szCs w:val="24"/>
                      <w:u w:val="single"/>
                      <w:lang w:val="en-US" w:eastAsia="zh-CN"/>
                    </w:rPr>
                    <w:t>42</w:t>
                  </w:r>
                </w:p>
              </w:tc>
              <w:tc>
                <w:tcPr>
                  <w:tcW w:w="587" w:type="pct"/>
                  <w:shd w:val="clear" w:color="auto" w:fill="auto"/>
                  <w:vAlign w:val="center"/>
                </w:tcPr>
                <w:p w14:paraId="63DAC039">
                  <w:pPr>
                    <w:widowControl/>
                    <w:spacing w:line="240" w:lineRule="auto"/>
                    <w:ind w:firstLine="0" w:firstLineChars="0"/>
                    <w:jc w:val="center"/>
                    <w:textAlignment w:val="center"/>
                    <w:rPr>
                      <w:rFonts w:hint="eastAsia" w:ascii="Times New Roman" w:hAnsi="Times New Roman" w:eastAsia="宋体" w:cs="Times New Roman"/>
                      <w:b/>
                      <w:bCs/>
                      <w:color w:val="auto"/>
                      <w:kern w:val="0"/>
                      <w:sz w:val="21"/>
                      <w:szCs w:val="21"/>
                      <w:u w:val="single"/>
                      <w:lang w:val="en-US" w:eastAsia="zh-CN" w:bidi="ar"/>
                    </w:rPr>
                  </w:pPr>
                  <w:r>
                    <w:rPr>
                      <w:rFonts w:hint="eastAsia"/>
                      <w:b/>
                      <w:bCs/>
                      <w:color w:val="auto"/>
                      <w:kern w:val="0"/>
                      <w:sz w:val="21"/>
                      <w:szCs w:val="21"/>
                      <w:u w:val="single"/>
                      <w:lang w:val="en-US" w:eastAsia="zh-CN" w:bidi="ar"/>
                    </w:rPr>
                    <w:t>10</w:t>
                  </w:r>
                </w:p>
              </w:tc>
              <w:tc>
                <w:tcPr>
                  <w:tcW w:w="587" w:type="pct"/>
                  <w:shd w:val="clear" w:color="auto" w:fill="auto"/>
                  <w:vAlign w:val="center"/>
                </w:tcPr>
                <w:p w14:paraId="05E139CD">
                  <w:pPr>
                    <w:spacing w:line="240" w:lineRule="auto"/>
                    <w:ind w:firstLine="0" w:firstLineChars="0"/>
                    <w:jc w:val="center"/>
                    <w:rPr>
                      <w:rFonts w:hint="default" w:ascii="Times New Roman" w:hAnsi="Times New Roman" w:eastAsia="宋体" w:cs="Times New Roman"/>
                      <w:b/>
                      <w:bCs/>
                      <w:color w:val="auto"/>
                      <w:sz w:val="24"/>
                      <w:szCs w:val="24"/>
                      <w:u w:val="single"/>
                      <w:lang w:val="en-US" w:eastAsia="zh-CN"/>
                    </w:rPr>
                  </w:pPr>
                  <w:r>
                    <w:rPr>
                      <w:rFonts w:hint="eastAsia" w:ascii="Times New Roman" w:hAnsi="Times New Roman" w:eastAsia="宋体" w:cs="Times New Roman"/>
                      <w:b/>
                      <w:bCs/>
                      <w:color w:val="auto"/>
                      <w:sz w:val="24"/>
                      <w:szCs w:val="24"/>
                      <w:u w:val="single"/>
                      <w:lang w:val="en-US" w:eastAsia="zh-CN"/>
                    </w:rPr>
                    <w:t>0.0018</w:t>
                  </w:r>
                </w:p>
              </w:tc>
              <w:tc>
                <w:tcPr>
                  <w:tcW w:w="589" w:type="pct"/>
                  <w:shd w:val="clear" w:color="auto" w:fill="auto"/>
                  <w:vAlign w:val="center"/>
                </w:tcPr>
                <w:p w14:paraId="17D12519">
                  <w:pPr>
                    <w:spacing w:line="240" w:lineRule="auto"/>
                    <w:ind w:firstLine="0" w:firstLineChars="0"/>
                    <w:jc w:val="center"/>
                    <w:rPr>
                      <w:rFonts w:hint="eastAsia" w:ascii="Times New Roman" w:hAnsi="Times New Roman" w:eastAsia="宋体" w:cs="Times New Roman"/>
                      <w:b/>
                      <w:bCs/>
                      <w:color w:val="auto"/>
                      <w:sz w:val="24"/>
                      <w:szCs w:val="24"/>
                      <w:u w:val="single"/>
                      <w:lang w:val="en-US" w:eastAsia="zh-CN"/>
                    </w:rPr>
                  </w:pPr>
                  <w:r>
                    <w:rPr>
                      <w:rFonts w:hint="eastAsia" w:ascii="Times New Roman" w:hAnsi="Times New Roman" w:eastAsia="宋体" w:cs="Times New Roman"/>
                      <w:b/>
                      <w:bCs/>
                      <w:color w:val="auto"/>
                      <w:sz w:val="24"/>
                      <w:szCs w:val="24"/>
                      <w:u w:val="single"/>
                      <w:lang w:val="en-US" w:eastAsia="zh-CN"/>
                    </w:rPr>
                    <w:t>0.561</w:t>
                  </w:r>
                  <w:r>
                    <w:rPr>
                      <w:rFonts w:hint="eastAsia" w:cs="Times New Roman"/>
                      <w:b/>
                      <w:bCs/>
                      <w:color w:val="auto"/>
                      <w:sz w:val="24"/>
                      <w:szCs w:val="24"/>
                      <w:u w:val="single"/>
                      <w:lang w:val="en-US" w:eastAsia="zh-CN"/>
                    </w:rPr>
                    <w:t>8</w:t>
                  </w:r>
                </w:p>
              </w:tc>
            </w:tr>
            <w:tr w14:paraId="55037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11" w:type="pct"/>
                  <w:vMerge w:val="continue"/>
                  <w:shd w:val="clear" w:color="auto" w:fill="auto"/>
                  <w:vAlign w:val="center"/>
                </w:tcPr>
                <w:p w14:paraId="74F9A9EA">
                  <w:pPr>
                    <w:spacing w:line="240" w:lineRule="auto"/>
                    <w:ind w:firstLine="0" w:firstLineChars="0"/>
                    <w:jc w:val="center"/>
                    <w:rPr>
                      <w:b/>
                      <w:bCs/>
                      <w:snapToGrid w:val="0"/>
                      <w:color w:val="auto"/>
                      <w:sz w:val="21"/>
                      <w:szCs w:val="21"/>
                      <w:u w:val="single"/>
                    </w:rPr>
                  </w:pPr>
                </w:p>
              </w:tc>
              <w:tc>
                <w:tcPr>
                  <w:tcW w:w="714" w:type="pct"/>
                  <w:vMerge w:val="continue"/>
                  <w:shd w:val="clear" w:color="auto" w:fill="auto"/>
                  <w:vAlign w:val="center"/>
                </w:tcPr>
                <w:p w14:paraId="458529EC">
                  <w:pPr>
                    <w:spacing w:line="240" w:lineRule="auto"/>
                    <w:ind w:firstLine="0" w:firstLineChars="0"/>
                    <w:jc w:val="center"/>
                    <w:rPr>
                      <w:b/>
                      <w:bCs/>
                      <w:color w:val="auto"/>
                      <w:sz w:val="21"/>
                      <w:szCs w:val="21"/>
                      <w:u w:val="single"/>
                    </w:rPr>
                  </w:pPr>
                </w:p>
              </w:tc>
              <w:tc>
                <w:tcPr>
                  <w:tcW w:w="533" w:type="pct"/>
                  <w:shd w:val="clear" w:color="auto" w:fill="auto"/>
                  <w:vAlign w:val="center"/>
                </w:tcPr>
                <w:p w14:paraId="6105562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u w:val="single"/>
                      <w:vertAlign w:val="baseline"/>
                      <w:lang w:val="en-US" w:eastAsia="zh-CN" w:bidi="ar-SA"/>
                    </w:rPr>
                  </w:pPr>
                  <w:r>
                    <w:rPr>
                      <w:rFonts w:hint="eastAsia"/>
                      <w:b/>
                      <w:bCs/>
                      <w:color w:val="auto"/>
                      <w:sz w:val="21"/>
                      <w:szCs w:val="21"/>
                      <w:u w:val="single"/>
                      <w:vertAlign w:val="baseline"/>
                      <w:lang w:val="en-US" w:eastAsia="zh-CN"/>
                    </w:rPr>
                    <w:t>NH3-N</w:t>
                  </w:r>
                </w:p>
              </w:tc>
              <w:tc>
                <w:tcPr>
                  <w:tcW w:w="648" w:type="pct"/>
                  <w:shd w:val="clear" w:color="auto" w:fill="auto"/>
                  <w:vAlign w:val="center"/>
                </w:tcPr>
                <w:p w14:paraId="0EC5508C">
                  <w:pPr>
                    <w:spacing w:line="240" w:lineRule="auto"/>
                    <w:ind w:firstLine="0" w:firstLineChars="0"/>
                    <w:jc w:val="center"/>
                    <w:rPr>
                      <w:rFonts w:hint="eastAsia" w:ascii="Times New Roman" w:hAnsi="Times New Roman" w:eastAsia="宋体" w:cs="Times New Roman"/>
                      <w:b/>
                      <w:bCs/>
                      <w:color w:val="auto"/>
                      <w:sz w:val="24"/>
                      <w:szCs w:val="24"/>
                      <w:u w:val="single"/>
                      <w:lang w:val="en-US" w:eastAsia="zh-CN"/>
                    </w:rPr>
                  </w:pPr>
                  <w:r>
                    <w:rPr>
                      <w:rFonts w:hint="eastAsia" w:ascii="Times New Roman" w:hAnsi="Times New Roman" w:eastAsia="宋体" w:cs="Times New Roman"/>
                      <w:b/>
                      <w:bCs/>
                      <w:color w:val="auto"/>
                      <w:sz w:val="24"/>
                      <w:szCs w:val="24"/>
                      <w:u w:val="single"/>
                      <w:lang w:val="en-US" w:eastAsia="zh-CN"/>
                    </w:rPr>
                    <w:t>7.7</w:t>
                  </w:r>
                </w:p>
              </w:tc>
              <w:tc>
                <w:tcPr>
                  <w:tcW w:w="538" w:type="pct"/>
                  <w:shd w:val="clear" w:color="auto" w:fill="auto"/>
                  <w:vAlign w:val="center"/>
                </w:tcPr>
                <w:p w14:paraId="7C877D6B">
                  <w:pPr>
                    <w:spacing w:line="240" w:lineRule="auto"/>
                    <w:ind w:firstLine="0" w:firstLineChars="0"/>
                    <w:jc w:val="center"/>
                    <w:rPr>
                      <w:rFonts w:hint="eastAsia" w:ascii="Times New Roman" w:hAnsi="Times New Roman" w:eastAsia="宋体" w:cs="Times New Roman"/>
                      <w:b/>
                      <w:bCs/>
                      <w:color w:val="auto"/>
                      <w:sz w:val="24"/>
                      <w:szCs w:val="24"/>
                      <w:u w:val="single"/>
                      <w:lang w:val="en-US" w:eastAsia="zh-CN"/>
                    </w:rPr>
                  </w:pPr>
                  <w:r>
                    <w:rPr>
                      <w:rFonts w:hint="eastAsia" w:ascii="Times New Roman" w:hAnsi="Times New Roman" w:eastAsia="宋体" w:cs="Times New Roman"/>
                      <w:b/>
                      <w:bCs/>
                      <w:color w:val="auto"/>
                      <w:sz w:val="24"/>
                      <w:szCs w:val="24"/>
                      <w:u w:val="single"/>
                      <w:lang w:val="en-US" w:eastAsia="zh-CN"/>
                    </w:rPr>
                    <w:t>0.001</w:t>
                  </w:r>
                  <w:r>
                    <w:rPr>
                      <w:rFonts w:hint="eastAsia" w:cs="Times New Roman"/>
                      <w:b/>
                      <w:bCs/>
                      <w:color w:val="auto"/>
                      <w:sz w:val="24"/>
                      <w:szCs w:val="24"/>
                      <w:u w:val="single"/>
                      <w:lang w:val="en-US" w:eastAsia="zh-CN"/>
                    </w:rPr>
                    <w:t>4</w:t>
                  </w:r>
                </w:p>
              </w:tc>
              <w:tc>
                <w:tcPr>
                  <w:tcW w:w="591" w:type="pct"/>
                  <w:shd w:val="clear" w:color="auto" w:fill="auto"/>
                  <w:vAlign w:val="center"/>
                </w:tcPr>
                <w:p w14:paraId="2FF4657E">
                  <w:pPr>
                    <w:spacing w:line="240" w:lineRule="auto"/>
                    <w:ind w:firstLine="0" w:firstLineChars="0"/>
                    <w:jc w:val="center"/>
                    <w:rPr>
                      <w:rFonts w:hint="default"/>
                      <w:b/>
                      <w:bCs/>
                      <w:snapToGrid w:val="0"/>
                      <w:color w:val="auto"/>
                      <w:sz w:val="21"/>
                      <w:szCs w:val="21"/>
                      <w:u w:val="single"/>
                      <w:lang w:val="en-US"/>
                    </w:rPr>
                  </w:pPr>
                  <w:r>
                    <w:rPr>
                      <w:rFonts w:hint="eastAsia" w:ascii="Times New Roman" w:hAnsi="Times New Roman" w:eastAsia="宋体" w:cs="Times New Roman"/>
                      <w:b/>
                      <w:bCs/>
                      <w:color w:val="auto"/>
                      <w:sz w:val="24"/>
                      <w:szCs w:val="24"/>
                      <w:u w:val="single"/>
                      <w:lang w:val="en-US" w:eastAsia="zh-CN"/>
                    </w:rPr>
                    <w:t>0.43</w:t>
                  </w:r>
                  <w:r>
                    <w:rPr>
                      <w:rFonts w:hint="eastAsia" w:cs="Times New Roman"/>
                      <w:b/>
                      <w:bCs/>
                      <w:color w:val="auto"/>
                      <w:sz w:val="24"/>
                      <w:szCs w:val="24"/>
                      <w:u w:val="single"/>
                      <w:lang w:val="en-US" w:eastAsia="zh-CN"/>
                    </w:rPr>
                    <w:t>11</w:t>
                  </w:r>
                </w:p>
              </w:tc>
              <w:tc>
                <w:tcPr>
                  <w:tcW w:w="587" w:type="pct"/>
                  <w:shd w:val="clear" w:color="auto" w:fill="auto"/>
                  <w:vAlign w:val="center"/>
                </w:tcPr>
                <w:p w14:paraId="37BF0F72">
                  <w:pPr>
                    <w:widowControl/>
                    <w:spacing w:line="240" w:lineRule="auto"/>
                    <w:ind w:firstLine="0" w:firstLineChars="0"/>
                    <w:jc w:val="center"/>
                    <w:textAlignment w:val="center"/>
                    <w:rPr>
                      <w:rFonts w:hint="eastAsia" w:ascii="Times New Roman" w:hAnsi="Times New Roman" w:eastAsia="宋体" w:cs="Times New Roman"/>
                      <w:b/>
                      <w:bCs/>
                      <w:color w:val="auto"/>
                      <w:kern w:val="0"/>
                      <w:sz w:val="21"/>
                      <w:szCs w:val="21"/>
                      <w:u w:val="single"/>
                      <w:lang w:val="en-US" w:eastAsia="zh-CN" w:bidi="ar"/>
                    </w:rPr>
                  </w:pPr>
                  <w:r>
                    <w:rPr>
                      <w:rFonts w:hint="eastAsia"/>
                      <w:b/>
                      <w:bCs/>
                      <w:color w:val="auto"/>
                      <w:kern w:val="0"/>
                      <w:sz w:val="21"/>
                      <w:szCs w:val="21"/>
                      <w:u w:val="single"/>
                      <w:lang w:val="en-US" w:eastAsia="zh-CN" w:bidi="ar"/>
                    </w:rPr>
                    <w:t>2</w:t>
                  </w:r>
                </w:p>
              </w:tc>
              <w:tc>
                <w:tcPr>
                  <w:tcW w:w="587" w:type="pct"/>
                  <w:shd w:val="clear" w:color="auto" w:fill="auto"/>
                  <w:vAlign w:val="center"/>
                </w:tcPr>
                <w:p w14:paraId="3900D823">
                  <w:pPr>
                    <w:spacing w:line="240" w:lineRule="auto"/>
                    <w:ind w:firstLine="0" w:firstLineChars="0"/>
                    <w:jc w:val="center"/>
                    <w:rPr>
                      <w:rFonts w:hint="eastAsia" w:ascii="Times New Roman" w:hAnsi="Times New Roman" w:eastAsia="宋体" w:cs="Times New Roman"/>
                      <w:b/>
                      <w:bCs/>
                      <w:color w:val="auto"/>
                      <w:sz w:val="24"/>
                      <w:szCs w:val="24"/>
                      <w:u w:val="single"/>
                      <w:lang w:val="en-US" w:eastAsia="zh-CN"/>
                    </w:rPr>
                  </w:pPr>
                  <w:r>
                    <w:rPr>
                      <w:rFonts w:hint="eastAsia" w:ascii="Times New Roman" w:hAnsi="Times New Roman" w:eastAsia="宋体" w:cs="Times New Roman"/>
                      <w:b/>
                      <w:bCs/>
                      <w:color w:val="auto"/>
                      <w:sz w:val="24"/>
                      <w:szCs w:val="24"/>
                      <w:u w:val="single"/>
                      <w:lang w:val="en-US" w:eastAsia="zh-CN"/>
                    </w:rPr>
                    <w:t>0.0004</w:t>
                  </w:r>
                </w:p>
              </w:tc>
              <w:tc>
                <w:tcPr>
                  <w:tcW w:w="589" w:type="pct"/>
                  <w:shd w:val="clear" w:color="auto" w:fill="auto"/>
                  <w:vAlign w:val="center"/>
                </w:tcPr>
                <w:p w14:paraId="2EEE402A">
                  <w:pPr>
                    <w:spacing w:line="240" w:lineRule="auto"/>
                    <w:ind w:firstLine="0" w:firstLineChars="0"/>
                    <w:jc w:val="center"/>
                    <w:rPr>
                      <w:rFonts w:hint="eastAsia" w:ascii="Times New Roman" w:hAnsi="Times New Roman" w:eastAsia="宋体" w:cs="Times New Roman"/>
                      <w:b/>
                      <w:bCs/>
                      <w:color w:val="auto"/>
                      <w:sz w:val="24"/>
                      <w:szCs w:val="24"/>
                      <w:u w:val="single"/>
                      <w:lang w:val="en-US" w:eastAsia="zh-CN"/>
                    </w:rPr>
                  </w:pPr>
                  <w:r>
                    <w:rPr>
                      <w:rFonts w:hint="eastAsia" w:ascii="Times New Roman" w:hAnsi="Times New Roman" w:eastAsia="宋体" w:cs="Times New Roman"/>
                      <w:b/>
                      <w:bCs/>
                      <w:color w:val="auto"/>
                      <w:sz w:val="24"/>
                      <w:szCs w:val="24"/>
                      <w:u w:val="single"/>
                      <w:lang w:val="en-US" w:eastAsia="zh-CN"/>
                    </w:rPr>
                    <w:t>0.112</w:t>
                  </w:r>
                  <w:r>
                    <w:rPr>
                      <w:rFonts w:hint="eastAsia" w:cs="Times New Roman"/>
                      <w:b/>
                      <w:bCs/>
                      <w:color w:val="auto"/>
                      <w:sz w:val="24"/>
                      <w:szCs w:val="24"/>
                      <w:u w:val="single"/>
                      <w:lang w:val="en-US" w:eastAsia="zh-CN"/>
                    </w:rPr>
                    <w:t>4</w:t>
                  </w:r>
                </w:p>
              </w:tc>
            </w:tr>
            <w:tr w14:paraId="28522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11" w:type="pct"/>
                  <w:vMerge w:val="continue"/>
                  <w:shd w:val="clear" w:color="auto" w:fill="auto"/>
                  <w:vAlign w:val="center"/>
                </w:tcPr>
                <w:p w14:paraId="0A130407">
                  <w:pPr>
                    <w:spacing w:line="240" w:lineRule="auto"/>
                    <w:ind w:firstLine="0" w:firstLineChars="0"/>
                    <w:jc w:val="center"/>
                    <w:rPr>
                      <w:b/>
                      <w:bCs/>
                      <w:snapToGrid w:val="0"/>
                      <w:color w:val="auto"/>
                      <w:sz w:val="21"/>
                      <w:szCs w:val="21"/>
                      <w:u w:val="single"/>
                    </w:rPr>
                  </w:pPr>
                </w:p>
              </w:tc>
              <w:tc>
                <w:tcPr>
                  <w:tcW w:w="714" w:type="pct"/>
                  <w:vMerge w:val="continue"/>
                  <w:shd w:val="clear" w:color="auto" w:fill="auto"/>
                  <w:vAlign w:val="center"/>
                </w:tcPr>
                <w:p w14:paraId="576AA92C">
                  <w:pPr>
                    <w:spacing w:line="240" w:lineRule="auto"/>
                    <w:ind w:firstLine="0" w:firstLineChars="0"/>
                    <w:jc w:val="center"/>
                    <w:rPr>
                      <w:b/>
                      <w:bCs/>
                      <w:color w:val="auto"/>
                      <w:sz w:val="21"/>
                      <w:szCs w:val="21"/>
                      <w:u w:val="single"/>
                    </w:rPr>
                  </w:pPr>
                </w:p>
              </w:tc>
              <w:tc>
                <w:tcPr>
                  <w:tcW w:w="533" w:type="pct"/>
                  <w:shd w:val="clear" w:color="auto" w:fill="auto"/>
                  <w:vAlign w:val="center"/>
                </w:tcPr>
                <w:p w14:paraId="57C33FB4">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u w:val="single"/>
                      <w:vertAlign w:val="baseline"/>
                      <w:lang w:val="en-US" w:eastAsia="zh-CN" w:bidi="ar-SA"/>
                    </w:rPr>
                  </w:pPr>
                  <w:r>
                    <w:rPr>
                      <w:rFonts w:hint="eastAsia"/>
                      <w:b/>
                      <w:bCs/>
                      <w:color w:val="auto"/>
                      <w:sz w:val="21"/>
                      <w:szCs w:val="21"/>
                      <w:u w:val="single"/>
                      <w:vertAlign w:val="baseline"/>
                      <w:lang w:val="en-US" w:eastAsia="zh-CN"/>
                    </w:rPr>
                    <w:t>色度</w:t>
                  </w:r>
                </w:p>
              </w:tc>
              <w:tc>
                <w:tcPr>
                  <w:tcW w:w="648" w:type="pct"/>
                  <w:shd w:val="clear" w:color="auto" w:fill="auto"/>
                  <w:vAlign w:val="center"/>
                </w:tcPr>
                <w:p w14:paraId="17A3B041">
                  <w:pPr>
                    <w:widowControl/>
                    <w:spacing w:line="240" w:lineRule="auto"/>
                    <w:ind w:firstLine="0" w:firstLineChars="0"/>
                    <w:jc w:val="center"/>
                    <w:textAlignment w:val="center"/>
                    <w:rPr>
                      <w:rFonts w:hint="default" w:eastAsia="宋体"/>
                      <w:b/>
                      <w:bCs/>
                      <w:snapToGrid w:val="0"/>
                      <w:color w:val="auto"/>
                      <w:sz w:val="21"/>
                      <w:szCs w:val="21"/>
                      <w:u w:val="single"/>
                      <w:lang w:val="en-US" w:eastAsia="zh-CN"/>
                    </w:rPr>
                  </w:pPr>
                  <w:r>
                    <w:rPr>
                      <w:rFonts w:hint="eastAsia"/>
                      <w:b/>
                      <w:bCs/>
                      <w:snapToGrid w:val="0"/>
                      <w:color w:val="auto"/>
                      <w:sz w:val="21"/>
                      <w:szCs w:val="21"/>
                      <w:u w:val="single"/>
                      <w:lang w:val="en-US" w:eastAsia="zh-CN"/>
                    </w:rPr>
                    <w:t>36</w:t>
                  </w:r>
                </w:p>
              </w:tc>
              <w:tc>
                <w:tcPr>
                  <w:tcW w:w="538" w:type="pct"/>
                  <w:shd w:val="clear" w:color="auto" w:fill="auto"/>
                  <w:vAlign w:val="center"/>
                </w:tcPr>
                <w:p w14:paraId="637F79E6">
                  <w:pPr>
                    <w:widowControl/>
                    <w:spacing w:line="240" w:lineRule="auto"/>
                    <w:ind w:firstLine="0" w:firstLineChars="0"/>
                    <w:jc w:val="center"/>
                    <w:textAlignment w:val="center"/>
                    <w:rPr>
                      <w:rFonts w:hint="eastAsia" w:eastAsia="宋体"/>
                      <w:b/>
                      <w:bCs/>
                      <w:color w:val="auto"/>
                      <w:kern w:val="0"/>
                      <w:sz w:val="21"/>
                      <w:szCs w:val="21"/>
                      <w:u w:val="single"/>
                      <w:lang w:val="en-US" w:eastAsia="zh-CN" w:bidi="ar"/>
                    </w:rPr>
                  </w:pPr>
                  <w:r>
                    <w:rPr>
                      <w:rFonts w:hint="eastAsia"/>
                      <w:b/>
                      <w:bCs/>
                      <w:color w:val="auto"/>
                      <w:kern w:val="0"/>
                      <w:sz w:val="21"/>
                      <w:szCs w:val="21"/>
                      <w:u w:val="single"/>
                      <w:lang w:val="en-US" w:eastAsia="zh-CN" w:bidi="ar"/>
                    </w:rPr>
                    <w:t>/</w:t>
                  </w:r>
                </w:p>
              </w:tc>
              <w:tc>
                <w:tcPr>
                  <w:tcW w:w="591" w:type="pct"/>
                  <w:shd w:val="clear" w:color="auto" w:fill="auto"/>
                  <w:vAlign w:val="center"/>
                </w:tcPr>
                <w:p w14:paraId="153FE540">
                  <w:pPr>
                    <w:spacing w:line="240" w:lineRule="auto"/>
                    <w:ind w:firstLine="0" w:firstLineChars="0"/>
                    <w:jc w:val="center"/>
                    <w:rPr>
                      <w:rFonts w:hint="eastAsia" w:eastAsia="宋体"/>
                      <w:b/>
                      <w:bCs/>
                      <w:snapToGrid w:val="0"/>
                      <w:color w:val="auto"/>
                      <w:sz w:val="21"/>
                      <w:szCs w:val="21"/>
                      <w:u w:val="single"/>
                      <w:lang w:val="en-US" w:eastAsia="zh-CN"/>
                    </w:rPr>
                  </w:pPr>
                  <w:r>
                    <w:rPr>
                      <w:rFonts w:hint="eastAsia"/>
                      <w:b/>
                      <w:bCs/>
                      <w:snapToGrid w:val="0"/>
                      <w:color w:val="auto"/>
                      <w:sz w:val="21"/>
                      <w:szCs w:val="21"/>
                      <w:u w:val="single"/>
                      <w:lang w:val="en-US" w:eastAsia="zh-CN"/>
                    </w:rPr>
                    <w:t>/</w:t>
                  </w:r>
                </w:p>
              </w:tc>
              <w:tc>
                <w:tcPr>
                  <w:tcW w:w="587" w:type="pct"/>
                  <w:shd w:val="clear" w:color="auto" w:fill="auto"/>
                  <w:vAlign w:val="center"/>
                </w:tcPr>
                <w:p w14:paraId="14AD6071">
                  <w:pPr>
                    <w:widowControl/>
                    <w:spacing w:line="240" w:lineRule="auto"/>
                    <w:ind w:firstLine="0" w:firstLineChars="0"/>
                    <w:jc w:val="center"/>
                    <w:textAlignment w:val="center"/>
                    <w:rPr>
                      <w:rFonts w:hint="eastAsia" w:ascii="Times New Roman" w:hAnsi="Times New Roman" w:eastAsia="宋体" w:cs="Times New Roman"/>
                      <w:b/>
                      <w:bCs/>
                      <w:color w:val="auto"/>
                      <w:kern w:val="0"/>
                      <w:sz w:val="21"/>
                      <w:szCs w:val="21"/>
                      <w:u w:val="single"/>
                      <w:lang w:val="en-US" w:eastAsia="zh-CN" w:bidi="ar"/>
                    </w:rPr>
                  </w:pPr>
                  <w:r>
                    <w:rPr>
                      <w:rFonts w:hint="eastAsia"/>
                      <w:b/>
                      <w:bCs/>
                      <w:color w:val="auto"/>
                      <w:kern w:val="0"/>
                      <w:sz w:val="21"/>
                      <w:szCs w:val="21"/>
                      <w:u w:val="single"/>
                      <w:lang w:val="en-US" w:eastAsia="zh-CN" w:bidi="ar"/>
                    </w:rPr>
                    <w:t>/</w:t>
                  </w:r>
                </w:p>
              </w:tc>
              <w:tc>
                <w:tcPr>
                  <w:tcW w:w="587" w:type="pct"/>
                  <w:shd w:val="clear" w:color="auto" w:fill="auto"/>
                  <w:vAlign w:val="center"/>
                </w:tcPr>
                <w:p w14:paraId="26E6885A">
                  <w:pPr>
                    <w:widowControl/>
                    <w:spacing w:line="240" w:lineRule="auto"/>
                    <w:ind w:firstLine="0" w:firstLineChars="0"/>
                    <w:jc w:val="center"/>
                    <w:textAlignment w:val="center"/>
                    <w:rPr>
                      <w:rFonts w:hint="eastAsia" w:ascii="Times New Roman" w:hAnsi="Times New Roman" w:eastAsia="宋体" w:cs="Times New Roman"/>
                      <w:b/>
                      <w:bCs/>
                      <w:color w:val="auto"/>
                      <w:kern w:val="0"/>
                      <w:sz w:val="21"/>
                      <w:szCs w:val="21"/>
                      <w:u w:val="single"/>
                      <w:lang w:val="en-US" w:eastAsia="zh-CN" w:bidi="ar"/>
                    </w:rPr>
                  </w:pPr>
                  <w:r>
                    <w:rPr>
                      <w:rFonts w:hint="eastAsia"/>
                      <w:b/>
                      <w:bCs/>
                      <w:color w:val="auto"/>
                      <w:kern w:val="0"/>
                      <w:sz w:val="21"/>
                      <w:szCs w:val="21"/>
                      <w:u w:val="single"/>
                      <w:lang w:val="en-US" w:eastAsia="zh-CN" w:bidi="ar"/>
                    </w:rPr>
                    <w:t>/</w:t>
                  </w:r>
                </w:p>
              </w:tc>
              <w:tc>
                <w:tcPr>
                  <w:tcW w:w="589" w:type="pct"/>
                  <w:shd w:val="clear" w:color="auto" w:fill="auto"/>
                  <w:vAlign w:val="center"/>
                </w:tcPr>
                <w:p w14:paraId="7537A99A">
                  <w:pPr>
                    <w:spacing w:line="240" w:lineRule="auto"/>
                    <w:ind w:firstLine="0" w:firstLineChars="0"/>
                    <w:jc w:val="center"/>
                    <w:rPr>
                      <w:rFonts w:hint="eastAsia" w:ascii="Times New Roman" w:hAnsi="Times New Roman" w:eastAsia="宋体" w:cs="Times New Roman"/>
                      <w:b/>
                      <w:bCs/>
                      <w:snapToGrid w:val="0"/>
                      <w:color w:val="auto"/>
                      <w:kern w:val="2"/>
                      <w:sz w:val="21"/>
                      <w:szCs w:val="21"/>
                      <w:u w:val="single"/>
                      <w:lang w:val="en-US" w:eastAsia="zh-CN" w:bidi="ar-SA"/>
                    </w:rPr>
                  </w:pPr>
                  <w:r>
                    <w:rPr>
                      <w:rFonts w:hint="eastAsia"/>
                      <w:b/>
                      <w:bCs/>
                      <w:snapToGrid w:val="0"/>
                      <w:color w:val="auto"/>
                      <w:sz w:val="21"/>
                      <w:szCs w:val="21"/>
                      <w:u w:val="single"/>
                      <w:lang w:val="en-US" w:eastAsia="zh-CN"/>
                    </w:rPr>
                    <w:t>/</w:t>
                  </w:r>
                </w:p>
              </w:tc>
            </w:tr>
            <w:tr w14:paraId="28418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5" w:type="pct"/>
                  <w:gridSpan w:val="2"/>
                  <w:vMerge w:val="restart"/>
                  <w:shd w:val="clear" w:color="auto" w:fill="auto"/>
                  <w:vAlign w:val="center"/>
                </w:tcPr>
                <w:p w14:paraId="49C80BEE">
                  <w:pPr>
                    <w:spacing w:line="240" w:lineRule="auto"/>
                    <w:ind w:firstLine="0" w:firstLineChars="0"/>
                    <w:jc w:val="center"/>
                    <w:rPr>
                      <w:rFonts w:hint="default" w:eastAsia="宋体"/>
                      <w:b/>
                      <w:bCs/>
                      <w:color w:val="auto"/>
                      <w:sz w:val="21"/>
                      <w:szCs w:val="21"/>
                      <w:u w:val="single"/>
                      <w:lang w:val="en-US" w:eastAsia="zh-CN"/>
                    </w:rPr>
                  </w:pPr>
                  <w:r>
                    <w:rPr>
                      <w:rFonts w:hint="eastAsia"/>
                      <w:b/>
                      <w:bCs/>
                      <w:color w:val="auto"/>
                      <w:sz w:val="21"/>
                      <w:szCs w:val="21"/>
                      <w:u w:val="single"/>
                      <w:lang w:val="en-US" w:eastAsia="zh-CN"/>
                    </w:rPr>
                    <w:t>全厂排放量合计</w:t>
                  </w:r>
                </w:p>
              </w:tc>
              <w:tc>
                <w:tcPr>
                  <w:tcW w:w="533" w:type="pct"/>
                  <w:shd w:val="clear" w:color="auto" w:fill="auto"/>
                  <w:vAlign w:val="center"/>
                </w:tcPr>
                <w:p w14:paraId="6CADE76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u w:val="single"/>
                      <w:vertAlign w:val="baseline"/>
                      <w:lang w:val="en-US" w:eastAsia="zh-CN"/>
                    </w:rPr>
                  </w:pPr>
                  <w:r>
                    <w:rPr>
                      <w:rFonts w:hint="eastAsia"/>
                      <w:b/>
                      <w:bCs/>
                      <w:color w:val="auto"/>
                      <w:sz w:val="21"/>
                      <w:szCs w:val="21"/>
                      <w:u w:val="single"/>
                      <w:vertAlign w:val="baseline"/>
                      <w:lang w:val="en-US" w:eastAsia="zh-CN"/>
                    </w:rPr>
                    <w:t>COD</w:t>
                  </w:r>
                </w:p>
              </w:tc>
              <w:tc>
                <w:tcPr>
                  <w:tcW w:w="648" w:type="pct"/>
                  <w:shd w:val="clear" w:color="auto" w:fill="auto"/>
                  <w:vAlign w:val="center"/>
                </w:tcPr>
                <w:p w14:paraId="52590447">
                  <w:pPr>
                    <w:spacing w:line="240" w:lineRule="auto"/>
                    <w:ind w:firstLine="0" w:firstLineChars="0"/>
                    <w:jc w:val="center"/>
                    <w:rPr>
                      <w:rFonts w:hint="default" w:ascii="Times New Roman" w:hAnsi="Times New Roman" w:eastAsia="宋体" w:cs="Times New Roman"/>
                      <w:b/>
                      <w:bCs/>
                      <w:color w:val="auto"/>
                      <w:kern w:val="2"/>
                      <w:sz w:val="24"/>
                      <w:szCs w:val="24"/>
                      <w:u w:val="single"/>
                      <w:lang w:val="en-US" w:eastAsia="zh-CN" w:bidi="ar-SA"/>
                    </w:rPr>
                  </w:pPr>
                  <w:r>
                    <w:rPr>
                      <w:rFonts w:hint="eastAsia" w:ascii="Times New Roman" w:hAnsi="Times New Roman" w:eastAsia="宋体" w:cs="Times New Roman"/>
                      <w:b/>
                      <w:bCs/>
                      <w:color w:val="auto"/>
                      <w:sz w:val="24"/>
                      <w:szCs w:val="24"/>
                      <w:u w:val="single"/>
                      <w:lang w:val="en-US" w:eastAsia="zh-CN"/>
                    </w:rPr>
                    <w:t>93.</w:t>
                  </w:r>
                  <w:r>
                    <w:rPr>
                      <w:rFonts w:hint="eastAsia" w:cs="Times New Roman"/>
                      <w:b/>
                      <w:bCs/>
                      <w:color w:val="auto"/>
                      <w:sz w:val="24"/>
                      <w:szCs w:val="24"/>
                      <w:u w:val="single"/>
                      <w:lang w:val="en-US" w:eastAsia="zh-CN"/>
                    </w:rPr>
                    <w:t>4</w:t>
                  </w:r>
                </w:p>
              </w:tc>
              <w:tc>
                <w:tcPr>
                  <w:tcW w:w="538" w:type="pct"/>
                  <w:shd w:val="clear" w:color="auto" w:fill="auto"/>
                  <w:vAlign w:val="center"/>
                </w:tcPr>
                <w:p w14:paraId="4E27900F">
                  <w:pPr>
                    <w:spacing w:line="240" w:lineRule="auto"/>
                    <w:ind w:firstLine="0" w:firstLineChars="0"/>
                    <w:jc w:val="center"/>
                    <w:rPr>
                      <w:rFonts w:hint="eastAsia" w:ascii="Times New Roman" w:hAnsi="Times New Roman" w:eastAsia="宋体" w:cs="Times New Roman"/>
                      <w:b/>
                      <w:bCs/>
                      <w:color w:val="auto"/>
                      <w:kern w:val="2"/>
                      <w:sz w:val="24"/>
                      <w:szCs w:val="24"/>
                      <w:u w:val="single"/>
                      <w:lang w:val="en-US" w:eastAsia="zh-CN" w:bidi="ar-SA"/>
                    </w:rPr>
                  </w:pPr>
                  <w:r>
                    <w:rPr>
                      <w:rFonts w:hint="eastAsia" w:ascii="Times New Roman" w:hAnsi="Times New Roman" w:eastAsia="宋体" w:cs="Times New Roman"/>
                      <w:b/>
                      <w:bCs/>
                      <w:color w:val="auto"/>
                      <w:sz w:val="24"/>
                      <w:szCs w:val="24"/>
                      <w:u w:val="single"/>
                      <w:lang w:val="en-US" w:eastAsia="zh-CN"/>
                    </w:rPr>
                    <w:t>0.0164</w:t>
                  </w:r>
                </w:p>
              </w:tc>
              <w:tc>
                <w:tcPr>
                  <w:tcW w:w="591" w:type="pct"/>
                  <w:shd w:val="clear" w:color="auto" w:fill="auto"/>
                  <w:vAlign w:val="center"/>
                </w:tcPr>
                <w:p w14:paraId="3D2F86D4">
                  <w:pPr>
                    <w:spacing w:line="240" w:lineRule="auto"/>
                    <w:ind w:firstLine="0" w:firstLineChars="0"/>
                    <w:jc w:val="center"/>
                    <w:rPr>
                      <w:rFonts w:hint="eastAsia" w:ascii="Times New Roman" w:hAnsi="Times New Roman" w:eastAsia="宋体" w:cs="Times New Roman"/>
                      <w:b/>
                      <w:bCs/>
                      <w:snapToGrid w:val="0"/>
                      <w:color w:val="auto"/>
                      <w:kern w:val="2"/>
                      <w:sz w:val="21"/>
                      <w:szCs w:val="21"/>
                      <w:u w:val="single"/>
                      <w:lang w:val="en-US" w:eastAsia="zh-CN" w:bidi="ar-SA"/>
                    </w:rPr>
                  </w:pPr>
                  <w:r>
                    <w:rPr>
                      <w:rFonts w:hint="eastAsia" w:ascii="Times New Roman" w:hAnsi="Times New Roman" w:eastAsia="宋体" w:cs="Times New Roman"/>
                      <w:b/>
                      <w:bCs/>
                      <w:color w:val="auto"/>
                      <w:sz w:val="24"/>
                      <w:szCs w:val="24"/>
                      <w:u w:val="single"/>
                      <w:lang w:val="en-US" w:eastAsia="zh-CN"/>
                    </w:rPr>
                    <w:t>5.2</w:t>
                  </w:r>
                  <w:r>
                    <w:rPr>
                      <w:rFonts w:hint="eastAsia" w:cs="Times New Roman"/>
                      <w:b/>
                      <w:bCs/>
                      <w:color w:val="auto"/>
                      <w:sz w:val="24"/>
                      <w:szCs w:val="24"/>
                      <w:u w:val="single"/>
                      <w:lang w:val="en-US" w:eastAsia="zh-CN"/>
                    </w:rPr>
                    <w:t>507</w:t>
                  </w:r>
                </w:p>
              </w:tc>
              <w:tc>
                <w:tcPr>
                  <w:tcW w:w="587" w:type="pct"/>
                  <w:shd w:val="clear" w:color="auto" w:fill="auto"/>
                  <w:vAlign w:val="center"/>
                </w:tcPr>
                <w:p w14:paraId="23F2D976">
                  <w:pPr>
                    <w:spacing w:line="240" w:lineRule="auto"/>
                    <w:ind w:firstLine="0" w:firstLineChars="0"/>
                    <w:jc w:val="center"/>
                    <w:rPr>
                      <w:rFonts w:hint="default" w:ascii="Times New Roman" w:hAnsi="Times New Roman" w:eastAsia="宋体" w:cs="Times New Roman"/>
                      <w:b/>
                      <w:bCs/>
                      <w:color w:val="auto"/>
                      <w:sz w:val="24"/>
                      <w:szCs w:val="24"/>
                      <w:u w:val="single"/>
                      <w:lang w:val="en-US" w:eastAsia="zh-CN"/>
                    </w:rPr>
                  </w:pPr>
                  <w:r>
                    <w:rPr>
                      <w:rFonts w:hint="eastAsia" w:cs="Times New Roman"/>
                      <w:b/>
                      <w:bCs/>
                      <w:color w:val="auto"/>
                      <w:sz w:val="24"/>
                      <w:szCs w:val="24"/>
                      <w:u w:val="single"/>
                      <w:lang w:val="en-US" w:eastAsia="zh-CN"/>
                    </w:rPr>
                    <w:t>40</w:t>
                  </w:r>
                </w:p>
              </w:tc>
              <w:tc>
                <w:tcPr>
                  <w:tcW w:w="948" w:type="dxa"/>
                  <w:shd w:val="clear" w:color="auto" w:fill="auto"/>
                  <w:vAlign w:val="center"/>
                </w:tcPr>
                <w:p w14:paraId="662F5BA6">
                  <w:pPr>
                    <w:spacing w:line="240" w:lineRule="auto"/>
                    <w:ind w:firstLine="0" w:firstLineChars="0"/>
                    <w:jc w:val="center"/>
                    <w:rPr>
                      <w:rFonts w:hint="eastAsia" w:ascii="Times New Roman" w:hAnsi="Times New Roman" w:eastAsia="宋体" w:cs="Times New Roman"/>
                      <w:b/>
                      <w:bCs/>
                      <w:color w:val="auto"/>
                      <w:kern w:val="2"/>
                      <w:sz w:val="24"/>
                      <w:szCs w:val="24"/>
                      <w:u w:val="single"/>
                      <w:lang w:val="en-US" w:eastAsia="zh-CN" w:bidi="ar-SA"/>
                    </w:rPr>
                  </w:pPr>
                  <w:r>
                    <w:rPr>
                      <w:rFonts w:hint="eastAsia" w:ascii="Times New Roman" w:hAnsi="Times New Roman" w:eastAsia="宋体" w:cs="Times New Roman"/>
                      <w:b/>
                      <w:bCs/>
                      <w:color w:val="auto"/>
                      <w:sz w:val="24"/>
                      <w:szCs w:val="24"/>
                      <w:u w:val="single"/>
                      <w:lang w:val="en-US" w:eastAsia="zh-CN"/>
                    </w:rPr>
                    <w:t>0.0070</w:t>
                  </w:r>
                </w:p>
              </w:tc>
              <w:tc>
                <w:tcPr>
                  <w:tcW w:w="952" w:type="dxa"/>
                  <w:shd w:val="clear" w:color="auto" w:fill="auto"/>
                  <w:vAlign w:val="center"/>
                </w:tcPr>
                <w:p w14:paraId="4F8A8D0C">
                  <w:pPr>
                    <w:spacing w:line="240" w:lineRule="auto"/>
                    <w:ind w:firstLine="0" w:firstLineChars="0"/>
                    <w:jc w:val="center"/>
                    <w:rPr>
                      <w:rFonts w:hint="eastAsia" w:ascii="Times New Roman" w:hAnsi="Times New Roman" w:eastAsia="宋体" w:cs="Times New Roman"/>
                      <w:b/>
                      <w:bCs/>
                      <w:color w:val="auto"/>
                      <w:kern w:val="2"/>
                      <w:sz w:val="24"/>
                      <w:szCs w:val="24"/>
                      <w:u w:val="single"/>
                      <w:lang w:val="en-US" w:eastAsia="zh-CN" w:bidi="ar-SA"/>
                    </w:rPr>
                  </w:pPr>
                  <w:r>
                    <w:rPr>
                      <w:rFonts w:hint="eastAsia" w:ascii="Times New Roman" w:hAnsi="Times New Roman" w:eastAsia="宋体" w:cs="Times New Roman"/>
                      <w:b/>
                      <w:bCs/>
                      <w:color w:val="auto"/>
                      <w:sz w:val="24"/>
                      <w:szCs w:val="24"/>
                      <w:u w:val="single"/>
                      <w:lang w:val="en-US" w:eastAsia="zh-CN"/>
                    </w:rPr>
                    <w:t>2.24</w:t>
                  </w:r>
                  <w:r>
                    <w:rPr>
                      <w:rFonts w:hint="eastAsia" w:cs="Times New Roman"/>
                      <w:b/>
                      <w:bCs/>
                      <w:color w:val="auto"/>
                      <w:sz w:val="24"/>
                      <w:szCs w:val="24"/>
                      <w:u w:val="single"/>
                      <w:lang w:val="en-US" w:eastAsia="zh-CN"/>
                    </w:rPr>
                    <w:t>74</w:t>
                  </w:r>
                </w:p>
              </w:tc>
            </w:tr>
            <w:tr w14:paraId="0282A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5" w:type="pct"/>
                  <w:gridSpan w:val="2"/>
                  <w:vMerge w:val="continue"/>
                  <w:shd w:val="clear" w:color="auto" w:fill="auto"/>
                  <w:vAlign w:val="center"/>
                </w:tcPr>
                <w:p w14:paraId="0D5BF5F2">
                  <w:pPr>
                    <w:spacing w:line="240" w:lineRule="auto"/>
                    <w:ind w:firstLine="0" w:firstLineChars="0"/>
                    <w:jc w:val="center"/>
                    <w:rPr>
                      <w:b/>
                      <w:bCs/>
                      <w:color w:val="auto"/>
                      <w:sz w:val="21"/>
                      <w:szCs w:val="21"/>
                      <w:u w:val="single"/>
                    </w:rPr>
                  </w:pPr>
                </w:p>
              </w:tc>
              <w:tc>
                <w:tcPr>
                  <w:tcW w:w="533" w:type="pct"/>
                  <w:shd w:val="clear" w:color="auto" w:fill="auto"/>
                  <w:vAlign w:val="center"/>
                </w:tcPr>
                <w:p w14:paraId="6DAE8D6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u w:val="single"/>
                      <w:vertAlign w:val="baseline"/>
                      <w:lang w:val="en-US" w:eastAsia="zh-CN"/>
                    </w:rPr>
                  </w:pPr>
                  <w:r>
                    <w:rPr>
                      <w:rFonts w:hint="eastAsia"/>
                      <w:b/>
                      <w:bCs/>
                      <w:color w:val="auto"/>
                      <w:sz w:val="21"/>
                      <w:szCs w:val="21"/>
                      <w:u w:val="single"/>
                      <w:vertAlign w:val="baseline"/>
                      <w:lang w:val="en-US" w:eastAsia="zh-CN"/>
                    </w:rPr>
                    <w:t>NH3-N</w:t>
                  </w:r>
                </w:p>
              </w:tc>
              <w:tc>
                <w:tcPr>
                  <w:tcW w:w="648" w:type="pct"/>
                  <w:shd w:val="clear" w:color="auto" w:fill="auto"/>
                  <w:vAlign w:val="center"/>
                </w:tcPr>
                <w:p w14:paraId="4D1EE575">
                  <w:pPr>
                    <w:spacing w:line="240" w:lineRule="auto"/>
                    <w:ind w:firstLine="0" w:firstLineChars="0"/>
                    <w:jc w:val="center"/>
                    <w:rPr>
                      <w:rFonts w:hint="eastAsia" w:ascii="Times New Roman" w:hAnsi="Times New Roman" w:eastAsia="宋体" w:cs="Times New Roman"/>
                      <w:b/>
                      <w:bCs/>
                      <w:color w:val="auto"/>
                      <w:kern w:val="2"/>
                      <w:sz w:val="24"/>
                      <w:szCs w:val="24"/>
                      <w:u w:val="single"/>
                      <w:lang w:val="en-US" w:eastAsia="zh-CN" w:bidi="ar-SA"/>
                    </w:rPr>
                  </w:pPr>
                  <w:r>
                    <w:rPr>
                      <w:rFonts w:hint="eastAsia" w:ascii="Times New Roman" w:hAnsi="Times New Roman" w:eastAsia="宋体" w:cs="Times New Roman"/>
                      <w:b/>
                      <w:bCs/>
                      <w:color w:val="auto"/>
                      <w:sz w:val="24"/>
                      <w:szCs w:val="24"/>
                      <w:u w:val="single"/>
                      <w:lang w:val="en-US" w:eastAsia="zh-CN"/>
                    </w:rPr>
                    <w:t>7.7</w:t>
                  </w:r>
                </w:p>
              </w:tc>
              <w:tc>
                <w:tcPr>
                  <w:tcW w:w="538" w:type="pct"/>
                  <w:shd w:val="clear" w:color="auto" w:fill="auto"/>
                  <w:vAlign w:val="center"/>
                </w:tcPr>
                <w:p w14:paraId="3426B9F4">
                  <w:pPr>
                    <w:spacing w:line="240" w:lineRule="auto"/>
                    <w:ind w:firstLine="0" w:firstLineChars="0"/>
                    <w:jc w:val="center"/>
                    <w:rPr>
                      <w:rFonts w:hint="eastAsia" w:ascii="Times New Roman" w:hAnsi="Times New Roman" w:eastAsia="宋体" w:cs="Times New Roman"/>
                      <w:b/>
                      <w:bCs/>
                      <w:color w:val="auto"/>
                      <w:kern w:val="2"/>
                      <w:sz w:val="24"/>
                      <w:szCs w:val="24"/>
                      <w:u w:val="single"/>
                      <w:lang w:val="en-US" w:eastAsia="zh-CN" w:bidi="ar-SA"/>
                    </w:rPr>
                  </w:pPr>
                  <w:r>
                    <w:rPr>
                      <w:rFonts w:hint="eastAsia" w:ascii="Times New Roman" w:hAnsi="Times New Roman" w:eastAsia="宋体" w:cs="Times New Roman"/>
                      <w:b/>
                      <w:bCs/>
                      <w:color w:val="auto"/>
                      <w:sz w:val="24"/>
                      <w:szCs w:val="24"/>
                      <w:u w:val="single"/>
                      <w:lang w:val="en-US" w:eastAsia="zh-CN"/>
                    </w:rPr>
                    <w:t>0.001</w:t>
                  </w:r>
                  <w:r>
                    <w:rPr>
                      <w:rFonts w:hint="eastAsia" w:cs="Times New Roman"/>
                      <w:b/>
                      <w:bCs/>
                      <w:color w:val="auto"/>
                      <w:sz w:val="24"/>
                      <w:szCs w:val="24"/>
                      <w:u w:val="single"/>
                      <w:lang w:val="en-US" w:eastAsia="zh-CN"/>
                    </w:rPr>
                    <w:t>4</w:t>
                  </w:r>
                </w:p>
              </w:tc>
              <w:tc>
                <w:tcPr>
                  <w:tcW w:w="591" w:type="pct"/>
                  <w:shd w:val="clear" w:color="auto" w:fill="auto"/>
                  <w:vAlign w:val="center"/>
                </w:tcPr>
                <w:p w14:paraId="625FF99F">
                  <w:pPr>
                    <w:spacing w:line="240" w:lineRule="auto"/>
                    <w:ind w:firstLine="0" w:firstLineChars="0"/>
                    <w:jc w:val="center"/>
                    <w:rPr>
                      <w:rFonts w:hint="eastAsia" w:ascii="Times New Roman" w:hAnsi="Times New Roman" w:eastAsia="宋体" w:cs="Times New Roman"/>
                      <w:b/>
                      <w:bCs/>
                      <w:snapToGrid w:val="0"/>
                      <w:color w:val="auto"/>
                      <w:kern w:val="2"/>
                      <w:sz w:val="21"/>
                      <w:szCs w:val="21"/>
                      <w:u w:val="single"/>
                      <w:lang w:val="en-US" w:eastAsia="zh-CN" w:bidi="ar-SA"/>
                    </w:rPr>
                  </w:pPr>
                  <w:r>
                    <w:rPr>
                      <w:rFonts w:hint="eastAsia" w:ascii="Times New Roman" w:hAnsi="Times New Roman" w:eastAsia="宋体" w:cs="Times New Roman"/>
                      <w:b/>
                      <w:bCs/>
                      <w:color w:val="auto"/>
                      <w:sz w:val="24"/>
                      <w:szCs w:val="24"/>
                      <w:u w:val="single"/>
                      <w:lang w:val="en-US" w:eastAsia="zh-CN"/>
                    </w:rPr>
                    <w:t>0.43</w:t>
                  </w:r>
                  <w:r>
                    <w:rPr>
                      <w:rFonts w:hint="eastAsia" w:cs="Times New Roman"/>
                      <w:b/>
                      <w:bCs/>
                      <w:color w:val="auto"/>
                      <w:sz w:val="24"/>
                      <w:szCs w:val="24"/>
                      <w:u w:val="single"/>
                      <w:lang w:val="en-US" w:eastAsia="zh-CN"/>
                    </w:rPr>
                    <w:t>11</w:t>
                  </w:r>
                </w:p>
              </w:tc>
              <w:tc>
                <w:tcPr>
                  <w:tcW w:w="587" w:type="pct"/>
                  <w:shd w:val="clear" w:color="auto" w:fill="auto"/>
                  <w:vAlign w:val="center"/>
                </w:tcPr>
                <w:p w14:paraId="24356B4F">
                  <w:pPr>
                    <w:spacing w:line="240" w:lineRule="auto"/>
                    <w:ind w:firstLine="0" w:firstLineChars="0"/>
                    <w:jc w:val="center"/>
                    <w:rPr>
                      <w:rFonts w:hint="default" w:ascii="Times New Roman" w:hAnsi="Times New Roman" w:eastAsia="宋体" w:cs="Times New Roman"/>
                      <w:b/>
                      <w:bCs/>
                      <w:color w:val="auto"/>
                      <w:sz w:val="24"/>
                      <w:szCs w:val="24"/>
                      <w:u w:val="single"/>
                      <w:lang w:val="en-US" w:eastAsia="zh-CN"/>
                    </w:rPr>
                  </w:pPr>
                  <w:r>
                    <w:rPr>
                      <w:rFonts w:hint="eastAsia" w:cs="Times New Roman"/>
                      <w:b/>
                      <w:bCs/>
                      <w:color w:val="auto"/>
                      <w:sz w:val="24"/>
                      <w:szCs w:val="24"/>
                      <w:u w:val="single"/>
                      <w:lang w:val="en-US" w:eastAsia="zh-CN"/>
                    </w:rPr>
                    <w:t>2</w:t>
                  </w:r>
                </w:p>
              </w:tc>
              <w:tc>
                <w:tcPr>
                  <w:tcW w:w="948" w:type="dxa"/>
                  <w:shd w:val="clear" w:color="auto" w:fill="auto"/>
                  <w:vAlign w:val="center"/>
                </w:tcPr>
                <w:p w14:paraId="79EC3B63">
                  <w:pPr>
                    <w:spacing w:line="240" w:lineRule="auto"/>
                    <w:ind w:firstLine="0" w:firstLineChars="0"/>
                    <w:jc w:val="center"/>
                    <w:rPr>
                      <w:rFonts w:hint="eastAsia" w:ascii="Times New Roman" w:hAnsi="Times New Roman" w:eastAsia="宋体" w:cs="Times New Roman"/>
                      <w:b/>
                      <w:bCs/>
                      <w:color w:val="auto"/>
                      <w:kern w:val="2"/>
                      <w:sz w:val="24"/>
                      <w:szCs w:val="24"/>
                      <w:u w:val="single"/>
                      <w:lang w:val="en-US" w:eastAsia="zh-CN" w:bidi="ar-SA"/>
                    </w:rPr>
                  </w:pPr>
                  <w:r>
                    <w:rPr>
                      <w:rFonts w:hint="eastAsia" w:ascii="Times New Roman" w:hAnsi="Times New Roman" w:eastAsia="宋体" w:cs="Times New Roman"/>
                      <w:b/>
                      <w:bCs/>
                      <w:color w:val="auto"/>
                      <w:sz w:val="24"/>
                      <w:szCs w:val="24"/>
                      <w:u w:val="single"/>
                      <w:lang w:val="en-US" w:eastAsia="zh-CN"/>
                    </w:rPr>
                    <w:t>0.0004</w:t>
                  </w:r>
                </w:p>
              </w:tc>
              <w:tc>
                <w:tcPr>
                  <w:tcW w:w="952" w:type="dxa"/>
                  <w:shd w:val="clear" w:color="auto" w:fill="auto"/>
                  <w:vAlign w:val="center"/>
                </w:tcPr>
                <w:p w14:paraId="7EEFD7F8">
                  <w:pPr>
                    <w:spacing w:line="240" w:lineRule="auto"/>
                    <w:ind w:firstLine="0" w:firstLineChars="0"/>
                    <w:jc w:val="center"/>
                    <w:rPr>
                      <w:rFonts w:hint="eastAsia" w:ascii="Times New Roman" w:hAnsi="Times New Roman" w:eastAsia="宋体" w:cs="Times New Roman"/>
                      <w:b/>
                      <w:bCs/>
                      <w:color w:val="auto"/>
                      <w:kern w:val="2"/>
                      <w:sz w:val="24"/>
                      <w:szCs w:val="24"/>
                      <w:u w:val="single"/>
                      <w:lang w:val="en-US" w:eastAsia="zh-CN" w:bidi="ar-SA"/>
                    </w:rPr>
                  </w:pPr>
                  <w:r>
                    <w:rPr>
                      <w:rFonts w:hint="eastAsia" w:ascii="Times New Roman" w:hAnsi="Times New Roman" w:eastAsia="宋体" w:cs="Times New Roman"/>
                      <w:b/>
                      <w:bCs/>
                      <w:color w:val="auto"/>
                      <w:sz w:val="24"/>
                      <w:szCs w:val="24"/>
                      <w:u w:val="single"/>
                      <w:lang w:val="en-US" w:eastAsia="zh-CN"/>
                    </w:rPr>
                    <w:t>0.112</w:t>
                  </w:r>
                  <w:r>
                    <w:rPr>
                      <w:rFonts w:hint="eastAsia" w:cs="Times New Roman"/>
                      <w:b/>
                      <w:bCs/>
                      <w:color w:val="auto"/>
                      <w:sz w:val="24"/>
                      <w:szCs w:val="24"/>
                      <w:u w:val="single"/>
                      <w:lang w:val="en-US" w:eastAsia="zh-CN"/>
                    </w:rPr>
                    <w:t>4</w:t>
                  </w:r>
                </w:p>
              </w:tc>
            </w:tr>
          </w:tbl>
          <w:p w14:paraId="2E51A78F">
            <w:pPr>
              <w:keepNext w:val="0"/>
              <w:keepLines w:val="0"/>
              <w:pageBreakBefore w:val="0"/>
              <w:widowControl w:val="0"/>
              <w:kinsoku/>
              <w:wordWrap w:val="0"/>
              <w:overflowPunct/>
              <w:topLinePunct w:val="0"/>
              <w:bidi w:val="0"/>
              <w:adjustRightInd/>
              <w:snapToGrid/>
              <w:ind w:firstLine="0" w:firstLineChars="0"/>
              <w:textAlignment w:val="auto"/>
              <w:rPr>
                <w:b/>
                <w:color w:val="auto"/>
              </w:rPr>
            </w:pPr>
            <w:r>
              <w:rPr>
                <w:rFonts w:hint="eastAsia"/>
                <w:b/>
                <w:bCs/>
                <w:color w:val="auto"/>
              </w:rPr>
              <w:t>3.废</w:t>
            </w:r>
            <w:r>
              <w:rPr>
                <w:rFonts w:hint="eastAsia"/>
                <w:b/>
                <w:bCs/>
                <w:color w:val="auto"/>
                <w:lang w:val="en-US" w:eastAsia="zh-CN"/>
              </w:rPr>
              <w:t>水</w:t>
            </w:r>
            <w:r>
              <w:rPr>
                <w:rFonts w:hint="eastAsia"/>
                <w:b/>
                <w:bCs/>
                <w:color w:val="auto"/>
              </w:rPr>
              <w:t>污染治理措施可行性分析</w:t>
            </w:r>
          </w:p>
          <w:p w14:paraId="36E82964">
            <w:pPr>
              <w:keepLines w:val="0"/>
              <w:pageBreakBefore w:val="0"/>
              <w:widowControl w:val="0"/>
              <w:kinsoku/>
              <w:wordWrap w:val="0"/>
              <w:topLinePunct w:val="0"/>
              <w:autoSpaceDE/>
              <w:autoSpaceDN/>
              <w:bidi w:val="0"/>
              <w:adjustRightInd/>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属于中药饮片加工项目，中药制药企业生产废水污染物主要包括糖类、蒽醌、木质素、生物碱、色素及它们的水解产物。中药废水的特点是：有机污染物浓度高、悬浮物，尤其是木质素等密度较轻，难于沉淀的有机物质含量高，且胶体体系非常稳定</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色度较高</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因此，在中药废水处理过程中，一般先采用混凝、破乳、电凝聚或气浮等方法，将废水中固体有机物凝聚沉降或上浮分离，尽可能地减少后续生化处理的有机负荷。由于中药制药废水的可生化性较好，采用各类生化处理方法都容易取得较好的有机物去除效果。</w:t>
            </w:r>
          </w:p>
          <w:p w14:paraId="79598641">
            <w:pPr>
              <w:keepLines w:val="0"/>
              <w:pageBreakBefore w:val="0"/>
              <w:widowControl w:val="0"/>
              <w:kinsoku/>
              <w:wordWrap w:val="0"/>
              <w:topLinePunct w:val="0"/>
              <w:autoSpaceDE/>
              <w:autoSpaceDN/>
              <w:bidi w:val="0"/>
              <w:adjustRightInd/>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现有中药废水现有的治理方法依然沿用了目前常用的制药废水的处理方法，即：物化法、生物法和物化—生物法。物化法处理中药废水可作为单独的处理工序，又可作生物法的预处理或后处理工序。根据水质的不同，采用的物理化学法有：混凝法、吸附法、电解法、气浮法等。</w:t>
            </w:r>
          </w:p>
          <w:p w14:paraId="5FC36410">
            <w:pPr>
              <w:keepLines w:val="0"/>
              <w:pageBreakBefore w:val="0"/>
              <w:widowControl w:val="0"/>
              <w:kinsoku/>
              <w:wordWrap w:val="0"/>
              <w:topLinePunct w:val="0"/>
              <w:autoSpaceDE/>
              <w:autoSpaceDN/>
              <w:bidi w:val="0"/>
              <w:adjustRightInd/>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物法广泛用于生活污水和工业废水的处理，技术成热，处理设备简单，运行管理方便，费用低廉，中药废水处理工艺也以生物法为主。厌氧生物法是中药废水最常用的处理工艺，能够去除有机废水中的大部分污染物。现有研究利用两相厌氧消化中的产酸相将大分子有机物分解成小分子物质，改善中药废水的可生物降解性之后，再好氧处理。</w:t>
            </w:r>
          </w:p>
          <w:p w14:paraId="55B80F7B">
            <w:pPr>
              <w:keepLines w:val="0"/>
              <w:pageBreakBefore w:val="0"/>
              <w:widowControl w:val="0"/>
              <w:kinsoku/>
              <w:wordWrap w:val="0"/>
              <w:topLinePunct w:val="0"/>
              <w:autoSpaceDE/>
              <w:autoSpaceDN/>
              <w:bidi w:val="0"/>
              <w:adjustRightInd/>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物化一生物法一般按照前处理一厌氧处理一好氧处理一后续处理的途径来组合。前处理的目的是使物料的理化性状适合于后续生物法处理的要求，除调节、稳定水量与水质(如COD、SS、碱度、pH、物料营养比例等)。还有去除生物抑制物质，提高废水可生化性的作用。前处理方法应根据废水特点及试验结果而定，以沉淀、絮凝、过滤等方法为主。</w:t>
            </w:r>
          </w:p>
          <w:p w14:paraId="52521F04">
            <w:pPr>
              <w:keepLines w:val="0"/>
              <w:pageBreakBefore w:val="0"/>
              <w:widowControl w:val="0"/>
              <w:kinsoku/>
              <w:wordWrap w:val="0"/>
              <w:topLinePunct w:val="0"/>
              <w:autoSpaceDE/>
              <w:autoSpaceDN/>
              <w:bidi w:val="0"/>
              <w:adjustRightInd/>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由于产品更换周期短，随着产品的更换，废水水质、水量经常波动，极不稳定。对于浓度较高的有机废水单独厌氧处理一般不能够达到排放标准要求，单独的好氧处理，运营费用高，经济性差。厌氧—好氧联合工艺结合了厌氧和好氧处理的优点而避免了各自的缺点，厌氧处理工艺能耗低、污泥产量高，因此，厌氧—好氧联合工艺在能耗、投资、处理成本和治理效果等方面都具有很大的优越性。</w:t>
            </w:r>
          </w:p>
          <w:p w14:paraId="36E8B84E">
            <w:pPr>
              <w:keepLines w:val="0"/>
              <w:pageBreakBefore w:val="0"/>
              <w:widowControl w:val="0"/>
              <w:kinsoku/>
              <w:wordWrap w:val="0"/>
              <w:topLinePunct w:val="0"/>
              <w:autoSpaceDE/>
              <w:autoSpaceDN/>
              <w:bidi w:val="0"/>
              <w:adjustRightInd/>
              <w:spacing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制药工业水污染物排放标准编制说明》（2007年9月）中对全国35家中药企业废水处理调研结果显示“近年来，中药企业将UASB与好氧法联合使用，改善了反应器性能，对COD、BOD5的去除率可达95%以上”。本项目将采用厌氧—好氧生化处理工艺。本项目厌氧处理选用UASB反应器</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好氧采用生物接触氧化法。其中：</w:t>
            </w:r>
          </w:p>
          <w:p w14:paraId="38809A54">
            <w:pPr>
              <w:keepNext w:val="0"/>
              <w:keepLines w:val="0"/>
              <w:pageBreakBefore w:val="0"/>
              <w:widowControl w:val="0"/>
              <w:numPr>
                <w:ilvl w:val="0"/>
                <w:numId w:val="10"/>
              </w:numPr>
              <w:kinsoku/>
              <w:wordWrap w:val="0"/>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color w:val="auto"/>
                <w:sz w:val="24"/>
                <w:szCs w:val="24"/>
                <w:lang w:val="en-US" w:eastAsia="zh-CN"/>
              </w:rPr>
              <w:t>UASB工艺原理：</w:t>
            </w:r>
            <w:r>
              <w:rPr>
                <w:rFonts w:hint="default" w:ascii="Times New Roman" w:hAnsi="Times New Roman" w:eastAsia="宋体" w:cs="Times New Roman"/>
                <w:color w:val="auto"/>
                <w:sz w:val="24"/>
                <w:szCs w:val="24"/>
                <w:lang w:val="en-US" w:eastAsia="zh-CN"/>
              </w:rPr>
              <w:t>UASB厌氧工艺是在厌氧条件下，有机物经过水解酸化、产氢产乙酸和产甲烷三个阶段得到降解。反应器由污泥反应区、气液固三相分离器和沉淀区三部分组成。在底部反应区内存留大量厌氧污泥，这些具有良好沉淀性能和凝聚性能的污泥在下部形成污泥层。要处理的污水从厌氧污泥床底部流入与污泥层中污泥进行混合接触，污泥中的微生物分解污水中的有机物，把它转化为沼气。沼气以微小气泡形式不断放出，微小气泡在上升过程中，不断合并形成较大的气泡，在污泥床上部由于沼气的搅动形成一个污泥浓度较稀薄的污泥和水一起上升进入三相分离器。沼气碰到分离器下部的反射板时，折向反射板的四周，然后穿过水层进入气室。集中在气室的沼气，用导管导出，固液混合液经过反射进入三相分离器的沉淀区。污水中的污泥由于水力的剪切作用，颗粒逐渐增大，并在重力作用下沉降。沉淀至斜壁上的污泥沿着斜壁滑回厌氧反应区内，使反应区内积累大量的污泥，与污泥分离后的处理出水从沉淀区溢流堰上部溢出，然后排出污泥床。</w:t>
            </w:r>
            <w:r>
              <w:rPr>
                <w:rFonts w:hint="default" w:ascii="Times New Roman" w:hAnsi="Times New Roman" w:eastAsia="宋体" w:cs="Times New Roman"/>
                <w:sz w:val="24"/>
                <w:szCs w:val="24"/>
                <w:lang w:val="en-US" w:eastAsia="zh-CN"/>
              </w:rPr>
              <w:t>UASB负荷要比好氧高得多，减少了用电需求。由于引入了外循环，对原水的中和、营养药品的添加要求就减少，运行费用大大降低。并且稳定性较好，操作和管理方便。外循环的作用，对高负荷的冲击、对水质突变、对毒性污染有较高的抗干扰能力。同时厌氧反应能产生大量沼气，充分利用，具有一定的效益。</w:t>
            </w:r>
          </w:p>
          <w:p w14:paraId="5BBAE170">
            <w:pPr>
              <w:pStyle w:val="19"/>
              <w:keepNext w:val="0"/>
              <w:keepLines w:val="0"/>
              <w:pageBreakBefore w:val="0"/>
              <w:widowControl w:val="0"/>
              <w:numPr>
                <w:ilvl w:val="0"/>
                <w:numId w:val="10"/>
              </w:numPr>
              <w:kinsoku/>
              <w:wordWrap w:val="0"/>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生物接触氧化法</w:t>
            </w:r>
            <w:r>
              <w:rPr>
                <w:rFonts w:hint="eastAsia" w:ascii="Times New Roman" w:hAnsi="Times New Roman" w:eastAsia="宋体" w:cs="Times New Roman"/>
                <w:b/>
                <w:bCs/>
                <w:sz w:val="24"/>
                <w:szCs w:val="24"/>
                <w:lang w:val="en-US" w:eastAsia="zh-CN"/>
              </w:rPr>
              <w:t>工艺原理：</w:t>
            </w:r>
            <w:r>
              <w:rPr>
                <w:rFonts w:hint="default" w:ascii="Times New Roman" w:hAnsi="Times New Roman" w:eastAsia="宋体" w:cs="Times New Roman"/>
                <w:sz w:val="24"/>
                <w:szCs w:val="24"/>
                <w:lang w:val="en-US" w:eastAsia="zh-CN"/>
              </w:rPr>
              <w:t>是一种介于活性污泥法与生物滤池之间的生物膜法工艺，其特点是在池内设置填料，池底曝气对污水进行充氧，并使池体内污水处于流动状态，以保证污水与污水中的填料充分接触，避免生物接触氧化池中存在污水与填料接触不均的缺陷。</w:t>
            </w:r>
          </w:p>
          <w:p w14:paraId="212F7ED7">
            <w:pPr>
              <w:pStyle w:val="19"/>
              <w:keepLines w:val="0"/>
              <w:pageBreakBefore w:val="0"/>
              <w:widowControl w:val="0"/>
              <w:kinsoku/>
              <w:wordWrap w:val="0"/>
              <w:topLinePunct w:val="0"/>
              <w:autoSpaceDE/>
              <w:autoSpaceDN/>
              <w:bidi w:val="0"/>
              <w:adjustRightInd/>
              <w:spacing w:after="0" w:line="360" w:lineRule="auto"/>
              <w:ind w:left="0"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其净化废水的基本原理与一般生物膜法相同，以生物膜吸附废水中的有机物，在有氧的条件下，有机物由微生物氧化分解，废水得到净化。在生物接触氧化法中，微生物主要以生物膜状态固着在填料上，同时又有部分絮体或破碎生物膜悬浮于处理水中。从微生物活性来看，生物膜的活性大于悬浮状微生物。生物接触氧化法生物膜的耗氧率比活性污泥法高。因此，生物接触氧化法中，承担有机物转化功能的微生物主要集中在生物膜上。附着在填料表面的生物膜对废水的净化作用：最初稀疏的细菌附着于填料表面，随着细菌的繁殖逐渐形成很薄的生物膜。在溶解氧和食料（有机物）都充足的条件下，微生物的繁殖十分迅速，生物膜逐渐加厚。生物膜深处到内表面与填料壁相连接的部分为弱厌气菌。废水中溶解氧和有机物扩散到生物膜为好气菌利用。但是，当生物膜长到一定厚度时，溶解氧无法像生物膜内扩散，好气菌死亡、溶化，而内层的厌气菌得以繁殖。</w:t>
            </w:r>
          </w:p>
          <w:p w14:paraId="20EB9803">
            <w:pPr>
              <w:pStyle w:val="19"/>
              <w:keepLines w:val="0"/>
              <w:pageBreakBefore w:val="0"/>
              <w:widowControl w:val="0"/>
              <w:kinsoku/>
              <w:wordWrap w:val="0"/>
              <w:topLinePunct w:val="0"/>
              <w:autoSpaceDE/>
              <w:autoSpaceDN/>
              <w:bidi w:val="0"/>
              <w:adjustRightInd/>
              <w:spacing w:after="0" w:line="360" w:lineRule="auto"/>
              <w:ind w:left="0"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经过一段时间后，厌气菌在数量上亦开始下降，加上新陈代谢气体的逸出，使内层生物膜出现许多空隙，附着力减弱，终于大块脱落。在脱落的填料表面上，新的生物膜又重新生长发展。实际上新陈代谢过程在氧化池生物膜发展的每一个阶段都是同时存在的，这样就保证了处理构筑物去除有机物的能力，使之稳定在一个水平上。</w:t>
            </w:r>
          </w:p>
          <w:p w14:paraId="00CB7648">
            <w:pPr>
              <w:keepLines w:val="0"/>
              <w:pageBreakBefore w:val="0"/>
              <w:widowControl w:val="0"/>
              <w:kinsoku/>
              <w:wordWrap w:val="0"/>
              <w:topLinePunct w:val="0"/>
              <w:autoSpaceDE/>
              <w:autoSpaceDN/>
              <w:bidi w:val="0"/>
              <w:adjustRightInd/>
              <w:spacing w:line="360" w:lineRule="auto"/>
              <w:ind w:left="0"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生物接触氧化池是在曝气池内设置填料，填料淹没在沸水中，填料上长满生物膜，废水与生物膜接触过程中，水中的有机物被微生物吸附、氧化分解和转化为新的生物膜。从填料上脱落的生物膜，随水流到二沉池沉淀去除，废水得到净化。生物接触氧化法具有有机容积负荷高，污泥产量低，抗负荷冲击能力强，不存在污泥膨胀等优点。</w:t>
            </w:r>
          </w:p>
          <w:p w14:paraId="126F7E6D">
            <w:pPr>
              <w:keepNext/>
              <w:keepLines w:val="0"/>
              <w:pageBreakBefore w:val="0"/>
              <w:widowControl w:val="0"/>
              <w:kinsoku/>
              <w:wordWrap w:val="0"/>
              <w:overflowPunct w:val="0"/>
              <w:topLinePunct w:val="0"/>
              <w:autoSpaceDE/>
              <w:autoSpaceDN/>
              <w:bidi w:val="0"/>
              <w:adjustRightInd/>
              <w:snapToGrid w:val="0"/>
              <w:spacing w:line="360" w:lineRule="auto"/>
              <w:ind w:left="0" w:leftChars="0" w:firstLine="480" w:firstLineChars="200"/>
              <w:jc w:val="both"/>
              <w:textAlignment w:val="auto"/>
              <w:outlineLvl w:val="9"/>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污水首先通过格栅去除污水中大块的悬浮物、废包装物、中药枝桠等，自流入调节池，调节和均质水量和水质。调节池中的废水泵入UASB反应器进行厌氧处理。出水经初沉池沉淀后自流进入生物接触氧化池进行好氧处理，接触氧化池出水进入臭氧脱色池进行脱色处理，脱色后经二沉池处理后，出水达到《中药类制药工业水污染物排放标准》（GB21906-2008）表2标准后进入</w:t>
            </w:r>
            <w:r>
              <w:rPr>
                <w:rFonts w:hint="eastAsia" w:cs="Times New Roman"/>
                <w:kern w:val="0"/>
                <w:sz w:val="24"/>
                <w:szCs w:val="24"/>
                <w:lang w:val="en-US" w:eastAsia="zh-CN" w:bidi="ar-SA"/>
              </w:rPr>
              <w:t>南乐县</w:t>
            </w:r>
            <w:r>
              <w:rPr>
                <w:rFonts w:hint="default" w:ascii="Times New Roman" w:hAnsi="Times New Roman" w:eastAsia="宋体" w:cs="Times New Roman"/>
                <w:kern w:val="0"/>
                <w:sz w:val="24"/>
                <w:szCs w:val="24"/>
                <w:lang w:val="en-US" w:eastAsia="zh-CN" w:bidi="ar-SA"/>
              </w:rPr>
              <w:t>污水处理厂处理，达到《城镇污水处理厂污染物排放标准》（GB18918-2002）一级A标准后进入</w:t>
            </w:r>
            <w:r>
              <w:rPr>
                <w:rFonts w:hint="eastAsia" w:cs="Times New Roman"/>
                <w:kern w:val="0"/>
                <w:sz w:val="24"/>
                <w:szCs w:val="24"/>
                <w:lang w:val="en-US" w:eastAsia="zh-CN" w:bidi="ar-SA"/>
              </w:rPr>
              <w:t>永顺沟</w:t>
            </w:r>
            <w:r>
              <w:rPr>
                <w:rFonts w:hint="default" w:ascii="Times New Roman" w:hAnsi="Times New Roman" w:eastAsia="宋体" w:cs="Times New Roman"/>
                <w:kern w:val="0"/>
                <w:sz w:val="24"/>
                <w:szCs w:val="24"/>
                <w:lang w:val="en-US" w:eastAsia="zh-CN" w:bidi="ar-SA"/>
              </w:rPr>
              <w:t>。</w:t>
            </w:r>
          </w:p>
          <w:p w14:paraId="357C6803">
            <w:pPr>
              <w:keepNext/>
              <w:keepLines w:val="0"/>
              <w:pageBreakBefore w:val="0"/>
              <w:widowControl w:val="0"/>
              <w:kinsoku/>
              <w:wordWrap w:val="0"/>
              <w:overflowPunct w:val="0"/>
              <w:topLinePunct w:val="0"/>
              <w:autoSpaceDE/>
              <w:autoSpaceDN/>
              <w:bidi w:val="0"/>
              <w:adjustRightInd/>
              <w:snapToGrid w:val="0"/>
              <w:spacing w:line="360" w:lineRule="auto"/>
              <w:ind w:left="0" w:lef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kern w:val="0"/>
                <w:sz w:val="24"/>
                <w:szCs w:val="24"/>
                <w:lang w:val="en-US" w:eastAsia="zh-CN" w:bidi="ar-SA"/>
              </w:rPr>
              <w:t>初沉池、USAB反应器、中沉池、生物接触氧化池产生的污泥进入污泥浓缩池浓缩，浓缩后的污泥经脱水机机械脱水，产生的泥饼外运处置，浓缩上清液、脱水液进入初沉池混合处理。</w:t>
            </w:r>
          </w:p>
          <w:p w14:paraId="279EB4C0">
            <w:pPr>
              <w:pStyle w:val="19"/>
              <w:keepNext w:val="0"/>
              <w:keepLines w:val="0"/>
              <w:pageBreakBefore w:val="0"/>
              <w:widowControl w:val="0"/>
              <w:kinsoku/>
              <w:wordWrap w:val="0"/>
              <w:overflowPunct/>
              <w:topLinePunct w:val="0"/>
              <w:autoSpaceDE/>
              <w:autoSpaceDN/>
              <w:bidi w:val="0"/>
              <w:adjustRightInd/>
              <w:snapToGrid/>
              <w:spacing w:after="0" w:line="240" w:lineRule="auto"/>
              <w:ind w:left="0" w:leftChars="0" w:firstLine="0" w:firstLineChars="0"/>
              <w:jc w:val="center"/>
              <w:textAlignment w:val="auto"/>
              <w:rPr>
                <w:rFonts w:hint="eastAsia" w:eastAsia="宋体"/>
                <w:color w:val="auto"/>
                <w:lang w:eastAsia="zh-CN"/>
              </w:rPr>
            </w:pPr>
            <w:r>
              <w:rPr>
                <w:rFonts w:hint="eastAsia" w:eastAsia="宋体"/>
                <w:color w:val="auto"/>
                <w:lang w:eastAsia="zh-CN"/>
              </w:rPr>
              <w:object>
                <v:shape id="_x0000_i1040" o:spt="75" type="#_x0000_t75" style="height:465pt;width:404.5pt;" o:ole="t" filled="f" o:preferrelative="t" stroked="f" coordsize="21600,21600">
                  <v:path/>
                  <v:fill on="f" focussize="0,0"/>
                  <v:stroke on="f"/>
                  <v:imagedata r:id="rId57" o:title=""/>
                  <o:lock v:ext="edit" aspectratio="f"/>
                  <w10:wrap type="none"/>
                  <w10:anchorlock/>
                </v:shape>
                <o:OLEObject Type="Embed" ProgID="Visio.Drawing.15" ShapeID="_x0000_i1040" DrawAspect="Content" ObjectID="_1468075740" r:id="rId56">
                  <o:LockedField>false</o:LockedField>
                </o:OLEObject>
              </w:object>
            </w:r>
          </w:p>
          <w:p w14:paraId="4B0F31A0">
            <w:pPr>
              <w:keepNext w:val="0"/>
              <w:keepLines w:val="0"/>
              <w:pageBreakBefore w:val="0"/>
              <w:widowControl w:val="0"/>
              <w:numPr>
                <w:ilvl w:val="0"/>
                <w:numId w:val="11"/>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kern w:val="0"/>
                <w:sz w:val="21"/>
                <w:szCs w:val="21"/>
                <w:lang w:val="en-US" w:eastAsia="zh-CN" w:bidi="ar-SA"/>
              </w:rPr>
            </w:pPr>
            <w:r>
              <w:rPr>
                <w:rFonts w:hint="eastAsia" w:ascii="Times New Roman" w:hAnsi="Times New Roman" w:eastAsia="宋体" w:cs="Times New Roman"/>
                <w:b/>
                <w:bCs/>
                <w:kern w:val="0"/>
                <w:sz w:val="21"/>
                <w:szCs w:val="21"/>
                <w:lang w:val="en-US" w:eastAsia="zh-CN" w:bidi="ar-SA"/>
              </w:rPr>
              <w:t>污水处理站工艺流程图</w:t>
            </w:r>
          </w:p>
          <w:p w14:paraId="0C1B58A6">
            <w:pPr>
              <w:keepNext w:val="0"/>
              <w:keepLines w:val="0"/>
              <w:pageBreakBefore w:val="0"/>
              <w:widowControl w:val="0"/>
              <w:numPr>
                <w:ilvl w:val="0"/>
                <w:numId w:val="0"/>
              </w:numPr>
              <w:tabs>
                <w:tab w:val="left" w:pos="420"/>
              </w:tabs>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kern w:val="0"/>
                <w:sz w:val="21"/>
                <w:szCs w:val="21"/>
                <w:lang w:val="en-US" w:eastAsia="zh-CN" w:bidi="ar-SA"/>
              </w:rPr>
            </w:pPr>
          </w:p>
          <w:p w14:paraId="29D1E710">
            <w:pPr>
              <w:keepNext w:val="0"/>
              <w:keepLines w:val="0"/>
              <w:pageBreakBefore w:val="0"/>
              <w:widowControl w:val="0"/>
              <w:numPr>
                <w:ilvl w:val="0"/>
                <w:numId w:val="0"/>
              </w:numPr>
              <w:tabs>
                <w:tab w:val="left" w:pos="420"/>
              </w:tabs>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kern w:val="0"/>
                <w:sz w:val="21"/>
                <w:szCs w:val="21"/>
                <w:lang w:val="en-US" w:eastAsia="zh-CN" w:bidi="ar-SA"/>
              </w:rPr>
            </w:pPr>
          </w:p>
          <w:p w14:paraId="651D04D7">
            <w:pPr>
              <w:keepNext w:val="0"/>
              <w:keepLines w:val="0"/>
              <w:pageBreakBefore w:val="0"/>
              <w:widowControl w:val="0"/>
              <w:numPr>
                <w:ilvl w:val="0"/>
                <w:numId w:val="0"/>
              </w:numPr>
              <w:tabs>
                <w:tab w:val="left" w:pos="420"/>
              </w:tabs>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kern w:val="0"/>
                <w:sz w:val="21"/>
                <w:szCs w:val="21"/>
                <w:lang w:val="en-US" w:eastAsia="zh-CN" w:bidi="ar-SA"/>
              </w:rPr>
            </w:pPr>
          </w:p>
          <w:p w14:paraId="686ACF3D">
            <w:pPr>
              <w:keepNext w:val="0"/>
              <w:keepLines w:val="0"/>
              <w:pageBreakBefore w:val="0"/>
              <w:widowControl w:val="0"/>
              <w:numPr>
                <w:ilvl w:val="0"/>
                <w:numId w:val="0"/>
              </w:numPr>
              <w:tabs>
                <w:tab w:val="left" w:pos="420"/>
              </w:tabs>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kern w:val="0"/>
                <w:sz w:val="21"/>
                <w:szCs w:val="21"/>
                <w:lang w:val="en-US" w:eastAsia="zh-CN" w:bidi="ar-SA"/>
              </w:rPr>
            </w:pPr>
          </w:p>
          <w:p w14:paraId="3D08F77A">
            <w:pPr>
              <w:keepNext w:val="0"/>
              <w:keepLines w:val="0"/>
              <w:pageBreakBefore w:val="0"/>
              <w:widowControl w:val="0"/>
              <w:numPr>
                <w:ilvl w:val="0"/>
                <w:numId w:val="9"/>
              </w:numPr>
              <w:kinsoku/>
              <w:wordWrap w:val="0"/>
              <w:overflowPunct/>
              <w:topLinePunct w:val="0"/>
              <w:autoSpaceDE/>
              <w:autoSpaceDN/>
              <w:bidi w:val="0"/>
              <w:adjustRightInd/>
              <w:snapToGrid/>
              <w:spacing w:before="327" w:beforeLines="100" w:line="240" w:lineRule="auto"/>
              <w:ind w:left="0" w:leftChars="0"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eastAsia" w:ascii="Times New Roman" w:hAnsi="Times New Roman" w:eastAsia="宋体" w:cs="Times New Roman"/>
                <w:b/>
                <w:bCs/>
                <w:color w:val="auto"/>
                <w:sz w:val="21"/>
                <w:szCs w:val="21"/>
                <w:u w:val="single"/>
                <w:lang w:val="en-GB"/>
              </w:rPr>
              <w:t>本项目</w:t>
            </w:r>
            <w:r>
              <w:rPr>
                <w:rFonts w:hint="eastAsia" w:ascii="Times New Roman" w:hAnsi="Times New Roman" w:eastAsia="宋体" w:cs="Times New Roman"/>
                <w:b/>
                <w:bCs/>
                <w:color w:val="auto"/>
                <w:sz w:val="21"/>
                <w:szCs w:val="21"/>
                <w:u w:val="single"/>
                <w:lang w:val="en-US" w:eastAsia="zh-CN"/>
              </w:rPr>
              <w:t>污水处理站各单元处理效率情况表</w:t>
            </w:r>
          </w:p>
          <w:tbl>
            <w:tblPr>
              <w:tblStyle w:val="20"/>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22"/>
              <w:gridCol w:w="791"/>
              <w:gridCol w:w="722"/>
              <w:gridCol w:w="793"/>
              <w:gridCol w:w="722"/>
              <w:gridCol w:w="723"/>
              <w:gridCol w:w="722"/>
              <w:gridCol w:w="723"/>
              <w:gridCol w:w="722"/>
              <w:gridCol w:w="723"/>
              <w:gridCol w:w="722"/>
            </w:tblGrid>
            <w:tr w14:paraId="23432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5" w:hRule="atLeast"/>
              </w:trPr>
              <w:tc>
                <w:tcPr>
                  <w:tcW w:w="44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7AF4EAB4">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项目</w:t>
                  </w:r>
                </w:p>
              </w:tc>
              <w:tc>
                <w:tcPr>
                  <w:tcW w:w="488"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3EC236C">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指标</w:t>
                  </w:r>
                </w:p>
              </w:tc>
              <w:tc>
                <w:tcPr>
                  <w:tcW w:w="936"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0CC0BCD2">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COD</w:t>
                  </w:r>
                </w:p>
              </w:tc>
              <w:tc>
                <w:tcPr>
                  <w:tcW w:w="893"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28CBAB34">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BOD</w:t>
                  </w:r>
                  <w:r>
                    <w:rPr>
                      <w:rStyle w:val="53"/>
                      <w:rFonts w:hint="default" w:ascii="Times New Roman" w:hAnsi="Times New Roman" w:eastAsia="宋体" w:cs="Times New Roman"/>
                      <w:b/>
                      <w:bCs/>
                      <w:sz w:val="21"/>
                      <w:szCs w:val="21"/>
                      <w:u w:val="single"/>
                      <w:lang w:val="en-US" w:eastAsia="zh-CN" w:bidi="ar"/>
                    </w:rPr>
                    <w:t>5</w:t>
                  </w:r>
                </w:p>
              </w:tc>
              <w:tc>
                <w:tcPr>
                  <w:tcW w:w="893"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1D5D6C45">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SS</w:t>
                  </w:r>
                </w:p>
              </w:tc>
              <w:tc>
                <w:tcPr>
                  <w:tcW w:w="893"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4AAE62F8">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NH</w:t>
                  </w:r>
                  <w:r>
                    <w:rPr>
                      <w:rStyle w:val="53"/>
                      <w:rFonts w:hint="default" w:ascii="Times New Roman" w:hAnsi="Times New Roman" w:eastAsia="宋体" w:cs="Times New Roman"/>
                      <w:b/>
                      <w:bCs/>
                      <w:sz w:val="21"/>
                      <w:szCs w:val="21"/>
                      <w:u w:val="single"/>
                      <w:lang w:val="en-US" w:eastAsia="zh-CN" w:bidi="ar"/>
                    </w:rPr>
                    <w:t>3</w:t>
                  </w:r>
                  <w:r>
                    <w:rPr>
                      <w:rStyle w:val="54"/>
                      <w:rFonts w:hint="default" w:ascii="Times New Roman" w:hAnsi="Times New Roman" w:eastAsia="宋体" w:cs="Times New Roman"/>
                      <w:b/>
                      <w:bCs/>
                      <w:sz w:val="21"/>
                      <w:szCs w:val="21"/>
                      <w:u w:val="single"/>
                      <w:lang w:val="en-US" w:eastAsia="zh-CN" w:bidi="ar"/>
                    </w:rPr>
                    <w:t>-N</w:t>
                  </w:r>
                </w:p>
              </w:tc>
              <w:tc>
                <w:tcPr>
                  <w:tcW w:w="44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7CFCCDA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色度（稀释倍数）</w:t>
                  </w:r>
                </w:p>
              </w:tc>
            </w:tr>
            <w:tr w14:paraId="15E47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4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116D5F5">
                  <w:pPr>
                    <w:keepNext w:val="0"/>
                    <w:keepLines w:val="0"/>
                    <w:pageBreakBefore w:val="0"/>
                    <w:widowControl/>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sz w:val="21"/>
                      <w:szCs w:val="21"/>
                      <w:u w:val="single"/>
                    </w:rPr>
                  </w:pPr>
                </w:p>
              </w:tc>
              <w:tc>
                <w:tcPr>
                  <w:tcW w:w="488"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6736426">
                  <w:pPr>
                    <w:keepNext w:val="0"/>
                    <w:keepLines w:val="0"/>
                    <w:pageBreakBefore w:val="0"/>
                    <w:widowControl/>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sz w:val="21"/>
                      <w:szCs w:val="21"/>
                      <w:u w:val="single"/>
                    </w:rPr>
                  </w:pPr>
                </w:p>
              </w:tc>
              <w:tc>
                <w:tcPr>
                  <w:tcW w:w="446" w:type="pct"/>
                  <w:tcBorders>
                    <w:top w:val="nil"/>
                    <w:left w:val="single" w:color="000000" w:sz="8" w:space="0"/>
                    <w:bottom w:val="single" w:color="000000" w:sz="8" w:space="0"/>
                    <w:right w:val="single" w:color="000000" w:sz="8" w:space="0"/>
                  </w:tcBorders>
                  <w:shd w:val="clear" w:color="auto" w:fill="auto"/>
                  <w:vAlign w:val="center"/>
                </w:tcPr>
                <w:p w14:paraId="6D680137">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mg/L</w:t>
                  </w:r>
                </w:p>
              </w:tc>
              <w:tc>
                <w:tcPr>
                  <w:tcW w:w="489" w:type="pct"/>
                  <w:tcBorders>
                    <w:top w:val="nil"/>
                    <w:left w:val="single" w:color="000000" w:sz="8" w:space="0"/>
                    <w:bottom w:val="single" w:color="000000" w:sz="8" w:space="0"/>
                    <w:right w:val="single" w:color="000000" w:sz="8" w:space="0"/>
                  </w:tcBorders>
                  <w:shd w:val="clear" w:color="auto" w:fill="auto"/>
                  <w:vAlign w:val="center"/>
                </w:tcPr>
                <w:p w14:paraId="1FC2D69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t/a</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0CB8D4D0">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mg/L</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6245E1E6">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t/a</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2DC7A64C">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mg/L</w:t>
                  </w:r>
                </w:p>
              </w:tc>
              <w:tc>
                <w:tcPr>
                  <w:tcW w:w="44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3DED824">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t/a</w:t>
                  </w:r>
                </w:p>
              </w:tc>
              <w:tc>
                <w:tcPr>
                  <w:tcW w:w="44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2FBC330">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mg/L</w:t>
                  </w:r>
                </w:p>
              </w:tc>
              <w:tc>
                <w:tcPr>
                  <w:tcW w:w="44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F054630">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t/a</w:t>
                  </w:r>
                </w:p>
              </w:tc>
              <w:tc>
                <w:tcPr>
                  <w:tcW w:w="44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35B9404">
                  <w:pPr>
                    <w:keepNext w:val="0"/>
                    <w:keepLines w:val="0"/>
                    <w:pageBreakBefore w:val="0"/>
                    <w:widowControl/>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sz w:val="21"/>
                      <w:szCs w:val="21"/>
                      <w:u w:val="single"/>
                    </w:rPr>
                  </w:pPr>
                </w:p>
              </w:tc>
            </w:tr>
            <w:tr w14:paraId="370246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446" w:type="pct"/>
                  <w:vMerge w:val="restart"/>
                  <w:tcBorders>
                    <w:top w:val="nil"/>
                    <w:left w:val="single" w:color="000000" w:sz="8" w:space="0"/>
                    <w:bottom w:val="single" w:color="000000" w:sz="8" w:space="0"/>
                    <w:right w:val="single" w:color="000000" w:sz="8" w:space="0"/>
                  </w:tcBorders>
                  <w:shd w:val="clear" w:color="auto" w:fill="auto"/>
                  <w:vAlign w:val="center"/>
                </w:tcPr>
                <w:p w14:paraId="339F6C9B">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调节池</w:t>
                  </w:r>
                </w:p>
              </w:tc>
              <w:tc>
                <w:tcPr>
                  <w:tcW w:w="488" w:type="pct"/>
                  <w:tcBorders>
                    <w:top w:val="nil"/>
                    <w:left w:val="single" w:color="000000" w:sz="8" w:space="0"/>
                    <w:bottom w:val="single" w:color="000000" w:sz="8" w:space="0"/>
                    <w:right w:val="single" w:color="000000" w:sz="8" w:space="0"/>
                  </w:tcBorders>
                  <w:shd w:val="clear" w:color="auto" w:fill="auto"/>
                  <w:vAlign w:val="center"/>
                </w:tcPr>
                <w:p w14:paraId="23B2E077">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进水</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694E7982">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1947.0</w:t>
                  </w:r>
                </w:p>
              </w:tc>
              <w:tc>
                <w:tcPr>
                  <w:tcW w:w="489" w:type="pct"/>
                  <w:tcBorders>
                    <w:top w:val="nil"/>
                    <w:left w:val="single" w:color="000000" w:sz="8" w:space="0"/>
                    <w:bottom w:val="single" w:color="000000" w:sz="8" w:space="0"/>
                    <w:right w:val="single" w:color="000000" w:sz="8" w:space="0"/>
                  </w:tcBorders>
                  <w:shd w:val="clear" w:color="auto" w:fill="auto"/>
                  <w:vAlign w:val="center"/>
                </w:tcPr>
                <w:p w14:paraId="2C74F472">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109.3900</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77DBF2E1">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780.9</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3E367F6C">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43.8727</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5A44EFC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587.7</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6F50558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33.0198</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0A37E827">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38.8</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394E69B1">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2.1774</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65DC6CB1">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450</w:t>
                  </w:r>
                </w:p>
              </w:tc>
            </w:tr>
            <w:tr w14:paraId="7D29A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446" w:type="pct"/>
                  <w:vMerge w:val="continue"/>
                  <w:tcBorders>
                    <w:top w:val="nil"/>
                    <w:left w:val="single" w:color="000000" w:sz="8" w:space="0"/>
                    <w:bottom w:val="single" w:color="000000" w:sz="8" w:space="0"/>
                    <w:right w:val="single" w:color="000000" w:sz="8" w:space="0"/>
                  </w:tcBorders>
                  <w:shd w:val="clear" w:color="auto" w:fill="auto"/>
                  <w:vAlign w:val="center"/>
                </w:tcPr>
                <w:p w14:paraId="5F59DAFA">
                  <w:pPr>
                    <w:keepNext w:val="0"/>
                    <w:keepLines w:val="0"/>
                    <w:pageBreakBefore w:val="0"/>
                    <w:widowControl/>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sz w:val="21"/>
                      <w:szCs w:val="21"/>
                      <w:u w:val="single"/>
                    </w:rPr>
                  </w:pPr>
                </w:p>
              </w:tc>
              <w:tc>
                <w:tcPr>
                  <w:tcW w:w="488" w:type="pct"/>
                  <w:tcBorders>
                    <w:top w:val="nil"/>
                    <w:left w:val="single" w:color="000000" w:sz="8" w:space="0"/>
                    <w:bottom w:val="single" w:color="000000" w:sz="8" w:space="0"/>
                    <w:right w:val="single" w:color="000000" w:sz="8" w:space="0"/>
                  </w:tcBorders>
                  <w:shd w:val="clear" w:color="auto" w:fill="auto"/>
                  <w:vAlign w:val="center"/>
                </w:tcPr>
                <w:p w14:paraId="5A3CA607">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出水</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20601540">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1947.0</w:t>
                  </w:r>
                </w:p>
              </w:tc>
              <w:tc>
                <w:tcPr>
                  <w:tcW w:w="489" w:type="pct"/>
                  <w:tcBorders>
                    <w:top w:val="nil"/>
                    <w:left w:val="single" w:color="000000" w:sz="8" w:space="0"/>
                    <w:bottom w:val="single" w:color="000000" w:sz="8" w:space="0"/>
                    <w:right w:val="single" w:color="000000" w:sz="8" w:space="0"/>
                  </w:tcBorders>
                  <w:shd w:val="clear" w:color="auto" w:fill="auto"/>
                  <w:vAlign w:val="center"/>
                </w:tcPr>
                <w:p w14:paraId="48610E51">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109.3900</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4918A880">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780.9</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6ACE43F2">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43.8727</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12A1427F">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587.7</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4D43FA69">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33.0198</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176062BC">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38.8</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1B851F39">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2.1774</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7332EB89">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450</w:t>
                  </w:r>
                </w:p>
              </w:tc>
            </w:tr>
            <w:tr w14:paraId="19B52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46" w:type="pct"/>
                  <w:vMerge w:val="continue"/>
                  <w:tcBorders>
                    <w:top w:val="nil"/>
                    <w:left w:val="single" w:color="000000" w:sz="8" w:space="0"/>
                    <w:bottom w:val="single" w:color="000000" w:sz="8" w:space="0"/>
                    <w:right w:val="single" w:color="000000" w:sz="8" w:space="0"/>
                  </w:tcBorders>
                  <w:shd w:val="clear" w:color="auto" w:fill="auto"/>
                  <w:vAlign w:val="center"/>
                </w:tcPr>
                <w:p w14:paraId="183DBC65">
                  <w:pPr>
                    <w:keepNext w:val="0"/>
                    <w:keepLines w:val="0"/>
                    <w:pageBreakBefore w:val="0"/>
                    <w:widowControl/>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sz w:val="21"/>
                      <w:szCs w:val="21"/>
                      <w:u w:val="single"/>
                    </w:rPr>
                  </w:pPr>
                </w:p>
              </w:tc>
              <w:tc>
                <w:tcPr>
                  <w:tcW w:w="488" w:type="pct"/>
                  <w:tcBorders>
                    <w:top w:val="nil"/>
                    <w:left w:val="single" w:color="000000" w:sz="8" w:space="0"/>
                    <w:bottom w:val="single" w:color="000000" w:sz="8" w:space="0"/>
                    <w:right w:val="single" w:color="000000" w:sz="8" w:space="0"/>
                  </w:tcBorders>
                  <w:shd w:val="clear" w:color="auto" w:fill="auto"/>
                  <w:vAlign w:val="center"/>
                </w:tcPr>
                <w:p w14:paraId="16897538">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去除率</w:t>
                  </w:r>
                  <w:r>
                    <w:rPr>
                      <w:rStyle w:val="54"/>
                      <w:rFonts w:hint="default" w:ascii="Times New Roman" w:hAnsi="Times New Roman" w:eastAsia="宋体" w:cs="Times New Roman"/>
                      <w:b/>
                      <w:bCs/>
                      <w:sz w:val="21"/>
                      <w:szCs w:val="21"/>
                      <w:u w:val="single"/>
                      <w:lang w:val="en-US" w:eastAsia="zh-CN" w:bidi="ar"/>
                    </w:rPr>
                    <w:t>%</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2A4D1175">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0.0</w:t>
                  </w:r>
                </w:p>
              </w:tc>
              <w:tc>
                <w:tcPr>
                  <w:tcW w:w="489" w:type="pct"/>
                  <w:tcBorders>
                    <w:top w:val="nil"/>
                    <w:left w:val="single" w:color="000000" w:sz="8" w:space="0"/>
                    <w:bottom w:val="single" w:color="000000" w:sz="8" w:space="0"/>
                    <w:right w:val="single" w:color="000000" w:sz="8" w:space="0"/>
                  </w:tcBorders>
                  <w:shd w:val="clear" w:color="auto" w:fill="auto"/>
                  <w:vAlign w:val="center"/>
                </w:tcPr>
                <w:p w14:paraId="465E8B6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0.0000</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1C31E0AE">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0.0</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77554D7C">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0.0000</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1AD00E21">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0.0</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47F7174B">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0.0000</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23D8378C">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0.0</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289348A1">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0.0000</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110269D8">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0</w:t>
                  </w:r>
                </w:p>
              </w:tc>
            </w:tr>
            <w:tr w14:paraId="010C5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46" w:type="pct"/>
                  <w:vMerge w:val="restart"/>
                  <w:tcBorders>
                    <w:top w:val="nil"/>
                    <w:left w:val="single" w:color="000000" w:sz="8" w:space="0"/>
                    <w:bottom w:val="single" w:color="000000" w:sz="8" w:space="0"/>
                    <w:right w:val="single" w:color="000000" w:sz="8" w:space="0"/>
                  </w:tcBorders>
                  <w:shd w:val="clear" w:color="auto" w:fill="auto"/>
                  <w:vAlign w:val="center"/>
                </w:tcPr>
                <w:p w14:paraId="40F21DF2">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混凝池</w:t>
                  </w:r>
                </w:p>
              </w:tc>
              <w:tc>
                <w:tcPr>
                  <w:tcW w:w="488" w:type="pct"/>
                  <w:tcBorders>
                    <w:top w:val="nil"/>
                    <w:left w:val="single" w:color="000000" w:sz="8" w:space="0"/>
                    <w:bottom w:val="single" w:color="000000" w:sz="8" w:space="0"/>
                    <w:right w:val="single" w:color="000000" w:sz="8" w:space="0"/>
                  </w:tcBorders>
                  <w:shd w:val="clear" w:color="auto" w:fill="auto"/>
                  <w:vAlign w:val="center"/>
                </w:tcPr>
                <w:p w14:paraId="4CC8172D">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进水</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0154FC9A">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1947.0</w:t>
                  </w:r>
                </w:p>
              </w:tc>
              <w:tc>
                <w:tcPr>
                  <w:tcW w:w="489" w:type="pct"/>
                  <w:tcBorders>
                    <w:top w:val="nil"/>
                    <w:left w:val="single" w:color="000000" w:sz="8" w:space="0"/>
                    <w:bottom w:val="single" w:color="000000" w:sz="8" w:space="0"/>
                    <w:right w:val="single" w:color="000000" w:sz="8" w:space="0"/>
                  </w:tcBorders>
                  <w:shd w:val="clear" w:color="auto" w:fill="auto"/>
                  <w:vAlign w:val="center"/>
                </w:tcPr>
                <w:p w14:paraId="080DFCC6">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109.3900</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27BD906F">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780.9</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4F713109">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43.8727</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0BAD803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587.7</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26C1691A">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33.0198</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76D3EB61">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38.8</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45C4A4ED">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2.1774</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6DBAC7AC">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450</w:t>
                  </w:r>
                </w:p>
              </w:tc>
            </w:tr>
            <w:tr w14:paraId="7442C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446" w:type="pct"/>
                  <w:vMerge w:val="continue"/>
                  <w:tcBorders>
                    <w:top w:val="nil"/>
                    <w:left w:val="single" w:color="000000" w:sz="8" w:space="0"/>
                    <w:bottom w:val="single" w:color="000000" w:sz="8" w:space="0"/>
                    <w:right w:val="single" w:color="000000" w:sz="8" w:space="0"/>
                  </w:tcBorders>
                  <w:shd w:val="clear" w:color="auto" w:fill="auto"/>
                  <w:vAlign w:val="center"/>
                </w:tcPr>
                <w:p w14:paraId="5A72A090">
                  <w:pPr>
                    <w:keepNext w:val="0"/>
                    <w:keepLines w:val="0"/>
                    <w:pageBreakBefore w:val="0"/>
                    <w:widowControl/>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sz w:val="21"/>
                      <w:szCs w:val="21"/>
                      <w:u w:val="single"/>
                    </w:rPr>
                  </w:pPr>
                </w:p>
              </w:tc>
              <w:tc>
                <w:tcPr>
                  <w:tcW w:w="488" w:type="pct"/>
                  <w:tcBorders>
                    <w:top w:val="nil"/>
                    <w:left w:val="single" w:color="000000" w:sz="8" w:space="0"/>
                    <w:bottom w:val="single" w:color="000000" w:sz="8" w:space="0"/>
                    <w:right w:val="single" w:color="000000" w:sz="8" w:space="0"/>
                  </w:tcBorders>
                  <w:shd w:val="clear" w:color="auto" w:fill="auto"/>
                  <w:vAlign w:val="center"/>
                </w:tcPr>
                <w:p w14:paraId="063A6951">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出水</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7207E89E">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1557.6</w:t>
                  </w:r>
                </w:p>
              </w:tc>
              <w:tc>
                <w:tcPr>
                  <w:tcW w:w="489" w:type="pct"/>
                  <w:tcBorders>
                    <w:top w:val="nil"/>
                    <w:left w:val="single" w:color="000000" w:sz="8" w:space="0"/>
                    <w:bottom w:val="single" w:color="000000" w:sz="8" w:space="0"/>
                    <w:right w:val="single" w:color="000000" w:sz="8" w:space="0"/>
                  </w:tcBorders>
                  <w:shd w:val="clear" w:color="auto" w:fill="auto"/>
                  <w:vAlign w:val="center"/>
                </w:tcPr>
                <w:p w14:paraId="2AC37319">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87.5120</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0870A78F">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741.9</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7476B099">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41.6791</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3B3B461F">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411.4</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518FCF2B">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23.1139</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2ECD46A4">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34.9</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5067450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1.9597</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1FAA04A4">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360</w:t>
                  </w:r>
                </w:p>
              </w:tc>
            </w:tr>
            <w:tr w14:paraId="1B60E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46" w:type="pct"/>
                  <w:vMerge w:val="continue"/>
                  <w:tcBorders>
                    <w:top w:val="nil"/>
                    <w:left w:val="single" w:color="000000" w:sz="8" w:space="0"/>
                    <w:bottom w:val="single" w:color="000000" w:sz="8" w:space="0"/>
                    <w:right w:val="single" w:color="000000" w:sz="8" w:space="0"/>
                  </w:tcBorders>
                  <w:shd w:val="clear" w:color="auto" w:fill="auto"/>
                  <w:vAlign w:val="center"/>
                </w:tcPr>
                <w:p w14:paraId="48174163">
                  <w:pPr>
                    <w:keepNext w:val="0"/>
                    <w:keepLines w:val="0"/>
                    <w:pageBreakBefore w:val="0"/>
                    <w:widowControl/>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sz w:val="21"/>
                      <w:szCs w:val="21"/>
                      <w:u w:val="single"/>
                    </w:rPr>
                  </w:pPr>
                </w:p>
              </w:tc>
              <w:tc>
                <w:tcPr>
                  <w:tcW w:w="488" w:type="pct"/>
                  <w:tcBorders>
                    <w:top w:val="nil"/>
                    <w:left w:val="single" w:color="000000" w:sz="8" w:space="0"/>
                    <w:bottom w:val="single" w:color="000000" w:sz="8" w:space="0"/>
                    <w:right w:val="single" w:color="000000" w:sz="8" w:space="0"/>
                  </w:tcBorders>
                  <w:shd w:val="clear" w:color="auto" w:fill="auto"/>
                  <w:vAlign w:val="center"/>
                </w:tcPr>
                <w:p w14:paraId="18F4263D">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去除率</w:t>
                  </w:r>
                  <w:r>
                    <w:rPr>
                      <w:rStyle w:val="54"/>
                      <w:rFonts w:hint="default" w:ascii="Times New Roman" w:hAnsi="Times New Roman" w:eastAsia="宋体" w:cs="Times New Roman"/>
                      <w:b/>
                      <w:bCs/>
                      <w:sz w:val="21"/>
                      <w:szCs w:val="21"/>
                      <w:u w:val="single"/>
                      <w:lang w:val="en-US" w:eastAsia="zh-CN" w:bidi="ar"/>
                    </w:rPr>
                    <w:t>%</w:t>
                  </w:r>
                </w:p>
              </w:tc>
              <w:tc>
                <w:tcPr>
                  <w:tcW w:w="936" w:type="pct"/>
                  <w:gridSpan w:val="2"/>
                  <w:tcBorders>
                    <w:top w:val="nil"/>
                    <w:left w:val="single" w:color="000000" w:sz="8" w:space="0"/>
                    <w:bottom w:val="single" w:color="000000" w:sz="8" w:space="0"/>
                    <w:right w:val="single" w:color="000000" w:sz="8" w:space="0"/>
                  </w:tcBorders>
                  <w:shd w:val="clear" w:color="auto" w:fill="auto"/>
                  <w:vAlign w:val="center"/>
                </w:tcPr>
                <w:p w14:paraId="2681B00C">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20.0</w:t>
                  </w:r>
                </w:p>
              </w:tc>
              <w:tc>
                <w:tcPr>
                  <w:tcW w:w="893" w:type="pct"/>
                  <w:gridSpan w:val="2"/>
                  <w:tcBorders>
                    <w:top w:val="nil"/>
                    <w:left w:val="single" w:color="000000" w:sz="8" w:space="0"/>
                    <w:bottom w:val="single" w:color="000000" w:sz="8" w:space="0"/>
                    <w:right w:val="single" w:color="000000" w:sz="8" w:space="0"/>
                  </w:tcBorders>
                  <w:shd w:val="clear" w:color="auto" w:fill="auto"/>
                  <w:vAlign w:val="center"/>
                </w:tcPr>
                <w:p w14:paraId="1E9B8980">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5.0</w:t>
                  </w:r>
                </w:p>
              </w:tc>
              <w:tc>
                <w:tcPr>
                  <w:tcW w:w="893" w:type="pct"/>
                  <w:gridSpan w:val="2"/>
                  <w:tcBorders>
                    <w:top w:val="nil"/>
                    <w:left w:val="single" w:color="000000" w:sz="8" w:space="0"/>
                    <w:bottom w:val="single" w:color="000000" w:sz="8" w:space="0"/>
                    <w:right w:val="single" w:color="000000" w:sz="8" w:space="0"/>
                  </w:tcBorders>
                  <w:shd w:val="clear" w:color="auto" w:fill="auto"/>
                  <w:vAlign w:val="center"/>
                </w:tcPr>
                <w:p w14:paraId="5AC0E56D">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30.0</w:t>
                  </w:r>
                </w:p>
              </w:tc>
              <w:tc>
                <w:tcPr>
                  <w:tcW w:w="893" w:type="pct"/>
                  <w:gridSpan w:val="2"/>
                  <w:tcBorders>
                    <w:top w:val="nil"/>
                    <w:left w:val="single" w:color="000000" w:sz="8" w:space="0"/>
                    <w:bottom w:val="single" w:color="000000" w:sz="8" w:space="0"/>
                    <w:right w:val="single" w:color="000000" w:sz="8" w:space="0"/>
                  </w:tcBorders>
                  <w:shd w:val="clear" w:color="auto" w:fill="auto"/>
                  <w:vAlign w:val="center"/>
                </w:tcPr>
                <w:p w14:paraId="138E276E">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10.0</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1D6590CE">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20</w:t>
                  </w:r>
                </w:p>
              </w:tc>
            </w:tr>
            <w:tr w14:paraId="211CC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446" w:type="pct"/>
                  <w:vMerge w:val="restart"/>
                  <w:tcBorders>
                    <w:top w:val="nil"/>
                    <w:left w:val="single" w:color="000000" w:sz="8" w:space="0"/>
                    <w:bottom w:val="single" w:color="000000" w:sz="8" w:space="0"/>
                    <w:right w:val="single" w:color="000000" w:sz="8" w:space="0"/>
                  </w:tcBorders>
                  <w:shd w:val="clear" w:color="auto" w:fill="auto"/>
                  <w:vAlign w:val="center"/>
                </w:tcPr>
                <w:p w14:paraId="0FDD3EDD">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UASB</w:t>
                  </w:r>
                  <w:r>
                    <w:rPr>
                      <w:rStyle w:val="55"/>
                      <w:rFonts w:hint="default" w:ascii="Times New Roman" w:hAnsi="Times New Roman" w:eastAsia="宋体" w:cs="Times New Roman"/>
                      <w:b/>
                      <w:bCs/>
                      <w:sz w:val="21"/>
                      <w:szCs w:val="21"/>
                      <w:u w:val="single"/>
                      <w:lang w:val="en-US" w:eastAsia="zh-CN" w:bidi="ar"/>
                    </w:rPr>
                    <w:t>反应器</w:t>
                  </w:r>
                </w:p>
              </w:tc>
              <w:tc>
                <w:tcPr>
                  <w:tcW w:w="488" w:type="pct"/>
                  <w:tcBorders>
                    <w:top w:val="nil"/>
                    <w:left w:val="single" w:color="000000" w:sz="8" w:space="0"/>
                    <w:bottom w:val="single" w:color="000000" w:sz="8" w:space="0"/>
                    <w:right w:val="single" w:color="000000" w:sz="8" w:space="0"/>
                  </w:tcBorders>
                  <w:shd w:val="clear" w:color="auto" w:fill="auto"/>
                  <w:vAlign w:val="center"/>
                </w:tcPr>
                <w:p w14:paraId="21905AD2">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进水</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5DF02D16">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1557.6</w:t>
                  </w:r>
                </w:p>
              </w:tc>
              <w:tc>
                <w:tcPr>
                  <w:tcW w:w="489" w:type="pct"/>
                  <w:tcBorders>
                    <w:top w:val="nil"/>
                    <w:left w:val="single" w:color="000000" w:sz="8" w:space="0"/>
                    <w:bottom w:val="single" w:color="000000" w:sz="8" w:space="0"/>
                    <w:right w:val="single" w:color="000000" w:sz="8" w:space="0"/>
                  </w:tcBorders>
                  <w:shd w:val="clear" w:color="auto" w:fill="auto"/>
                  <w:vAlign w:val="center"/>
                </w:tcPr>
                <w:p w14:paraId="7951FB90">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87.5120</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25FB7100">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741.9</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1FC5E2F8">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41.6791</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5CEB6D4A">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411.4</w:t>
                  </w:r>
                </w:p>
              </w:tc>
              <w:tc>
                <w:tcPr>
                  <w:tcW w:w="44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8B1C320">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23.1139</w:t>
                  </w:r>
                </w:p>
              </w:tc>
              <w:tc>
                <w:tcPr>
                  <w:tcW w:w="44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67AFEFC">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34.9</w:t>
                  </w:r>
                </w:p>
              </w:tc>
              <w:tc>
                <w:tcPr>
                  <w:tcW w:w="44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1797F25">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1.9597</w:t>
                  </w:r>
                </w:p>
              </w:tc>
              <w:tc>
                <w:tcPr>
                  <w:tcW w:w="44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25BAD0C">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360</w:t>
                  </w:r>
                </w:p>
              </w:tc>
            </w:tr>
            <w:tr w14:paraId="11F95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446" w:type="pct"/>
                  <w:vMerge w:val="continue"/>
                  <w:tcBorders>
                    <w:top w:val="nil"/>
                    <w:left w:val="single" w:color="000000" w:sz="8" w:space="0"/>
                    <w:bottom w:val="single" w:color="000000" w:sz="8" w:space="0"/>
                    <w:right w:val="single" w:color="000000" w:sz="8" w:space="0"/>
                  </w:tcBorders>
                  <w:shd w:val="clear" w:color="auto" w:fill="auto"/>
                  <w:vAlign w:val="center"/>
                </w:tcPr>
                <w:p w14:paraId="59F5DD2F">
                  <w:pPr>
                    <w:keepNext w:val="0"/>
                    <w:keepLines w:val="0"/>
                    <w:pageBreakBefore w:val="0"/>
                    <w:widowControl/>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sz w:val="21"/>
                      <w:szCs w:val="21"/>
                      <w:u w:val="single"/>
                    </w:rPr>
                  </w:pPr>
                </w:p>
              </w:tc>
              <w:tc>
                <w:tcPr>
                  <w:tcW w:w="488" w:type="pct"/>
                  <w:tcBorders>
                    <w:top w:val="nil"/>
                    <w:left w:val="single" w:color="000000" w:sz="8" w:space="0"/>
                    <w:bottom w:val="single" w:color="000000" w:sz="8" w:space="0"/>
                    <w:right w:val="single" w:color="000000" w:sz="8" w:space="0"/>
                  </w:tcBorders>
                  <w:shd w:val="clear" w:color="auto" w:fill="auto"/>
                  <w:vAlign w:val="center"/>
                </w:tcPr>
                <w:p w14:paraId="14EB59B4">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出水</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630E65EF">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233.6</w:t>
                  </w:r>
                </w:p>
              </w:tc>
              <w:tc>
                <w:tcPr>
                  <w:tcW w:w="489" w:type="pct"/>
                  <w:tcBorders>
                    <w:top w:val="nil"/>
                    <w:left w:val="single" w:color="000000" w:sz="8" w:space="0"/>
                    <w:bottom w:val="single" w:color="000000" w:sz="8" w:space="0"/>
                    <w:right w:val="single" w:color="000000" w:sz="8" w:space="0"/>
                  </w:tcBorders>
                  <w:shd w:val="clear" w:color="auto" w:fill="auto"/>
                  <w:vAlign w:val="center"/>
                </w:tcPr>
                <w:p w14:paraId="2D535372">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13.1268</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19074FE4">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74.2</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6318BFE4">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4.1679</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34E6F5BA">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246.8</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30D09299">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13.8683</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08C5BF9A">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19.2</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12811A37">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1.0778</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74E5DFD5">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360</w:t>
                  </w:r>
                </w:p>
              </w:tc>
            </w:tr>
            <w:tr w14:paraId="5B3E6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46" w:type="pct"/>
                  <w:vMerge w:val="continue"/>
                  <w:tcBorders>
                    <w:top w:val="nil"/>
                    <w:left w:val="single" w:color="000000" w:sz="8" w:space="0"/>
                    <w:bottom w:val="single" w:color="000000" w:sz="8" w:space="0"/>
                    <w:right w:val="single" w:color="000000" w:sz="8" w:space="0"/>
                  </w:tcBorders>
                  <w:shd w:val="clear" w:color="auto" w:fill="auto"/>
                  <w:vAlign w:val="center"/>
                </w:tcPr>
                <w:p w14:paraId="47012F47">
                  <w:pPr>
                    <w:keepNext w:val="0"/>
                    <w:keepLines w:val="0"/>
                    <w:pageBreakBefore w:val="0"/>
                    <w:widowControl/>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sz w:val="21"/>
                      <w:szCs w:val="21"/>
                      <w:u w:val="single"/>
                    </w:rPr>
                  </w:pPr>
                </w:p>
              </w:tc>
              <w:tc>
                <w:tcPr>
                  <w:tcW w:w="488" w:type="pct"/>
                  <w:tcBorders>
                    <w:top w:val="nil"/>
                    <w:left w:val="single" w:color="000000" w:sz="8" w:space="0"/>
                    <w:bottom w:val="single" w:color="000000" w:sz="8" w:space="0"/>
                    <w:right w:val="single" w:color="000000" w:sz="8" w:space="0"/>
                  </w:tcBorders>
                  <w:shd w:val="clear" w:color="auto" w:fill="auto"/>
                  <w:vAlign w:val="center"/>
                </w:tcPr>
                <w:p w14:paraId="6351DC80">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去除率</w:t>
                  </w:r>
                  <w:r>
                    <w:rPr>
                      <w:rStyle w:val="54"/>
                      <w:rFonts w:hint="default" w:ascii="Times New Roman" w:hAnsi="Times New Roman" w:eastAsia="宋体" w:cs="Times New Roman"/>
                      <w:b/>
                      <w:bCs/>
                      <w:sz w:val="21"/>
                      <w:szCs w:val="21"/>
                      <w:u w:val="single"/>
                      <w:lang w:val="en-US" w:eastAsia="zh-CN" w:bidi="ar"/>
                    </w:rPr>
                    <w:t>%</w:t>
                  </w:r>
                </w:p>
              </w:tc>
              <w:tc>
                <w:tcPr>
                  <w:tcW w:w="936" w:type="pct"/>
                  <w:gridSpan w:val="2"/>
                  <w:tcBorders>
                    <w:top w:val="nil"/>
                    <w:left w:val="single" w:color="000000" w:sz="8" w:space="0"/>
                    <w:bottom w:val="single" w:color="000000" w:sz="8" w:space="0"/>
                    <w:right w:val="single" w:color="000000" w:sz="8" w:space="0"/>
                  </w:tcBorders>
                  <w:shd w:val="clear" w:color="auto" w:fill="auto"/>
                  <w:vAlign w:val="center"/>
                </w:tcPr>
                <w:p w14:paraId="1FD323CD">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85.0</w:t>
                  </w:r>
                </w:p>
              </w:tc>
              <w:tc>
                <w:tcPr>
                  <w:tcW w:w="893" w:type="pct"/>
                  <w:gridSpan w:val="2"/>
                  <w:tcBorders>
                    <w:top w:val="nil"/>
                    <w:left w:val="single" w:color="000000" w:sz="8" w:space="0"/>
                    <w:bottom w:val="single" w:color="000000" w:sz="8" w:space="0"/>
                    <w:right w:val="single" w:color="000000" w:sz="8" w:space="0"/>
                  </w:tcBorders>
                  <w:shd w:val="clear" w:color="auto" w:fill="auto"/>
                  <w:vAlign w:val="center"/>
                </w:tcPr>
                <w:p w14:paraId="28BC6516">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90.0</w:t>
                  </w:r>
                </w:p>
              </w:tc>
              <w:tc>
                <w:tcPr>
                  <w:tcW w:w="893" w:type="pct"/>
                  <w:gridSpan w:val="2"/>
                  <w:tcBorders>
                    <w:top w:val="nil"/>
                    <w:left w:val="single" w:color="000000" w:sz="8" w:space="0"/>
                    <w:bottom w:val="single" w:color="000000" w:sz="8" w:space="0"/>
                    <w:right w:val="single" w:color="000000" w:sz="8" w:space="0"/>
                  </w:tcBorders>
                  <w:shd w:val="clear" w:color="auto" w:fill="auto"/>
                  <w:vAlign w:val="center"/>
                </w:tcPr>
                <w:p w14:paraId="0EAC200A">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40.0</w:t>
                  </w:r>
                </w:p>
              </w:tc>
              <w:tc>
                <w:tcPr>
                  <w:tcW w:w="893" w:type="pct"/>
                  <w:gridSpan w:val="2"/>
                  <w:tcBorders>
                    <w:top w:val="nil"/>
                    <w:left w:val="single" w:color="000000" w:sz="8" w:space="0"/>
                    <w:bottom w:val="single" w:color="000000" w:sz="8" w:space="0"/>
                    <w:right w:val="single" w:color="000000" w:sz="8" w:space="0"/>
                  </w:tcBorders>
                  <w:shd w:val="clear" w:color="auto" w:fill="auto"/>
                  <w:vAlign w:val="center"/>
                </w:tcPr>
                <w:p w14:paraId="20EB1351">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45.0</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6283CFCA">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0</w:t>
                  </w:r>
                </w:p>
              </w:tc>
            </w:tr>
            <w:tr w14:paraId="49333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46" w:type="pct"/>
                  <w:vMerge w:val="restart"/>
                  <w:tcBorders>
                    <w:top w:val="nil"/>
                    <w:left w:val="single" w:color="000000" w:sz="8" w:space="0"/>
                    <w:bottom w:val="single" w:color="000000" w:sz="8" w:space="0"/>
                    <w:right w:val="single" w:color="000000" w:sz="8" w:space="0"/>
                  </w:tcBorders>
                  <w:shd w:val="clear" w:color="auto" w:fill="auto"/>
                  <w:vAlign w:val="center"/>
                </w:tcPr>
                <w:p w14:paraId="1B217B9F">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生物接触氧化池</w:t>
                  </w:r>
                </w:p>
              </w:tc>
              <w:tc>
                <w:tcPr>
                  <w:tcW w:w="488" w:type="pct"/>
                  <w:tcBorders>
                    <w:top w:val="nil"/>
                    <w:left w:val="single" w:color="000000" w:sz="8" w:space="0"/>
                    <w:bottom w:val="single" w:color="000000" w:sz="8" w:space="0"/>
                    <w:right w:val="single" w:color="000000" w:sz="8" w:space="0"/>
                  </w:tcBorders>
                  <w:shd w:val="clear" w:color="auto" w:fill="auto"/>
                  <w:vAlign w:val="center"/>
                </w:tcPr>
                <w:p w14:paraId="6F3EC2C6">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进水</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0EC55425">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233.6</w:t>
                  </w:r>
                </w:p>
              </w:tc>
              <w:tc>
                <w:tcPr>
                  <w:tcW w:w="489" w:type="pct"/>
                  <w:tcBorders>
                    <w:top w:val="nil"/>
                    <w:left w:val="single" w:color="000000" w:sz="8" w:space="0"/>
                    <w:bottom w:val="single" w:color="000000" w:sz="8" w:space="0"/>
                    <w:right w:val="single" w:color="000000" w:sz="8" w:space="0"/>
                  </w:tcBorders>
                  <w:shd w:val="clear" w:color="auto" w:fill="auto"/>
                  <w:vAlign w:val="center"/>
                </w:tcPr>
                <w:p w14:paraId="31C544BE">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13.1268</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1A7AAD95">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74.2</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64B427C9">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4.1679</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01AE7FBC">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246.8</w:t>
                  </w:r>
                </w:p>
              </w:tc>
              <w:tc>
                <w:tcPr>
                  <w:tcW w:w="44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60D931D">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13.8683</w:t>
                  </w:r>
                </w:p>
              </w:tc>
              <w:tc>
                <w:tcPr>
                  <w:tcW w:w="44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9D11430">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19.2</w:t>
                  </w:r>
                </w:p>
              </w:tc>
              <w:tc>
                <w:tcPr>
                  <w:tcW w:w="44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C158F8F">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1.0778</w:t>
                  </w:r>
                </w:p>
              </w:tc>
              <w:tc>
                <w:tcPr>
                  <w:tcW w:w="44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021AD24">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360</w:t>
                  </w:r>
                </w:p>
              </w:tc>
            </w:tr>
            <w:tr w14:paraId="5C84B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46" w:type="pct"/>
                  <w:vMerge w:val="continue"/>
                  <w:tcBorders>
                    <w:top w:val="nil"/>
                    <w:left w:val="single" w:color="000000" w:sz="8" w:space="0"/>
                    <w:bottom w:val="single" w:color="000000" w:sz="8" w:space="0"/>
                    <w:right w:val="single" w:color="000000" w:sz="8" w:space="0"/>
                  </w:tcBorders>
                  <w:shd w:val="clear" w:color="auto" w:fill="auto"/>
                  <w:vAlign w:val="center"/>
                </w:tcPr>
                <w:p w14:paraId="2F3FB82B">
                  <w:pPr>
                    <w:keepNext w:val="0"/>
                    <w:keepLines w:val="0"/>
                    <w:pageBreakBefore w:val="0"/>
                    <w:widowControl/>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sz w:val="21"/>
                      <w:szCs w:val="21"/>
                      <w:u w:val="single"/>
                    </w:rPr>
                  </w:pPr>
                </w:p>
              </w:tc>
              <w:tc>
                <w:tcPr>
                  <w:tcW w:w="488" w:type="pct"/>
                  <w:tcBorders>
                    <w:top w:val="nil"/>
                    <w:left w:val="single" w:color="000000" w:sz="8" w:space="0"/>
                    <w:bottom w:val="single" w:color="000000" w:sz="8" w:space="0"/>
                    <w:right w:val="single" w:color="000000" w:sz="8" w:space="0"/>
                  </w:tcBorders>
                  <w:shd w:val="clear" w:color="auto" w:fill="auto"/>
                  <w:vAlign w:val="center"/>
                </w:tcPr>
                <w:p w14:paraId="5AEF626A">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出水</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4C2A46E9">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93.4</w:t>
                  </w:r>
                </w:p>
              </w:tc>
              <w:tc>
                <w:tcPr>
                  <w:tcW w:w="489" w:type="pct"/>
                  <w:tcBorders>
                    <w:top w:val="nil"/>
                    <w:left w:val="single" w:color="000000" w:sz="8" w:space="0"/>
                    <w:bottom w:val="single" w:color="000000" w:sz="8" w:space="0"/>
                    <w:right w:val="single" w:color="000000" w:sz="8" w:space="0"/>
                  </w:tcBorders>
                  <w:shd w:val="clear" w:color="auto" w:fill="auto"/>
                  <w:vAlign w:val="center"/>
                </w:tcPr>
                <w:p w14:paraId="0E2B19F6">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5.2507</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655D9925">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14.8</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5498A741">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0.8336</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649A5412">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148.1</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33372BCD">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8.3210</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5D09DE17">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7.7</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791F0332">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0.4311</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11556C62">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360</w:t>
                  </w:r>
                </w:p>
              </w:tc>
            </w:tr>
            <w:tr w14:paraId="599AB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446" w:type="pct"/>
                  <w:vMerge w:val="continue"/>
                  <w:tcBorders>
                    <w:top w:val="nil"/>
                    <w:left w:val="single" w:color="000000" w:sz="8" w:space="0"/>
                    <w:bottom w:val="single" w:color="000000" w:sz="8" w:space="0"/>
                    <w:right w:val="single" w:color="000000" w:sz="8" w:space="0"/>
                  </w:tcBorders>
                  <w:shd w:val="clear" w:color="auto" w:fill="auto"/>
                  <w:vAlign w:val="center"/>
                </w:tcPr>
                <w:p w14:paraId="318A5AC5">
                  <w:pPr>
                    <w:keepNext w:val="0"/>
                    <w:keepLines w:val="0"/>
                    <w:pageBreakBefore w:val="0"/>
                    <w:widowControl/>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sz w:val="21"/>
                      <w:szCs w:val="21"/>
                      <w:u w:val="single"/>
                    </w:rPr>
                  </w:pPr>
                </w:p>
              </w:tc>
              <w:tc>
                <w:tcPr>
                  <w:tcW w:w="488" w:type="pct"/>
                  <w:tcBorders>
                    <w:top w:val="nil"/>
                    <w:left w:val="single" w:color="000000" w:sz="8" w:space="0"/>
                    <w:bottom w:val="single" w:color="000000" w:sz="8" w:space="0"/>
                    <w:right w:val="single" w:color="000000" w:sz="8" w:space="0"/>
                  </w:tcBorders>
                  <w:shd w:val="clear" w:color="auto" w:fill="auto"/>
                  <w:vAlign w:val="center"/>
                </w:tcPr>
                <w:p w14:paraId="303A3E02">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去除率</w:t>
                  </w:r>
                  <w:r>
                    <w:rPr>
                      <w:rStyle w:val="54"/>
                      <w:rFonts w:hint="default" w:ascii="Times New Roman" w:hAnsi="Times New Roman" w:eastAsia="宋体" w:cs="Times New Roman"/>
                      <w:b/>
                      <w:bCs/>
                      <w:sz w:val="21"/>
                      <w:szCs w:val="21"/>
                      <w:u w:val="single"/>
                      <w:lang w:val="en-US" w:eastAsia="zh-CN" w:bidi="ar"/>
                    </w:rPr>
                    <w:t>%</w:t>
                  </w:r>
                </w:p>
              </w:tc>
              <w:tc>
                <w:tcPr>
                  <w:tcW w:w="936" w:type="pct"/>
                  <w:gridSpan w:val="2"/>
                  <w:tcBorders>
                    <w:top w:val="nil"/>
                    <w:left w:val="single" w:color="000000" w:sz="8" w:space="0"/>
                    <w:bottom w:val="single" w:color="000000" w:sz="8" w:space="0"/>
                    <w:right w:val="single" w:color="000000" w:sz="8" w:space="0"/>
                  </w:tcBorders>
                  <w:shd w:val="clear" w:color="auto" w:fill="auto"/>
                  <w:vAlign w:val="center"/>
                </w:tcPr>
                <w:p w14:paraId="345B408E">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60.0</w:t>
                  </w:r>
                </w:p>
              </w:tc>
              <w:tc>
                <w:tcPr>
                  <w:tcW w:w="893" w:type="pct"/>
                  <w:gridSpan w:val="2"/>
                  <w:tcBorders>
                    <w:top w:val="nil"/>
                    <w:left w:val="single" w:color="000000" w:sz="8" w:space="0"/>
                    <w:bottom w:val="single" w:color="000000" w:sz="8" w:space="0"/>
                    <w:right w:val="single" w:color="000000" w:sz="8" w:space="0"/>
                  </w:tcBorders>
                  <w:shd w:val="clear" w:color="auto" w:fill="auto"/>
                  <w:vAlign w:val="center"/>
                </w:tcPr>
                <w:p w14:paraId="4888F2BE">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80.0</w:t>
                  </w:r>
                </w:p>
              </w:tc>
              <w:tc>
                <w:tcPr>
                  <w:tcW w:w="893" w:type="pct"/>
                  <w:gridSpan w:val="2"/>
                  <w:tcBorders>
                    <w:top w:val="nil"/>
                    <w:left w:val="single" w:color="000000" w:sz="8" w:space="0"/>
                    <w:bottom w:val="single" w:color="000000" w:sz="8" w:space="0"/>
                    <w:right w:val="single" w:color="000000" w:sz="8" w:space="0"/>
                  </w:tcBorders>
                  <w:shd w:val="clear" w:color="auto" w:fill="auto"/>
                  <w:vAlign w:val="center"/>
                </w:tcPr>
                <w:p w14:paraId="4E0AE456">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40.0</w:t>
                  </w:r>
                </w:p>
              </w:tc>
              <w:tc>
                <w:tcPr>
                  <w:tcW w:w="893" w:type="pct"/>
                  <w:gridSpan w:val="2"/>
                  <w:tcBorders>
                    <w:top w:val="nil"/>
                    <w:left w:val="single" w:color="000000" w:sz="8" w:space="0"/>
                    <w:bottom w:val="single" w:color="000000" w:sz="8" w:space="0"/>
                    <w:right w:val="single" w:color="000000" w:sz="8" w:space="0"/>
                  </w:tcBorders>
                  <w:shd w:val="clear" w:color="auto" w:fill="auto"/>
                  <w:vAlign w:val="center"/>
                </w:tcPr>
                <w:p w14:paraId="3EB5A187">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60.0</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6B74DD9E">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0</w:t>
                  </w:r>
                </w:p>
              </w:tc>
            </w:tr>
            <w:tr w14:paraId="52358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46" w:type="pct"/>
                  <w:vMerge w:val="restart"/>
                  <w:tcBorders>
                    <w:top w:val="nil"/>
                    <w:left w:val="single" w:color="000000" w:sz="8" w:space="0"/>
                    <w:bottom w:val="single" w:color="000000" w:sz="8" w:space="0"/>
                    <w:right w:val="single" w:color="000000" w:sz="8" w:space="0"/>
                  </w:tcBorders>
                  <w:shd w:val="clear" w:color="auto" w:fill="auto"/>
                  <w:vAlign w:val="center"/>
                </w:tcPr>
                <w:p w14:paraId="60BCCB12">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深度处理（脱色</w:t>
                  </w:r>
                  <w:r>
                    <w:rPr>
                      <w:rStyle w:val="54"/>
                      <w:rFonts w:hint="default" w:ascii="Times New Roman" w:hAnsi="Times New Roman" w:eastAsia="宋体" w:cs="Times New Roman"/>
                      <w:b/>
                      <w:bCs/>
                      <w:sz w:val="21"/>
                      <w:szCs w:val="21"/>
                      <w:u w:val="single"/>
                      <w:lang w:val="en-US" w:eastAsia="zh-CN" w:bidi="ar"/>
                    </w:rPr>
                    <w:t>+</w:t>
                  </w:r>
                  <w:r>
                    <w:rPr>
                      <w:rStyle w:val="55"/>
                      <w:rFonts w:hint="default" w:ascii="Times New Roman" w:hAnsi="Times New Roman" w:eastAsia="宋体" w:cs="Times New Roman"/>
                      <w:b/>
                      <w:bCs/>
                      <w:sz w:val="21"/>
                      <w:szCs w:val="21"/>
                      <w:u w:val="single"/>
                      <w:lang w:val="en-US" w:eastAsia="zh-CN" w:bidi="ar"/>
                    </w:rPr>
                    <w:t>二沉池）</w:t>
                  </w:r>
                </w:p>
              </w:tc>
              <w:tc>
                <w:tcPr>
                  <w:tcW w:w="488" w:type="pct"/>
                  <w:tcBorders>
                    <w:top w:val="nil"/>
                    <w:left w:val="single" w:color="000000" w:sz="8" w:space="0"/>
                    <w:bottom w:val="single" w:color="000000" w:sz="8" w:space="0"/>
                    <w:right w:val="single" w:color="000000" w:sz="8" w:space="0"/>
                  </w:tcBorders>
                  <w:shd w:val="clear" w:color="auto" w:fill="auto"/>
                  <w:vAlign w:val="center"/>
                </w:tcPr>
                <w:p w14:paraId="7BE042B0">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进水</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5CFD1985">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93.4</w:t>
                  </w:r>
                </w:p>
              </w:tc>
              <w:tc>
                <w:tcPr>
                  <w:tcW w:w="489" w:type="pct"/>
                  <w:tcBorders>
                    <w:top w:val="nil"/>
                    <w:left w:val="single" w:color="000000" w:sz="8" w:space="0"/>
                    <w:bottom w:val="single" w:color="000000" w:sz="8" w:space="0"/>
                    <w:right w:val="single" w:color="000000" w:sz="8" w:space="0"/>
                  </w:tcBorders>
                  <w:shd w:val="clear" w:color="auto" w:fill="auto"/>
                  <w:vAlign w:val="center"/>
                </w:tcPr>
                <w:p w14:paraId="661EA8B0">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5.2507</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74B747D4">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14.8</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48D9FE92">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0.8336</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380190A8">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148.1</w:t>
                  </w:r>
                </w:p>
              </w:tc>
              <w:tc>
                <w:tcPr>
                  <w:tcW w:w="44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21A0EE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8.3210</w:t>
                  </w:r>
                </w:p>
              </w:tc>
              <w:tc>
                <w:tcPr>
                  <w:tcW w:w="44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49B4307">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7.7</w:t>
                  </w:r>
                </w:p>
              </w:tc>
              <w:tc>
                <w:tcPr>
                  <w:tcW w:w="44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C887BD5">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0.4311</w:t>
                  </w:r>
                </w:p>
              </w:tc>
              <w:tc>
                <w:tcPr>
                  <w:tcW w:w="44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9EB61CA">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360</w:t>
                  </w:r>
                </w:p>
              </w:tc>
            </w:tr>
            <w:tr w14:paraId="5FA71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446" w:type="pct"/>
                  <w:vMerge w:val="continue"/>
                  <w:tcBorders>
                    <w:top w:val="nil"/>
                    <w:left w:val="single" w:color="000000" w:sz="8" w:space="0"/>
                    <w:bottom w:val="single" w:color="000000" w:sz="8" w:space="0"/>
                    <w:right w:val="single" w:color="000000" w:sz="8" w:space="0"/>
                  </w:tcBorders>
                  <w:shd w:val="clear" w:color="auto" w:fill="auto"/>
                  <w:vAlign w:val="center"/>
                </w:tcPr>
                <w:p w14:paraId="490B5EED">
                  <w:pPr>
                    <w:keepNext w:val="0"/>
                    <w:keepLines w:val="0"/>
                    <w:pageBreakBefore w:val="0"/>
                    <w:widowControl/>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sz w:val="21"/>
                      <w:szCs w:val="21"/>
                      <w:u w:val="single"/>
                    </w:rPr>
                  </w:pPr>
                </w:p>
              </w:tc>
              <w:tc>
                <w:tcPr>
                  <w:tcW w:w="488" w:type="pct"/>
                  <w:tcBorders>
                    <w:top w:val="nil"/>
                    <w:left w:val="single" w:color="000000" w:sz="8" w:space="0"/>
                    <w:bottom w:val="single" w:color="000000" w:sz="8" w:space="0"/>
                    <w:right w:val="single" w:color="000000" w:sz="8" w:space="0"/>
                  </w:tcBorders>
                  <w:shd w:val="clear" w:color="auto" w:fill="auto"/>
                  <w:vAlign w:val="center"/>
                </w:tcPr>
                <w:p w14:paraId="15DB9726">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出水</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1928997F">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93.4</w:t>
                  </w:r>
                </w:p>
              </w:tc>
              <w:tc>
                <w:tcPr>
                  <w:tcW w:w="489" w:type="pct"/>
                  <w:tcBorders>
                    <w:top w:val="nil"/>
                    <w:left w:val="single" w:color="000000" w:sz="8" w:space="0"/>
                    <w:bottom w:val="single" w:color="000000" w:sz="8" w:space="0"/>
                    <w:right w:val="single" w:color="000000" w:sz="8" w:space="0"/>
                  </w:tcBorders>
                  <w:shd w:val="clear" w:color="auto" w:fill="auto"/>
                  <w:vAlign w:val="center"/>
                </w:tcPr>
                <w:p w14:paraId="03925366">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5.2507</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5FEE0F89">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14.8</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6B1A5569">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0.8336</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444FF1E0">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29.6</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37022EE1">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1.6642</w:t>
                  </w:r>
                </w:p>
              </w:tc>
              <w:tc>
                <w:tcPr>
                  <w:tcW w:w="44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A160ECF">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7.7</w:t>
                  </w:r>
                </w:p>
              </w:tc>
              <w:tc>
                <w:tcPr>
                  <w:tcW w:w="44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2791F97">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0.4311</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459F769A">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36</w:t>
                  </w:r>
                </w:p>
              </w:tc>
            </w:tr>
            <w:tr w14:paraId="21541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446" w:type="pct"/>
                  <w:vMerge w:val="continue"/>
                  <w:tcBorders>
                    <w:top w:val="nil"/>
                    <w:left w:val="single" w:color="000000" w:sz="8" w:space="0"/>
                    <w:bottom w:val="single" w:color="000000" w:sz="8" w:space="0"/>
                    <w:right w:val="single" w:color="000000" w:sz="8" w:space="0"/>
                  </w:tcBorders>
                  <w:shd w:val="clear" w:color="auto" w:fill="auto"/>
                  <w:vAlign w:val="center"/>
                </w:tcPr>
                <w:p w14:paraId="70D786AB">
                  <w:pPr>
                    <w:keepNext w:val="0"/>
                    <w:keepLines w:val="0"/>
                    <w:pageBreakBefore w:val="0"/>
                    <w:widowControl/>
                    <w:kinsoku/>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sz w:val="21"/>
                      <w:szCs w:val="21"/>
                      <w:u w:val="single"/>
                    </w:rPr>
                  </w:pPr>
                </w:p>
              </w:tc>
              <w:tc>
                <w:tcPr>
                  <w:tcW w:w="488" w:type="pct"/>
                  <w:tcBorders>
                    <w:top w:val="nil"/>
                    <w:left w:val="single" w:color="000000" w:sz="8" w:space="0"/>
                    <w:bottom w:val="single" w:color="000000" w:sz="8" w:space="0"/>
                    <w:right w:val="single" w:color="000000" w:sz="8" w:space="0"/>
                  </w:tcBorders>
                  <w:shd w:val="clear" w:color="auto" w:fill="auto"/>
                  <w:vAlign w:val="center"/>
                </w:tcPr>
                <w:p w14:paraId="04F66FA4">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去除率</w:t>
                  </w:r>
                  <w:r>
                    <w:rPr>
                      <w:rStyle w:val="54"/>
                      <w:rFonts w:hint="default" w:ascii="Times New Roman" w:hAnsi="Times New Roman" w:eastAsia="宋体" w:cs="Times New Roman"/>
                      <w:b/>
                      <w:bCs/>
                      <w:sz w:val="21"/>
                      <w:szCs w:val="21"/>
                      <w:u w:val="single"/>
                      <w:lang w:val="en-US" w:eastAsia="zh-CN" w:bidi="ar"/>
                    </w:rPr>
                    <w:t>%</w:t>
                  </w:r>
                </w:p>
              </w:tc>
              <w:tc>
                <w:tcPr>
                  <w:tcW w:w="936" w:type="pct"/>
                  <w:gridSpan w:val="2"/>
                  <w:tcBorders>
                    <w:top w:val="nil"/>
                    <w:left w:val="single" w:color="000000" w:sz="8" w:space="0"/>
                    <w:bottom w:val="single" w:color="000000" w:sz="8" w:space="0"/>
                    <w:right w:val="single" w:color="000000" w:sz="8" w:space="0"/>
                  </w:tcBorders>
                  <w:shd w:val="clear" w:color="auto" w:fill="auto"/>
                  <w:vAlign w:val="center"/>
                </w:tcPr>
                <w:p w14:paraId="18B35207">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0.0</w:t>
                  </w:r>
                </w:p>
              </w:tc>
              <w:tc>
                <w:tcPr>
                  <w:tcW w:w="893" w:type="pct"/>
                  <w:gridSpan w:val="2"/>
                  <w:tcBorders>
                    <w:top w:val="nil"/>
                    <w:left w:val="single" w:color="000000" w:sz="8" w:space="0"/>
                    <w:bottom w:val="single" w:color="000000" w:sz="8" w:space="0"/>
                    <w:right w:val="single" w:color="000000" w:sz="8" w:space="0"/>
                  </w:tcBorders>
                  <w:shd w:val="clear" w:color="auto" w:fill="auto"/>
                  <w:vAlign w:val="center"/>
                </w:tcPr>
                <w:p w14:paraId="6689AB53">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0.0</w:t>
                  </w:r>
                </w:p>
              </w:tc>
              <w:tc>
                <w:tcPr>
                  <w:tcW w:w="893" w:type="pct"/>
                  <w:gridSpan w:val="2"/>
                  <w:tcBorders>
                    <w:top w:val="nil"/>
                    <w:left w:val="single" w:color="000000" w:sz="8" w:space="0"/>
                    <w:bottom w:val="single" w:color="000000" w:sz="8" w:space="0"/>
                    <w:right w:val="single" w:color="000000" w:sz="8" w:space="0"/>
                  </w:tcBorders>
                  <w:shd w:val="clear" w:color="auto" w:fill="auto"/>
                  <w:vAlign w:val="center"/>
                </w:tcPr>
                <w:p w14:paraId="544BA4A5">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80.0</w:t>
                  </w:r>
                </w:p>
              </w:tc>
              <w:tc>
                <w:tcPr>
                  <w:tcW w:w="893" w:type="pct"/>
                  <w:gridSpan w:val="2"/>
                  <w:tcBorders>
                    <w:top w:val="nil"/>
                    <w:left w:val="single" w:color="000000" w:sz="8" w:space="0"/>
                    <w:bottom w:val="single" w:color="000000" w:sz="8" w:space="0"/>
                    <w:right w:val="single" w:color="000000" w:sz="8" w:space="0"/>
                  </w:tcBorders>
                  <w:shd w:val="clear" w:color="auto" w:fill="auto"/>
                  <w:vAlign w:val="center"/>
                </w:tcPr>
                <w:p w14:paraId="3A0FD635">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0.0</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03BC65AD">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90</w:t>
                  </w:r>
                </w:p>
              </w:tc>
            </w:tr>
            <w:tr w14:paraId="71485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935" w:type="pct"/>
                  <w:gridSpan w:val="2"/>
                  <w:tcBorders>
                    <w:top w:val="nil"/>
                    <w:left w:val="single" w:color="000000" w:sz="8" w:space="0"/>
                    <w:bottom w:val="single" w:color="000000" w:sz="8" w:space="0"/>
                    <w:right w:val="single" w:color="000000" w:sz="8" w:space="0"/>
                  </w:tcBorders>
                  <w:shd w:val="clear" w:color="auto" w:fill="auto"/>
                  <w:vAlign w:val="center"/>
                </w:tcPr>
                <w:p w14:paraId="3C39403F">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污水处理站总去除率</w:t>
                  </w:r>
                  <w:r>
                    <w:rPr>
                      <w:rStyle w:val="54"/>
                      <w:rFonts w:hint="default" w:ascii="Times New Roman" w:hAnsi="Times New Roman" w:eastAsia="宋体" w:cs="Times New Roman"/>
                      <w:b/>
                      <w:bCs/>
                      <w:sz w:val="21"/>
                      <w:szCs w:val="21"/>
                      <w:u w:val="single"/>
                      <w:lang w:val="en-US" w:eastAsia="zh-CN" w:bidi="ar"/>
                    </w:rPr>
                    <w:t>%</w:t>
                  </w:r>
                </w:p>
              </w:tc>
              <w:tc>
                <w:tcPr>
                  <w:tcW w:w="936" w:type="pct"/>
                  <w:gridSpan w:val="2"/>
                  <w:tcBorders>
                    <w:top w:val="nil"/>
                    <w:left w:val="single" w:color="000000" w:sz="8" w:space="0"/>
                    <w:bottom w:val="single" w:color="000000" w:sz="8" w:space="0"/>
                    <w:right w:val="single" w:color="000000" w:sz="8" w:space="0"/>
                  </w:tcBorders>
                  <w:shd w:val="clear" w:color="auto" w:fill="auto"/>
                  <w:vAlign w:val="center"/>
                </w:tcPr>
                <w:p w14:paraId="23E2C1A7">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95.2</w:t>
                  </w:r>
                </w:p>
              </w:tc>
              <w:tc>
                <w:tcPr>
                  <w:tcW w:w="893" w:type="pct"/>
                  <w:gridSpan w:val="2"/>
                  <w:tcBorders>
                    <w:top w:val="nil"/>
                    <w:left w:val="single" w:color="000000" w:sz="8" w:space="0"/>
                    <w:bottom w:val="single" w:color="000000" w:sz="8" w:space="0"/>
                    <w:right w:val="single" w:color="000000" w:sz="8" w:space="0"/>
                  </w:tcBorders>
                  <w:shd w:val="clear" w:color="auto" w:fill="auto"/>
                  <w:vAlign w:val="center"/>
                </w:tcPr>
                <w:p w14:paraId="7C79E290">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98.1</w:t>
                  </w:r>
                </w:p>
              </w:tc>
              <w:tc>
                <w:tcPr>
                  <w:tcW w:w="893" w:type="pct"/>
                  <w:gridSpan w:val="2"/>
                  <w:tcBorders>
                    <w:top w:val="nil"/>
                    <w:left w:val="single" w:color="000000" w:sz="8" w:space="0"/>
                    <w:bottom w:val="single" w:color="000000" w:sz="8" w:space="0"/>
                    <w:right w:val="single" w:color="000000" w:sz="8" w:space="0"/>
                  </w:tcBorders>
                  <w:shd w:val="clear" w:color="auto" w:fill="auto"/>
                  <w:vAlign w:val="center"/>
                </w:tcPr>
                <w:p w14:paraId="179390F5">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95.0</w:t>
                  </w:r>
                </w:p>
              </w:tc>
              <w:tc>
                <w:tcPr>
                  <w:tcW w:w="893" w:type="pct"/>
                  <w:gridSpan w:val="2"/>
                  <w:tcBorders>
                    <w:top w:val="nil"/>
                    <w:left w:val="single" w:color="000000" w:sz="8" w:space="0"/>
                    <w:bottom w:val="single" w:color="000000" w:sz="8" w:space="0"/>
                    <w:right w:val="single" w:color="000000" w:sz="8" w:space="0"/>
                  </w:tcBorders>
                  <w:shd w:val="clear" w:color="auto" w:fill="auto"/>
                  <w:vAlign w:val="center"/>
                </w:tcPr>
                <w:p w14:paraId="0F705C25">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80.2</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5199A7F7">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92</w:t>
                  </w:r>
                </w:p>
              </w:tc>
            </w:tr>
            <w:tr w14:paraId="4E766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935" w:type="pct"/>
                  <w:gridSpan w:val="2"/>
                  <w:tcBorders>
                    <w:top w:val="nil"/>
                    <w:left w:val="single" w:color="000000" w:sz="8" w:space="0"/>
                    <w:bottom w:val="single" w:color="000000" w:sz="8" w:space="0"/>
                    <w:right w:val="single" w:color="000000" w:sz="8" w:space="0"/>
                  </w:tcBorders>
                  <w:shd w:val="clear" w:color="auto" w:fill="auto"/>
                  <w:vAlign w:val="center"/>
                </w:tcPr>
                <w:p w14:paraId="407ADB0D">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中药类制药工业水污染物排放标准表</w:t>
                  </w:r>
                  <w:r>
                    <w:rPr>
                      <w:rStyle w:val="54"/>
                      <w:rFonts w:hint="default" w:ascii="Times New Roman" w:hAnsi="Times New Roman" w:eastAsia="宋体" w:cs="Times New Roman"/>
                      <w:b/>
                      <w:bCs/>
                      <w:sz w:val="21"/>
                      <w:szCs w:val="21"/>
                      <w:u w:val="single"/>
                      <w:lang w:val="en-US" w:eastAsia="zh-CN" w:bidi="ar"/>
                    </w:rPr>
                    <w:t>2</w:t>
                  </w:r>
                  <w:r>
                    <w:rPr>
                      <w:rStyle w:val="55"/>
                      <w:rFonts w:hint="default" w:ascii="Times New Roman" w:hAnsi="Times New Roman" w:eastAsia="宋体" w:cs="Times New Roman"/>
                      <w:b/>
                      <w:bCs/>
                      <w:sz w:val="21"/>
                      <w:szCs w:val="21"/>
                      <w:u w:val="single"/>
                      <w:lang w:val="en-US" w:eastAsia="zh-CN" w:bidi="ar"/>
                    </w:rPr>
                    <w:t>排放限值</w:t>
                  </w:r>
                </w:p>
              </w:tc>
              <w:tc>
                <w:tcPr>
                  <w:tcW w:w="936" w:type="pct"/>
                  <w:gridSpan w:val="2"/>
                  <w:tcBorders>
                    <w:top w:val="nil"/>
                    <w:left w:val="single" w:color="000000" w:sz="8" w:space="0"/>
                    <w:bottom w:val="single" w:color="000000" w:sz="8" w:space="0"/>
                    <w:right w:val="single" w:color="000000" w:sz="8" w:space="0"/>
                  </w:tcBorders>
                  <w:shd w:val="clear" w:color="auto" w:fill="auto"/>
                  <w:vAlign w:val="center"/>
                </w:tcPr>
                <w:p w14:paraId="69F4BA76">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100.0</w:t>
                  </w:r>
                </w:p>
              </w:tc>
              <w:tc>
                <w:tcPr>
                  <w:tcW w:w="893" w:type="pct"/>
                  <w:gridSpan w:val="2"/>
                  <w:tcBorders>
                    <w:top w:val="nil"/>
                    <w:left w:val="single" w:color="000000" w:sz="8" w:space="0"/>
                    <w:bottom w:val="single" w:color="000000" w:sz="8" w:space="0"/>
                    <w:right w:val="single" w:color="000000" w:sz="8" w:space="0"/>
                  </w:tcBorders>
                  <w:shd w:val="clear" w:color="auto" w:fill="auto"/>
                  <w:vAlign w:val="center"/>
                </w:tcPr>
                <w:p w14:paraId="59803D4E">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20.0</w:t>
                  </w:r>
                </w:p>
              </w:tc>
              <w:tc>
                <w:tcPr>
                  <w:tcW w:w="893" w:type="pct"/>
                  <w:gridSpan w:val="2"/>
                  <w:tcBorders>
                    <w:top w:val="nil"/>
                    <w:left w:val="single" w:color="000000" w:sz="8" w:space="0"/>
                    <w:bottom w:val="single" w:color="000000" w:sz="8" w:space="0"/>
                    <w:right w:val="single" w:color="000000" w:sz="8" w:space="0"/>
                  </w:tcBorders>
                  <w:shd w:val="clear" w:color="auto" w:fill="auto"/>
                  <w:vAlign w:val="center"/>
                </w:tcPr>
                <w:p w14:paraId="4BB7DC26">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50.0</w:t>
                  </w:r>
                </w:p>
              </w:tc>
              <w:tc>
                <w:tcPr>
                  <w:tcW w:w="893" w:type="pct"/>
                  <w:gridSpan w:val="2"/>
                  <w:tcBorders>
                    <w:top w:val="nil"/>
                    <w:left w:val="single" w:color="000000" w:sz="8" w:space="0"/>
                    <w:bottom w:val="single" w:color="000000" w:sz="8" w:space="0"/>
                    <w:right w:val="single" w:color="000000" w:sz="8" w:space="0"/>
                  </w:tcBorders>
                  <w:shd w:val="clear" w:color="auto" w:fill="auto"/>
                  <w:vAlign w:val="center"/>
                </w:tcPr>
                <w:p w14:paraId="2AAC596B">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8.0</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61BF2162">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50</w:t>
                  </w:r>
                </w:p>
              </w:tc>
            </w:tr>
            <w:tr w14:paraId="49FCE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935" w:type="pct"/>
                  <w:gridSpan w:val="2"/>
                  <w:tcBorders>
                    <w:top w:val="nil"/>
                    <w:left w:val="single" w:color="000000" w:sz="8" w:space="0"/>
                    <w:bottom w:val="single" w:color="000000" w:sz="8" w:space="0"/>
                    <w:right w:val="single" w:color="000000" w:sz="8" w:space="0"/>
                  </w:tcBorders>
                  <w:shd w:val="clear" w:color="auto" w:fill="auto"/>
                  <w:vAlign w:val="center"/>
                </w:tcPr>
                <w:p w14:paraId="4099A8EB">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南乐县污水处理厂接管标准</w:t>
                  </w:r>
                </w:p>
              </w:tc>
              <w:tc>
                <w:tcPr>
                  <w:tcW w:w="936" w:type="pct"/>
                  <w:gridSpan w:val="2"/>
                  <w:tcBorders>
                    <w:top w:val="nil"/>
                    <w:left w:val="single" w:color="000000" w:sz="8" w:space="0"/>
                    <w:bottom w:val="single" w:color="000000" w:sz="8" w:space="0"/>
                    <w:right w:val="single" w:color="000000" w:sz="8" w:space="0"/>
                  </w:tcBorders>
                  <w:shd w:val="clear" w:color="auto" w:fill="auto"/>
                  <w:vAlign w:val="center"/>
                </w:tcPr>
                <w:p w14:paraId="42AFB57F">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400.0</w:t>
                  </w:r>
                </w:p>
              </w:tc>
              <w:tc>
                <w:tcPr>
                  <w:tcW w:w="893" w:type="pct"/>
                  <w:gridSpan w:val="2"/>
                  <w:tcBorders>
                    <w:top w:val="nil"/>
                    <w:left w:val="single" w:color="000000" w:sz="8" w:space="0"/>
                    <w:bottom w:val="single" w:color="000000" w:sz="8" w:space="0"/>
                    <w:right w:val="single" w:color="000000" w:sz="8" w:space="0"/>
                  </w:tcBorders>
                  <w:shd w:val="clear" w:color="auto" w:fill="auto"/>
                  <w:vAlign w:val="center"/>
                </w:tcPr>
                <w:p w14:paraId="3B42857F">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200.0</w:t>
                  </w:r>
                </w:p>
              </w:tc>
              <w:tc>
                <w:tcPr>
                  <w:tcW w:w="893" w:type="pct"/>
                  <w:gridSpan w:val="2"/>
                  <w:tcBorders>
                    <w:top w:val="nil"/>
                    <w:left w:val="single" w:color="000000" w:sz="8" w:space="0"/>
                    <w:bottom w:val="single" w:color="000000" w:sz="8" w:space="0"/>
                    <w:right w:val="single" w:color="000000" w:sz="8" w:space="0"/>
                  </w:tcBorders>
                  <w:shd w:val="clear" w:color="auto" w:fill="auto"/>
                  <w:vAlign w:val="center"/>
                </w:tcPr>
                <w:p w14:paraId="258B9799">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350.0</w:t>
                  </w:r>
                </w:p>
              </w:tc>
              <w:tc>
                <w:tcPr>
                  <w:tcW w:w="893" w:type="pct"/>
                  <w:gridSpan w:val="2"/>
                  <w:tcBorders>
                    <w:top w:val="nil"/>
                    <w:left w:val="single" w:color="000000" w:sz="8" w:space="0"/>
                    <w:bottom w:val="single" w:color="000000" w:sz="8" w:space="0"/>
                    <w:right w:val="single" w:color="000000" w:sz="8" w:space="0"/>
                  </w:tcBorders>
                  <w:shd w:val="clear" w:color="auto" w:fill="auto"/>
                  <w:vAlign w:val="center"/>
                </w:tcPr>
                <w:p w14:paraId="76BA3C86">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35.0</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6ACC13F0">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w:t>
                  </w:r>
                </w:p>
              </w:tc>
            </w:tr>
            <w:tr w14:paraId="0CCA8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935" w:type="pct"/>
                  <w:gridSpan w:val="2"/>
                  <w:tcBorders>
                    <w:top w:val="nil"/>
                    <w:left w:val="single" w:color="000000" w:sz="8" w:space="0"/>
                    <w:bottom w:val="single" w:color="000000" w:sz="8" w:space="0"/>
                    <w:right w:val="single" w:color="000000" w:sz="8" w:space="0"/>
                  </w:tcBorders>
                  <w:shd w:val="clear" w:color="auto" w:fill="auto"/>
                  <w:vAlign w:val="center"/>
                </w:tcPr>
                <w:p w14:paraId="76AA9A7B">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经南乐县污水处理厂处理后出水</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402BC69C">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40.0</w:t>
                  </w:r>
                </w:p>
              </w:tc>
              <w:tc>
                <w:tcPr>
                  <w:tcW w:w="489" w:type="pct"/>
                  <w:tcBorders>
                    <w:top w:val="nil"/>
                    <w:left w:val="single" w:color="000000" w:sz="8" w:space="0"/>
                    <w:bottom w:val="single" w:color="000000" w:sz="8" w:space="0"/>
                    <w:right w:val="single" w:color="000000" w:sz="8" w:space="0"/>
                  </w:tcBorders>
                  <w:shd w:val="clear" w:color="auto" w:fill="auto"/>
                  <w:vAlign w:val="center"/>
                </w:tcPr>
                <w:p w14:paraId="09E26681">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2.2474</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63BC4FF8">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10.0</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571D4125">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0.5618</w:t>
                  </w:r>
                </w:p>
              </w:tc>
              <w:tc>
                <w:tcPr>
                  <w:tcW w:w="446" w:type="pct"/>
                  <w:tcBorders>
                    <w:top w:val="nil"/>
                    <w:left w:val="single" w:color="000000" w:sz="8" w:space="0"/>
                    <w:bottom w:val="single" w:color="000000" w:sz="8" w:space="0"/>
                    <w:right w:val="single" w:color="000000" w:sz="8" w:space="0"/>
                  </w:tcBorders>
                  <w:shd w:val="clear" w:color="auto" w:fill="auto"/>
                  <w:vAlign w:val="center"/>
                </w:tcPr>
                <w:p w14:paraId="3D1ECFB9">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10.0</w:t>
                  </w:r>
                </w:p>
              </w:tc>
              <w:tc>
                <w:tcPr>
                  <w:tcW w:w="44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D4673CB">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0.5618</w:t>
                  </w:r>
                </w:p>
              </w:tc>
              <w:tc>
                <w:tcPr>
                  <w:tcW w:w="44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5B7E98F">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2.0</w:t>
                  </w:r>
                </w:p>
              </w:tc>
              <w:tc>
                <w:tcPr>
                  <w:tcW w:w="44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5BF8694">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0.1124</w:t>
                  </w:r>
                </w:p>
              </w:tc>
              <w:tc>
                <w:tcPr>
                  <w:tcW w:w="44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3DD4A5C">
                  <w:pPr>
                    <w:keepNext w:val="0"/>
                    <w:keepLines w:val="0"/>
                    <w:pageBreakBefore w:val="0"/>
                    <w:widowControl/>
                    <w:suppressLineNumbers w:val="0"/>
                    <w:kinsoku/>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w:t>
                  </w:r>
                </w:p>
              </w:tc>
            </w:tr>
          </w:tbl>
          <w:p w14:paraId="15CF3113">
            <w:pPr>
              <w:keepNext/>
              <w:keepLines w:val="0"/>
              <w:pageBreakBefore w:val="0"/>
              <w:widowControl w:val="0"/>
              <w:kinsoku/>
              <w:wordWrap w:val="0"/>
              <w:overflowPunct w:val="0"/>
              <w:topLinePunct w:val="0"/>
              <w:autoSpaceDE/>
              <w:autoSpaceDN/>
              <w:bidi w:val="0"/>
              <w:adjustRightInd/>
              <w:snapToGrid w:val="0"/>
              <w:spacing w:line="360" w:lineRule="auto"/>
              <w:ind w:left="0" w:leftChars="0" w:firstLine="480" w:firstLineChars="200"/>
              <w:jc w:val="both"/>
              <w:textAlignment w:val="auto"/>
              <w:outlineLvl w:val="9"/>
              <w:rPr>
                <w:rFonts w:hint="eastAsia"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bidi="ar-SA"/>
              </w:rPr>
              <w:t>项目</w:t>
            </w:r>
            <w:r>
              <w:rPr>
                <w:rFonts w:hint="eastAsia" w:cs="Times New Roman"/>
                <w:kern w:val="0"/>
                <w:sz w:val="24"/>
                <w:szCs w:val="24"/>
                <w:lang w:val="en-US" w:eastAsia="zh-CN" w:bidi="ar-SA"/>
              </w:rPr>
              <w:t>废水经污水处理站处理后</w:t>
            </w:r>
            <w:r>
              <w:rPr>
                <w:rFonts w:hint="eastAsia" w:ascii="Times New Roman" w:hAnsi="Times New Roman" w:eastAsia="宋体" w:cs="Times New Roman"/>
                <w:kern w:val="0"/>
                <w:sz w:val="24"/>
                <w:szCs w:val="24"/>
                <w:lang w:val="en-US" w:eastAsia="zh-CN" w:bidi="ar-SA"/>
              </w:rPr>
              <w:t>出水能够满足《中药类制药工业水污染物排放标准》（GB21906-2008）表2标准</w:t>
            </w:r>
            <w:r>
              <w:rPr>
                <w:rFonts w:hint="eastAsia" w:cs="Times New Roman"/>
                <w:kern w:val="0"/>
                <w:sz w:val="24"/>
                <w:szCs w:val="24"/>
                <w:lang w:val="en-US" w:eastAsia="zh-CN" w:bidi="ar-SA"/>
              </w:rPr>
              <w:t>及南乐县污水处理厂接管标准</w:t>
            </w:r>
            <w:r>
              <w:rPr>
                <w:rFonts w:hint="eastAsia" w:ascii="Times New Roman" w:hAnsi="Times New Roman" w:eastAsia="宋体" w:cs="Times New Roman"/>
                <w:kern w:val="0"/>
                <w:sz w:val="24"/>
                <w:szCs w:val="24"/>
                <w:lang w:val="en-US" w:eastAsia="zh-CN" w:bidi="ar-SA"/>
              </w:rPr>
              <w:t>，进入</w:t>
            </w:r>
            <w:r>
              <w:rPr>
                <w:rFonts w:hint="eastAsia" w:cs="Times New Roman"/>
                <w:kern w:val="0"/>
                <w:sz w:val="24"/>
                <w:szCs w:val="24"/>
                <w:lang w:val="en-US" w:eastAsia="zh-CN" w:bidi="ar-SA"/>
              </w:rPr>
              <w:t>南乐县污水处理厂</w:t>
            </w:r>
            <w:r>
              <w:rPr>
                <w:rFonts w:hint="eastAsia" w:ascii="Times New Roman" w:hAnsi="Times New Roman" w:eastAsia="宋体" w:cs="Times New Roman"/>
                <w:kern w:val="0"/>
                <w:sz w:val="24"/>
                <w:szCs w:val="24"/>
                <w:lang w:val="en-US" w:eastAsia="zh-CN" w:bidi="ar-SA"/>
              </w:rPr>
              <w:t>处理，尾水排入</w:t>
            </w:r>
            <w:r>
              <w:rPr>
                <w:rFonts w:hint="eastAsia" w:cs="Times New Roman"/>
                <w:kern w:val="0"/>
                <w:sz w:val="24"/>
                <w:szCs w:val="24"/>
                <w:lang w:val="en-US" w:eastAsia="zh-CN" w:bidi="ar-SA"/>
              </w:rPr>
              <w:t>永顺沟</w:t>
            </w:r>
            <w:r>
              <w:rPr>
                <w:rFonts w:hint="eastAsia" w:ascii="Times New Roman" w:hAnsi="Times New Roman" w:eastAsia="宋体" w:cs="Times New Roman"/>
                <w:kern w:val="0"/>
                <w:sz w:val="24"/>
                <w:szCs w:val="24"/>
                <w:lang w:val="en-US" w:eastAsia="zh-CN" w:bidi="ar-SA"/>
              </w:rPr>
              <w:t>。</w:t>
            </w:r>
          </w:p>
          <w:p w14:paraId="6C160CAC">
            <w:pPr>
              <w:keepNext/>
              <w:keepLines w:val="0"/>
              <w:pageBreakBefore w:val="0"/>
              <w:widowControl w:val="0"/>
              <w:kinsoku/>
              <w:wordWrap w:val="0"/>
              <w:overflowPunct w:val="0"/>
              <w:topLinePunct w:val="0"/>
              <w:autoSpaceDE/>
              <w:autoSpaceDN/>
              <w:bidi w:val="0"/>
              <w:adjustRightInd/>
              <w:snapToGrid w:val="0"/>
              <w:spacing w:line="360" w:lineRule="auto"/>
              <w:ind w:left="0" w:leftChars="0" w:firstLine="480" w:firstLineChars="200"/>
              <w:jc w:val="both"/>
              <w:textAlignment w:val="auto"/>
              <w:outlineLvl w:val="9"/>
              <w:rPr>
                <w:rFonts w:hint="eastAsia"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bidi="ar-SA"/>
              </w:rPr>
              <w:t>对照《排污许可证申请与核发技术规范制药工业—中成药生产》（HJ1064-2019），本项目废水采取的工艺措施均属于推荐的可行技术。因此，项目废水经处理后能够做到达标排放，处理工艺合理可行。</w:t>
            </w:r>
          </w:p>
          <w:p w14:paraId="0FBCB542">
            <w:pPr>
              <w:keepNext w:val="0"/>
              <w:keepLines w:val="0"/>
              <w:pageBreakBefore w:val="0"/>
              <w:widowControl w:val="0"/>
              <w:kinsoku/>
              <w:wordWrap w:val="0"/>
              <w:overflowPunct/>
              <w:topLinePunct w:val="0"/>
              <w:bidi w:val="0"/>
              <w:adjustRightInd/>
              <w:snapToGrid/>
              <w:ind w:firstLine="0" w:firstLineChars="0"/>
              <w:textAlignment w:val="auto"/>
              <w:rPr>
                <w:b/>
                <w:bCs/>
                <w:color w:val="auto"/>
                <w:u w:val="single"/>
              </w:rPr>
            </w:pPr>
            <w:r>
              <w:rPr>
                <w:rFonts w:hint="eastAsia"/>
                <w:b/>
                <w:bCs/>
                <w:color w:val="auto"/>
                <w:u w:val="single"/>
              </w:rPr>
              <w:t>4.排水去向可行性分析</w:t>
            </w:r>
          </w:p>
          <w:p w14:paraId="0ED5FDD2">
            <w:pPr>
              <w:ind w:firstLine="480"/>
              <w:rPr>
                <w:b/>
                <w:bCs/>
                <w:color w:val="auto"/>
                <w:u w:val="single"/>
              </w:rPr>
            </w:pPr>
            <w:r>
              <w:rPr>
                <w:rFonts w:hint="eastAsia"/>
                <w:b/>
                <w:bCs/>
                <w:color w:val="auto"/>
                <w:u w:val="single"/>
              </w:rPr>
              <w:t>南乐县污水处理厂设计收水服务范围东至谷金楼乡李家屯，南至安济公路南侧500m，西至县城规划谷杨路，北至马颊河南岸。本项目位于</w:t>
            </w:r>
            <w:r>
              <w:rPr>
                <w:rFonts w:hint="eastAsia"/>
                <w:b/>
                <w:bCs/>
                <w:color w:val="auto"/>
                <w:u w:val="single"/>
                <w:lang w:eastAsia="zh-CN"/>
              </w:rPr>
              <w:t>南乐县先进制造业开发区</w:t>
            </w:r>
            <w:r>
              <w:rPr>
                <w:rFonts w:hint="eastAsia"/>
                <w:b/>
                <w:bCs/>
                <w:color w:val="auto"/>
                <w:u w:val="single"/>
                <w:lang w:val="en-US" w:eastAsia="zh-CN"/>
              </w:rPr>
              <w:t>鸿宇路5号</w:t>
            </w:r>
            <w:r>
              <w:rPr>
                <w:rFonts w:hint="eastAsia"/>
                <w:b/>
                <w:bCs/>
                <w:color w:val="auto"/>
                <w:u w:val="single"/>
              </w:rPr>
              <w:t>，在污水处理厂设计收水范围内。</w:t>
            </w:r>
          </w:p>
          <w:p w14:paraId="35E25848">
            <w:pPr>
              <w:ind w:firstLine="480"/>
              <w:rPr>
                <w:b/>
                <w:bCs/>
                <w:color w:val="auto"/>
                <w:u w:val="single"/>
              </w:rPr>
            </w:pPr>
            <w:r>
              <w:rPr>
                <w:rFonts w:hint="eastAsia"/>
                <w:b/>
                <w:bCs/>
                <w:color w:val="auto"/>
                <w:u w:val="single"/>
              </w:rPr>
              <w:t>南乐县污水处理厂处理工艺采用“水解沉淀+改良型氧化沟+深度处理”工艺。南乐县污水处理厂处理规模为5万m</w:t>
            </w:r>
            <w:r>
              <w:rPr>
                <w:rFonts w:hint="eastAsia"/>
                <w:b/>
                <w:bCs/>
                <w:color w:val="auto"/>
                <w:u w:val="single"/>
                <w:vertAlign w:val="superscript"/>
              </w:rPr>
              <w:t>3</w:t>
            </w:r>
            <w:r>
              <w:rPr>
                <w:rFonts w:hint="eastAsia"/>
                <w:b/>
                <w:bCs/>
                <w:color w:val="auto"/>
                <w:u w:val="single"/>
              </w:rPr>
              <w:t>/d，根据调查南乐县污水处理厂收水范围内现状处理水量为1.2万m</w:t>
            </w:r>
            <w:r>
              <w:rPr>
                <w:rFonts w:hint="eastAsia"/>
                <w:b/>
                <w:bCs/>
                <w:color w:val="auto"/>
                <w:u w:val="single"/>
                <w:vertAlign w:val="superscript"/>
              </w:rPr>
              <w:t>3</w:t>
            </w:r>
            <w:r>
              <w:rPr>
                <w:rFonts w:hint="eastAsia"/>
                <w:b/>
                <w:bCs/>
                <w:color w:val="auto"/>
                <w:u w:val="single"/>
              </w:rPr>
              <w:t>/d，而本工程外排废水量约</w:t>
            </w:r>
            <w:r>
              <w:rPr>
                <w:rFonts w:hint="eastAsia"/>
                <w:b/>
                <w:bCs/>
                <w:color w:val="auto"/>
                <w:u w:val="single"/>
                <w:lang w:val="en-US" w:eastAsia="zh-CN"/>
              </w:rPr>
              <w:t>1</w:t>
            </w:r>
            <w:r>
              <w:rPr>
                <w:rFonts w:hint="eastAsia"/>
                <w:b/>
                <w:bCs/>
                <w:color w:val="auto"/>
                <w:u w:val="single"/>
              </w:rPr>
              <w:t>51.5m</w:t>
            </w:r>
            <w:r>
              <w:rPr>
                <w:rFonts w:hint="eastAsia"/>
                <w:b/>
                <w:bCs/>
                <w:color w:val="auto"/>
                <w:u w:val="single"/>
                <w:vertAlign w:val="superscript"/>
              </w:rPr>
              <w:t>3</w:t>
            </w:r>
            <w:r>
              <w:rPr>
                <w:rFonts w:hint="eastAsia"/>
                <w:b/>
                <w:bCs/>
                <w:color w:val="auto"/>
                <w:u w:val="single"/>
              </w:rPr>
              <w:t>/d。因此南乐县污水处理厂有足够的剩余处理能力来处理本项目废水。</w:t>
            </w:r>
          </w:p>
          <w:p w14:paraId="1E9E345E">
            <w:pPr>
              <w:ind w:firstLine="480"/>
              <w:rPr>
                <w:b/>
                <w:bCs/>
                <w:color w:val="auto"/>
                <w:u w:val="single"/>
              </w:rPr>
            </w:pPr>
            <w:r>
              <w:rPr>
                <w:rFonts w:hint="eastAsia"/>
                <w:b/>
                <w:bCs/>
                <w:color w:val="auto"/>
                <w:u w:val="single"/>
              </w:rPr>
              <w:t>本项目废水</w:t>
            </w:r>
            <w:r>
              <w:rPr>
                <w:rFonts w:hint="eastAsia"/>
                <w:b/>
                <w:bCs/>
                <w:color w:val="auto"/>
                <w:u w:val="single"/>
                <w:lang w:val="en-US" w:eastAsia="zh-CN"/>
              </w:rPr>
              <w:t>经</w:t>
            </w:r>
            <w:r>
              <w:rPr>
                <w:rFonts w:hint="eastAsia"/>
                <w:b/>
                <w:bCs/>
                <w:color w:val="auto"/>
                <w:u w:val="single"/>
              </w:rPr>
              <w:t>污水处理站处理，经处理后总排口排放浓度可以满足</w:t>
            </w:r>
            <w:r>
              <w:rPr>
                <w:rFonts w:hint="eastAsia" w:ascii="Times New Roman" w:hAnsi="Times New Roman" w:eastAsia="宋体" w:cs="Times New Roman"/>
                <w:b/>
                <w:bCs/>
                <w:kern w:val="0"/>
                <w:sz w:val="24"/>
                <w:szCs w:val="24"/>
                <w:u w:val="single"/>
                <w:lang w:val="en-US" w:eastAsia="zh-CN" w:bidi="ar-SA"/>
              </w:rPr>
              <w:t>《中药类制药工业水污染物排放标准》（GB21906-2008）表2标准</w:t>
            </w:r>
            <w:r>
              <w:rPr>
                <w:rFonts w:hint="eastAsia"/>
                <w:b/>
                <w:bCs/>
                <w:color w:val="auto"/>
                <w:u w:val="single"/>
              </w:rPr>
              <w:t>和南乐县污水处理厂收水水质标准。项目废水经污水处理站处理后可达标排放，不会对南乐县污水处理厂的正常运行造成不利影响。</w:t>
            </w:r>
          </w:p>
          <w:p w14:paraId="6AC6007F">
            <w:pPr>
              <w:ind w:firstLine="480"/>
              <w:rPr>
                <w:b/>
                <w:bCs/>
                <w:color w:val="auto"/>
                <w:u w:val="single"/>
              </w:rPr>
            </w:pPr>
            <w:r>
              <w:rPr>
                <w:rFonts w:hint="eastAsia"/>
                <w:b/>
                <w:bCs/>
                <w:color w:val="auto"/>
                <w:u w:val="single"/>
              </w:rPr>
              <w:t>综上所述，从收水范围、处理工艺、处理能力和收水水质方面分析，本项目废水处理依托可行。</w:t>
            </w:r>
          </w:p>
          <w:p w14:paraId="0A914B7B">
            <w:pPr>
              <w:keepNext w:val="0"/>
              <w:keepLines w:val="0"/>
              <w:pageBreakBefore w:val="0"/>
              <w:widowControl w:val="0"/>
              <w:kinsoku/>
              <w:wordWrap w:val="0"/>
              <w:overflowPunct/>
              <w:topLinePunct w:val="0"/>
              <w:bidi w:val="0"/>
              <w:adjustRightInd/>
              <w:snapToGrid/>
              <w:ind w:firstLine="0" w:firstLineChars="0"/>
              <w:textAlignment w:val="auto"/>
              <w:rPr>
                <w:b/>
                <w:bCs/>
                <w:color w:val="auto"/>
              </w:rPr>
            </w:pPr>
            <w:r>
              <w:rPr>
                <w:rFonts w:hint="eastAsia"/>
                <w:b/>
                <w:bCs/>
                <w:color w:val="auto"/>
              </w:rPr>
              <w:t>5</w:t>
            </w:r>
            <w:r>
              <w:rPr>
                <w:b/>
                <w:bCs/>
                <w:color w:val="auto"/>
              </w:rPr>
              <w:t>.</w:t>
            </w:r>
            <w:r>
              <w:rPr>
                <w:rFonts w:hint="eastAsia"/>
                <w:b/>
                <w:bCs/>
                <w:color w:val="auto"/>
              </w:rPr>
              <w:t>废水监测计划</w:t>
            </w:r>
          </w:p>
          <w:p w14:paraId="6EBF447A">
            <w:pPr>
              <w:ind w:firstLine="480"/>
              <w:rPr>
                <w:color w:val="auto"/>
              </w:rPr>
            </w:pPr>
            <w:r>
              <w:rPr>
                <w:rFonts w:hint="eastAsia"/>
                <w:color w:val="auto"/>
              </w:rPr>
              <w:t>环境自行监测应根据《排污单位自行监测技术指南</w:t>
            </w:r>
            <w:r>
              <w:rPr>
                <w:rFonts w:hint="eastAsia"/>
                <w:color w:val="auto"/>
                <w:lang w:val="en-US" w:eastAsia="zh-CN"/>
              </w:rPr>
              <w:t xml:space="preserve"> </w:t>
            </w:r>
            <w:r>
              <w:rPr>
                <w:rFonts w:hint="eastAsia"/>
                <w:color w:val="auto"/>
              </w:rPr>
              <w:t>中药、生物药品制品、化学药品制剂制造业》（HJ1256—2022）</w:t>
            </w:r>
            <w:r>
              <w:rPr>
                <w:rFonts w:hint="eastAsia"/>
                <w:color w:val="auto"/>
                <w:lang w:val="en-US" w:eastAsia="zh-CN"/>
              </w:rPr>
              <w:t>及《排污许可证申请与核发技术规范制药工业—中成药生产》（HJ1064—2019）</w:t>
            </w:r>
            <w:r>
              <w:rPr>
                <w:rFonts w:hint="eastAsia"/>
                <w:color w:val="auto"/>
              </w:rPr>
              <w:t>文件要求，每次监测应有完整的记录。监测数据应及时整理、统计，按时向管理部门、调度部门报告，做好监测资料的归档工作。</w:t>
            </w:r>
          </w:p>
          <w:p w14:paraId="5F25FDA4">
            <w:pPr>
              <w:keepNext w:val="0"/>
              <w:keepLines w:val="0"/>
              <w:pageBreakBefore w:val="0"/>
              <w:widowControl w:val="0"/>
              <w:numPr>
                <w:ilvl w:val="0"/>
                <w:numId w:val="9"/>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lang w:val="zh-CN"/>
              </w:rPr>
            </w:pPr>
            <w:r>
              <w:rPr>
                <w:rFonts w:hint="eastAsia" w:ascii="Times New Roman" w:hAnsi="Times New Roman" w:eastAsia="宋体" w:cs="Times New Roman"/>
                <w:b/>
                <w:bCs/>
                <w:color w:val="auto"/>
                <w:sz w:val="21"/>
                <w:szCs w:val="21"/>
                <w:lang w:val="zh-CN"/>
              </w:rPr>
              <w:t>监测内容及频次一览表</w:t>
            </w:r>
          </w:p>
          <w:tbl>
            <w:tblPr>
              <w:tblStyle w:val="20"/>
              <w:tblW w:w="49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52"/>
              <w:gridCol w:w="687"/>
              <w:gridCol w:w="934"/>
              <w:gridCol w:w="2267"/>
              <w:gridCol w:w="969"/>
              <w:gridCol w:w="2689"/>
            </w:tblGrid>
            <w:tr w14:paraId="064D0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52" w:type="dxa"/>
                  <w:tcBorders>
                    <w:top w:val="single" w:color="auto" w:sz="4" w:space="0"/>
                    <w:left w:val="single" w:color="auto" w:sz="4" w:space="0"/>
                    <w:bottom w:val="single" w:color="auto" w:sz="4" w:space="0"/>
                    <w:right w:val="single" w:color="auto" w:sz="4" w:space="0"/>
                  </w:tcBorders>
                  <w:vAlign w:val="center"/>
                </w:tcPr>
                <w:p w14:paraId="64CEE70D">
                  <w:pPr>
                    <w:spacing w:line="240" w:lineRule="auto"/>
                    <w:ind w:firstLine="0" w:firstLineChars="0"/>
                    <w:jc w:val="center"/>
                    <w:rPr>
                      <w:color w:val="auto"/>
                      <w:sz w:val="21"/>
                      <w:szCs w:val="21"/>
                    </w:rPr>
                  </w:pPr>
                  <w:r>
                    <w:rPr>
                      <w:rFonts w:hint="eastAsia"/>
                      <w:color w:val="auto"/>
                      <w:sz w:val="21"/>
                      <w:szCs w:val="21"/>
                    </w:rPr>
                    <w:t>序号</w:t>
                  </w:r>
                </w:p>
              </w:tc>
              <w:tc>
                <w:tcPr>
                  <w:tcW w:w="687" w:type="dxa"/>
                  <w:tcBorders>
                    <w:top w:val="single" w:color="auto" w:sz="4" w:space="0"/>
                    <w:left w:val="single" w:color="auto" w:sz="4" w:space="0"/>
                    <w:bottom w:val="single" w:color="auto" w:sz="4" w:space="0"/>
                    <w:right w:val="single" w:color="auto" w:sz="4" w:space="0"/>
                  </w:tcBorders>
                  <w:vAlign w:val="center"/>
                </w:tcPr>
                <w:p w14:paraId="0B2D1E45">
                  <w:pPr>
                    <w:spacing w:line="240" w:lineRule="auto"/>
                    <w:ind w:firstLine="0" w:firstLineChars="0"/>
                    <w:jc w:val="center"/>
                    <w:rPr>
                      <w:color w:val="auto"/>
                      <w:sz w:val="21"/>
                      <w:szCs w:val="21"/>
                    </w:rPr>
                  </w:pPr>
                  <w:r>
                    <w:rPr>
                      <w:rFonts w:hint="eastAsia"/>
                      <w:color w:val="auto"/>
                      <w:sz w:val="21"/>
                      <w:szCs w:val="21"/>
                    </w:rPr>
                    <w:t>污染源</w:t>
                  </w:r>
                </w:p>
              </w:tc>
              <w:tc>
                <w:tcPr>
                  <w:tcW w:w="934" w:type="dxa"/>
                  <w:tcBorders>
                    <w:top w:val="single" w:color="auto" w:sz="4" w:space="0"/>
                    <w:left w:val="single" w:color="auto" w:sz="4" w:space="0"/>
                    <w:bottom w:val="single" w:color="auto" w:sz="4" w:space="0"/>
                    <w:right w:val="single" w:color="auto" w:sz="4" w:space="0"/>
                  </w:tcBorders>
                  <w:vAlign w:val="center"/>
                </w:tcPr>
                <w:p w14:paraId="53A572A7">
                  <w:pPr>
                    <w:spacing w:line="240" w:lineRule="auto"/>
                    <w:ind w:firstLine="0" w:firstLineChars="0"/>
                    <w:jc w:val="center"/>
                    <w:rPr>
                      <w:color w:val="auto"/>
                      <w:sz w:val="21"/>
                      <w:szCs w:val="21"/>
                    </w:rPr>
                  </w:pPr>
                  <w:r>
                    <w:rPr>
                      <w:rFonts w:hint="eastAsia"/>
                      <w:color w:val="auto"/>
                      <w:sz w:val="21"/>
                      <w:szCs w:val="21"/>
                    </w:rPr>
                    <w:t>监测点位</w:t>
                  </w:r>
                </w:p>
              </w:tc>
              <w:tc>
                <w:tcPr>
                  <w:tcW w:w="2267" w:type="dxa"/>
                  <w:tcBorders>
                    <w:top w:val="single" w:color="auto" w:sz="4" w:space="0"/>
                    <w:left w:val="single" w:color="auto" w:sz="4" w:space="0"/>
                    <w:bottom w:val="single" w:color="auto" w:sz="4" w:space="0"/>
                    <w:right w:val="single" w:color="auto" w:sz="4" w:space="0"/>
                  </w:tcBorders>
                  <w:vAlign w:val="center"/>
                </w:tcPr>
                <w:p w14:paraId="6A6AA81F">
                  <w:pPr>
                    <w:spacing w:line="240" w:lineRule="auto"/>
                    <w:ind w:firstLine="0" w:firstLineChars="0"/>
                    <w:jc w:val="center"/>
                    <w:rPr>
                      <w:color w:val="auto"/>
                      <w:sz w:val="21"/>
                      <w:szCs w:val="21"/>
                    </w:rPr>
                  </w:pPr>
                  <w:r>
                    <w:rPr>
                      <w:rFonts w:hint="eastAsia"/>
                      <w:color w:val="auto"/>
                      <w:sz w:val="21"/>
                      <w:szCs w:val="21"/>
                    </w:rPr>
                    <w:t>监测项目</w:t>
                  </w:r>
                </w:p>
              </w:tc>
              <w:tc>
                <w:tcPr>
                  <w:tcW w:w="969" w:type="dxa"/>
                  <w:tcBorders>
                    <w:top w:val="single" w:color="auto" w:sz="4" w:space="0"/>
                    <w:left w:val="single" w:color="auto" w:sz="4" w:space="0"/>
                    <w:bottom w:val="single" w:color="auto" w:sz="4" w:space="0"/>
                    <w:right w:val="single" w:color="auto" w:sz="4" w:space="0"/>
                  </w:tcBorders>
                  <w:vAlign w:val="center"/>
                </w:tcPr>
                <w:p w14:paraId="6DB160C9">
                  <w:pPr>
                    <w:spacing w:line="240" w:lineRule="auto"/>
                    <w:ind w:firstLine="0" w:firstLineChars="0"/>
                    <w:jc w:val="center"/>
                    <w:rPr>
                      <w:color w:val="auto"/>
                      <w:sz w:val="21"/>
                      <w:szCs w:val="21"/>
                    </w:rPr>
                  </w:pPr>
                  <w:r>
                    <w:rPr>
                      <w:rFonts w:hint="eastAsia"/>
                      <w:color w:val="auto"/>
                      <w:sz w:val="21"/>
                      <w:szCs w:val="21"/>
                    </w:rPr>
                    <w:t>监测频次</w:t>
                  </w:r>
                </w:p>
              </w:tc>
              <w:tc>
                <w:tcPr>
                  <w:tcW w:w="2689" w:type="dxa"/>
                  <w:tcBorders>
                    <w:top w:val="single" w:color="auto" w:sz="4" w:space="0"/>
                    <w:left w:val="single" w:color="auto" w:sz="4" w:space="0"/>
                    <w:bottom w:val="single" w:color="auto" w:sz="4" w:space="0"/>
                    <w:right w:val="single" w:color="auto" w:sz="4" w:space="0"/>
                  </w:tcBorders>
                  <w:vAlign w:val="center"/>
                </w:tcPr>
                <w:p w14:paraId="5ECFBD74">
                  <w:pPr>
                    <w:spacing w:line="240" w:lineRule="auto"/>
                    <w:ind w:firstLine="0" w:firstLineChars="0"/>
                    <w:jc w:val="center"/>
                    <w:rPr>
                      <w:color w:val="auto"/>
                      <w:sz w:val="21"/>
                      <w:szCs w:val="21"/>
                    </w:rPr>
                  </w:pPr>
                  <w:r>
                    <w:rPr>
                      <w:rFonts w:hint="eastAsia"/>
                      <w:color w:val="auto"/>
                      <w:sz w:val="21"/>
                      <w:szCs w:val="21"/>
                    </w:rPr>
                    <w:t>监测方法/依据</w:t>
                  </w:r>
                </w:p>
              </w:tc>
            </w:tr>
            <w:tr w14:paraId="3B71E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4" w:hRule="atLeast"/>
                <w:jc w:val="center"/>
              </w:trPr>
              <w:tc>
                <w:tcPr>
                  <w:tcW w:w="452" w:type="dxa"/>
                  <w:vMerge w:val="restart"/>
                  <w:tcBorders>
                    <w:top w:val="single" w:color="auto" w:sz="4" w:space="0"/>
                    <w:left w:val="single" w:color="auto" w:sz="4" w:space="0"/>
                    <w:right w:val="single" w:color="auto" w:sz="4" w:space="0"/>
                  </w:tcBorders>
                  <w:vAlign w:val="center"/>
                </w:tcPr>
                <w:p w14:paraId="7D727328">
                  <w:pPr>
                    <w:spacing w:line="240" w:lineRule="auto"/>
                    <w:ind w:firstLine="0" w:firstLineChars="0"/>
                    <w:jc w:val="center"/>
                    <w:rPr>
                      <w:color w:val="auto"/>
                      <w:sz w:val="21"/>
                      <w:szCs w:val="21"/>
                    </w:rPr>
                  </w:pPr>
                  <w:r>
                    <w:rPr>
                      <w:color w:val="auto"/>
                      <w:sz w:val="21"/>
                      <w:szCs w:val="21"/>
                    </w:rPr>
                    <w:t>1</w:t>
                  </w:r>
                </w:p>
              </w:tc>
              <w:tc>
                <w:tcPr>
                  <w:tcW w:w="687" w:type="dxa"/>
                  <w:vMerge w:val="restart"/>
                  <w:tcBorders>
                    <w:top w:val="single" w:color="auto" w:sz="4" w:space="0"/>
                    <w:left w:val="single" w:color="auto" w:sz="4" w:space="0"/>
                    <w:right w:val="single" w:color="auto" w:sz="4" w:space="0"/>
                  </w:tcBorders>
                  <w:vAlign w:val="center"/>
                </w:tcPr>
                <w:p w14:paraId="63164CCF">
                  <w:pPr>
                    <w:spacing w:line="240" w:lineRule="auto"/>
                    <w:ind w:firstLine="0" w:firstLineChars="0"/>
                    <w:jc w:val="center"/>
                    <w:rPr>
                      <w:rFonts w:hint="eastAsia"/>
                      <w:color w:val="auto"/>
                      <w:sz w:val="21"/>
                      <w:szCs w:val="21"/>
                    </w:rPr>
                  </w:pPr>
                  <w:r>
                    <w:rPr>
                      <w:rFonts w:hint="eastAsia"/>
                      <w:color w:val="auto"/>
                      <w:sz w:val="21"/>
                      <w:szCs w:val="21"/>
                    </w:rPr>
                    <w:t>生产废水</w:t>
                  </w:r>
                </w:p>
                <w:p w14:paraId="1AAA157D">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生活污水</w:t>
                  </w:r>
                </w:p>
              </w:tc>
              <w:tc>
                <w:tcPr>
                  <w:tcW w:w="934" w:type="dxa"/>
                  <w:vMerge w:val="restart"/>
                  <w:tcBorders>
                    <w:top w:val="single" w:color="auto" w:sz="4" w:space="0"/>
                    <w:left w:val="single" w:color="auto" w:sz="4" w:space="0"/>
                    <w:right w:val="single" w:color="auto" w:sz="4" w:space="0"/>
                  </w:tcBorders>
                  <w:vAlign w:val="center"/>
                </w:tcPr>
                <w:p w14:paraId="72A6DB7E">
                  <w:pPr>
                    <w:spacing w:line="240" w:lineRule="auto"/>
                    <w:ind w:firstLine="0" w:firstLineChars="0"/>
                    <w:jc w:val="center"/>
                    <w:rPr>
                      <w:color w:val="auto"/>
                      <w:sz w:val="21"/>
                      <w:szCs w:val="21"/>
                    </w:rPr>
                  </w:pPr>
                  <w:r>
                    <w:rPr>
                      <w:rFonts w:hint="eastAsia"/>
                      <w:color w:val="auto"/>
                      <w:sz w:val="21"/>
                      <w:szCs w:val="21"/>
                      <w:lang w:val="en-US" w:eastAsia="zh-CN"/>
                    </w:rPr>
                    <w:t>污水处理站</w:t>
                  </w:r>
                  <w:r>
                    <w:rPr>
                      <w:rFonts w:hint="eastAsia"/>
                      <w:color w:val="auto"/>
                      <w:sz w:val="21"/>
                      <w:szCs w:val="21"/>
                    </w:rPr>
                    <w:t>总排放口</w:t>
                  </w:r>
                </w:p>
              </w:tc>
              <w:tc>
                <w:tcPr>
                  <w:tcW w:w="2267" w:type="dxa"/>
                  <w:tcBorders>
                    <w:top w:val="single" w:color="auto" w:sz="4" w:space="0"/>
                    <w:left w:val="single" w:color="auto" w:sz="4" w:space="0"/>
                    <w:bottom w:val="single" w:color="auto" w:sz="4" w:space="0"/>
                    <w:right w:val="single" w:color="auto" w:sz="4" w:space="0"/>
                  </w:tcBorders>
                  <w:vAlign w:val="center"/>
                </w:tcPr>
                <w:p w14:paraId="1E50AA1D">
                  <w:pPr>
                    <w:spacing w:line="240" w:lineRule="auto"/>
                    <w:ind w:firstLine="0" w:firstLineChars="0"/>
                    <w:jc w:val="center"/>
                    <w:rPr>
                      <w:color w:val="auto"/>
                      <w:sz w:val="21"/>
                      <w:szCs w:val="21"/>
                    </w:rPr>
                  </w:pPr>
                  <w:r>
                    <w:rPr>
                      <w:rFonts w:hint="eastAsia"/>
                      <w:color w:val="auto"/>
                      <w:sz w:val="21"/>
                      <w:szCs w:val="21"/>
                    </w:rPr>
                    <w:t>流量、</w:t>
                  </w:r>
                  <w:r>
                    <w:rPr>
                      <w:color w:val="auto"/>
                      <w:sz w:val="21"/>
                      <w:szCs w:val="21"/>
                    </w:rPr>
                    <w:t>COD、BOD</w:t>
                  </w:r>
                  <w:r>
                    <w:rPr>
                      <w:color w:val="auto"/>
                      <w:sz w:val="21"/>
                      <w:szCs w:val="21"/>
                      <w:vertAlign w:val="subscript"/>
                    </w:rPr>
                    <w:t>5</w:t>
                  </w:r>
                  <w:r>
                    <w:rPr>
                      <w:color w:val="auto"/>
                      <w:sz w:val="21"/>
                      <w:szCs w:val="21"/>
                    </w:rPr>
                    <w:t>、氨氮、SS</w:t>
                  </w:r>
                  <w:r>
                    <w:rPr>
                      <w:rFonts w:hint="eastAsia"/>
                      <w:color w:val="auto"/>
                      <w:sz w:val="21"/>
                      <w:szCs w:val="21"/>
                    </w:rPr>
                    <w:t>、总氮、pH</w:t>
                  </w:r>
                </w:p>
              </w:tc>
              <w:tc>
                <w:tcPr>
                  <w:tcW w:w="969" w:type="dxa"/>
                  <w:tcBorders>
                    <w:top w:val="single" w:color="auto" w:sz="4" w:space="0"/>
                    <w:left w:val="single" w:color="auto" w:sz="4" w:space="0"/>
                    <w:bottom w:val="single" w:color="auto" w:sz="4" w:space="0"/>
                    <w:right w:val="single" w:color="auto" w:sz="4" w:space="0"/>
                  </w:tcBorders>
                  <w:vAlign w:val="center"/>
                </w:tcPr>
                <w:p w14:paraId="47D0A115">
                  <w:pPr>
                    <w:spacing w:line="240" w:lineRule="auto"/>
                    <w:ind w:firstLine="0" w:firstLineChars="0"/>
                    <w:jc w:val="center"/>
                    <w:rPr>
                      <w:color w:val="auto"/>
                      <w:sz w:val="21"/>
                      <w:szCs w:val="21"/>
                    </w:rPr>
                  </w:pPr>
                  <w:r>
                    <w:rPr>
                      <w:color w:val="auto"/>
                      <w:sz w:val="21"/>
                      <w:szCs w:val="21"/>
                    </w:rPr>
                    <w:t>1</w:t>
                  </w:r>
                  <w:r>
                    <w:rPr>
                      <w:rFonts w:hint="eastAsia"/>
                      <w:color w:val="auto"/>
                      <w:sz w:val="21"/>
                      <w:szCs w:val="21"/>
                    </w:rPr>
                    <w:t>次</w:t>
                  </w:r>
                  <w:r>
                    <w:rPr>
                      <w:color w:val="auto"/>
                      <w:sz w:val="21"/>
                      <w:szCs w:val="21"/>
                    </w:rPr>
                    <w:t>/</w:t>
                  </w:r>
                  <w:r>
                    <w:rPr>
                      <w:rFonts w:hint="eastAsia"/>
                      <w:color w:val="auto"/>
                      <w:sz w:val="21"/>
                      <w:szCs w:val="21"/>
                    </w:rPr>
                    <w:t>半年</w:t>
                  </w:r>
                </w:p>
              </w:tc>
              <w:tc>
                <w:tcPr>
                  <w:tcW w:w="2689" w:type="dxa"/>
                  <w:vMerge w:val="restart"/>
                  <w:tcBorders>
                    <w:top w:val="single" w:color="auto" w:sz="4" w:space="0"/>
                    <w:left w:val="single" w:color="auto" w:sz="4" w:space="0"/>
                    <w:right w:val="single" w:color="auto" w:sz="4" w:space="0"/>
                  </w:tcBorders>
                  <w:vAlign w:val="center"/>
                </w:tcPr>
                <w:p w14:paraId="4EEACC8B">
                  <w:pPr>
                    <w:spacing w:line="240" w:lineRule="auto"/>
                    <w:ind w:firstLine="0" w:firstLineChars="0"/>
                    <w:rPr>
                      <w:color w:val="auto"/>
                      <w:sz w:val="21"/>
                      <w:szCs w:val="21"/>
                    </w:rPr>
                  </w:pPr>
                  <w:r>
                    <w:rPr>
                      <w:rFonts w:hint="eastAsia"/>
                      <w:color w:val="auto"/>
                      <w:sz w:val="21"/>
                      <w:szCs w:val="21"/>
                    </w:rPr>
                    <w:t>《排污单位自行监测技术指南</w:t>
                  </w:r>
                  <w:r>
                    <w:rPr>
                      <w:rFonts w:hint="eastAsia"/>
                      <w:color w:val="auto"/>
                      <w:sz w:val="21"/>
                      <w:szCs w:val="21"/>
                      <w:lang w:val="en-US" w:eastAsia="zh-CN"/>
                    </w:rPr>
                    <w:t xml:space="preserve"> </w:t>
                  </w:r>
                  <w:r>
                    <w:rPr>
                      <w:rFonts w:hint="eastAsia"/>
                      <w:color w:val="auto"/>
                      <w:sz w:val="21"/>
                      <w:szCs w:val="21"/>
                    </w:rPr>
                    <w:t>中药、生物药品制品、化学药品制剂制造业》（HJ1256—2022）</w:t>
                  </w:r>
                  <w:r>
                    <w:rPr>
                      <w:rFonts w:hint="eastAsia"/>
                      <w:color w:val="auto"/>
                      <w:sz w:val="21"/>
                      <w:szCs w:val="21"/>
                      <w:lang w:val="en-US" w:eastAsia="zh-CN"/>
                    </w:rPr>
                    <w:t>、《排污许可证申请与核发技术规范制药工业—中成药生产》（HJ1064—2019）</w:t>
                  </w:r>
                </w:p>
              </w:tc>
            </w:tr>
            <w:tr w14:paraId="7C49E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4" w:hRule="atLeast"/>
                <w:jc w:val="center"/>
              </w:trPr>
              <w:tc>
                <w:tcPr>
                  <w:tcW w:w="452" w:type="dxa"/>
                  <w:vMerge w:val="continue"/>
                  <w:tcBorders>
                    <w:left w:val="single" w:color="auto" w:sz="4" w:space="0"/>
                    <w:right w:val="single" w:color="auto" w:sz="4" w:space="0"/>
                  </w:tcBorders>
                  <w:vAlign w:val="center"/>
                </w:tcPr>
                <w:p w14:paraId="68C0C60B">
                  <w:pPr>
                    <w:spacing w:line="240" w:lineRule="auto"/>
                    <w:ind w:firstLine="0" w:firstLineChars="0"/>
                    <w:jc w:val="center"/>
                    <w:rPr>
                      <w:color w:val="auto"/>
                      <w:sz w:val="21"/>
                      <w:szCs w:val="21"/>
                    </w:rPr>
                  </w:pPr>
                </w:p>
              </w:tc>
              <w:tc>
                <w:tcPr>
                  <w:tcW w:w="687" w:type="dxa"/>
                  <w:vMerge w:val="continue"/>
                  <w:tcBorders>
                    <w:left w:val="single" w:color="auto" w:sz="4" w:space="0"/>
                    <w:right w:val="single" w:color="auto" w:sz="4" w:space="0"/>
                  </w:tcBorders>
                  <w:vAlign w:val="center"/>
                </w:tcPr>
                <w:p w14:paraId="759E8ECF">
                  <w:pPr>
                    <w:spacing w:line="240" w:lineRule="auto"/>
                    <w:ind w:firstLine="0" w:firstLineChars="0"/>
                    <w:jc w:val="center"/>
                    <w:rPr>
                      <w:rFonts w:hint="eastAsia"/>
                      <w:color w:val="auto"/>
                      <w:sz w:val="21"/>
                      <w:szCs w:val="21"/>
                      <w:lang w:val="en-US" w:eastAsia="zh-CN"/>
                    </w:rPr>
                  </w:pPr>
                </w:p>
              </w:tc>
              <w:tc>
                <w:tcPr>
                  <w:tcW w:w="934" w:type="dxa"/>
                  <w:vMerge w:val="continue"/>
                  <w:tcBorders>
                    <w:left w:val="single" w:color="auto" w:sz="4" w:space="0"/>
                    <w:right w:val="single" w:color="auto" w:sz="4" w:space="0"/>
                  </w:tcBorders>
                  <w:vAlign w:val="center"/>
                </w:tcPr>
                <w:p w14:paraId="5F29A98C">
                  <w:pPr>
                    <w:spacing w:line="240" w:lineRule="auto"/>
                    <w:ind w:firstLine="0" w:firstLineChars="0"/>
                    <w:jc w:val="center"/>
                    <w:rPr>
                      <w:rFonts w:hint="eastAsia"/>
                      <w:color w:val="auto"/>
                      <w:sz w:val="21"/>
                      <w:szCs w:val="21"/>
                      <w:lang w:val="en-US" w:eastAsia="zh-CN"/>
                    </w:rPr>
                  </w:pPr>
                </w:p>
              </w:tc>
              <w:tc>
                <w:tcPr>
                  <w:tcW w:w="2267" w:type="dxa"/>
                  <w:tcBorders>
                    <w:top w:val="single" w:color="auto" w:sz="4" w:space="0"/>
                    <w:left w:val="single" w:color="auto" w:sz="4" w:space="0"/>
                    <w:right w:val="single" w:color="auto" w:sz="4" w:space="0"/>
                  </w:tcBorders>
                  <w:vAlign w:val="center"/>
                </w:tcPr>
                <w:p w14:paraId="5CD5B39D">
                  <w:pPr>
                    <w:spacing w:line="240" w:lineRule="auto"/>
                    <w:ind w:firstLine="0" w:firstLineChars="0"/>
                    <w:jc w:val="center"/>
                    <w:rPr>
                      <w:rFonts w:hint="eastAsia"/>
                      <w:color w:val="auto"/>
                      <w:sz w:val="21"/>
                      <w:szCs w:val="21"/>
                    </w:rPr>
                  </w:pPr>
                  <w:r>
                    <w:rPr>
                      <w:rFonts w:hint="eastAsia"/>
                      <w:color w:val="auto"/>
                      <w:sz w:val="21"/>
                      <w:szCs w:val="21"/>
                      <w:lang w:val="en-US" w:eastAsia="zh-CN"/>
                    </w:rPr>
                    <w:t>色度</w:t>
                  </w:r>
                </w:p>
              </w:tc>
              <w:tc>
                <w:tcPr>
                  <w:tcW w:w="969" w:type="dxa"/>
                  <w:tcBorders>
                    <w:top w:val="single" w:color="auto" w:sz="4" w:space="0"/>
                    <w:left w:val="single" w:color="auto" w:sz="4" w:space="0"/>
                    <w:bottom w:val="single" w:color="auto" w:sz="4" w:space="0"/>
                    <w:right w:val="single" w:color="auto" w:sz="4" w:space="0"/>
                  </w:tcBorders>
                  <w:vAlign w:val="center"/>
                </w:tcPr>
                <w:p w14:paraId="7EDE42DD">
                  <w:pPr>
                    <w:spacing w:line="240" w:lineRule="auto"/>
                    <w:ind w:firstLine="0" w:firstLineChars="0"/>
                    <w:jc w:val="center"/>
                    <w:rPr>
                      <w:rFonts w:hint="eastAsia" w:eastAsia="宋体"/>
                      <w:color w:val="auto"/>
                      <w:sz w:val="21"/>
                      <w:szCs w:val="21"/>
                      <w:lang w:val="en-US" w:eastAsia="zh-CN"/>
                    </w:rPr>
                  </w:pPr>
                  <w:r>
                    <w:rPr>
                      <w:color w:val="auto"/>
                      <w:sz w:val="21"/>
                      <w:szCs w:val="21"/>
                    </w:rPr>
                    <w:t>1</w:t>
                  </w:r>
                  <w:r>
                    <w:rPr>
                      <w:rFonts w:hint="eastAsia"/>
                      <w:color w:val="auto"/>
                      <w:sz w:val="21"/>
                      <w:szCs w:val="21"/>
                    </w:rPr>
                    <w:t>次</w:t>
                  </w:r>
                  <w:r>
                    <w:rPr>
                      <w:color w:val="auto"/>
                      <w:sz w:val="21"/>
                      <w:szCs w:val="21"/>
                    </w:rPr>
                    <w:t>/</w:t>
                  </w:r>
                  <w:r>
                    <w:rPr>
                      <w:rFonts w:hint="eastAsia"/>
                      <w:color w:val="auto"/>
                      <w:sz w:val="21"/>
                      <w:szCs w:val="21"/>
                      <w:lang w:val="en-US" w:eastAsia="zh-CN"/>
                    </w:rPr>
                    <w:t>年</w:t>
                  </w:r>
                </w:p>
              </w:tc>
              <w:tc>
                <w:tcPr>
                  <w:tcW w:w="2689" w:type="dxa"/>
                  <w:vMerge w:val="continue"/>
                  <w:tcBorders>
                    <w:left w:val="single" w:color="auto" w:sz="4" w:space="0"/>
                    <w:right w:val="single" w:color="auto" w:sz="4" w:space="0"/>
                  </w:tcBorders>
                  <w:vAlign w:val="center"/>
                </w:tcPr>
                <w:p w14:paraId="035C660E">
                  <w:pPr>
                    <w:spacing w:line="240" w:lineRule="auto"/>
                    <w:ind w:firstLine="0" w:firstLineChars="0"/>
                    <w:rPr>
                      <w:rFonts w:hint="eastAsia"/>
                      <w:color w:val="auto"/>
                      <w:sz w:val="21"/>
                      <w:szCs w:val="21"/>
                    </w:rPr>
                  </w:pPr>
                </w:p>
              </w:tc>
            </w:tr>
          </w:tbl>
          <w:p w14:paraId="3C970CC8">
            <w:pPr>
              <w:keepNext w:val="0"/>
              <w:keepLines w:val="0"/>
              <w:pageBreakBefore w:val="0"/>
              <w:widowControl w:val="0"/>
              <w:tabs>
                <w:tab w:val="left" w:pos="6720"/>
              </w:tabs>
              <w:kinsoku/>
              <w:wordWrap w:val="0"/>
              <w:overflowPunct/>
              <w:topLinePunct w:val="0"/>
              <w:autoSpaceDE w:val="0"/>
              <w:autoSpaceDN w:val="0"/>
              <w:bidi w:val="0"/>
              <w:adjustRightInd/>
              <w:snapToGrid/>
              <w:ind w:firstLine="0" w:firstLineChars="0"/>
              <w:textAlignment w:val="auto"/>
              <w:rPr>
                <w:b/>
                <w:color w:val="auto"/>
              </w:rPr>
            </w:pPr>
            <w:r>
              <w:rPr>
                <w:rFonts w:hint="eastAsia"/>
                <w:b/>
                <w:color w:val="auto"/>
              </w:rPr>
              <w:t>三</w:t>
            </w:r>
            <w:r>
              <w:rPr>
                <w:b/>
                <w:color w:val="auto"/>
              </w:rPr>
              <w:t>、声环境影响分析</w:t>
            </w:r>
          </w:p>
          <w:p w14:paraId="01182C1C">
            <w:pPr>
              <w:keepNext w:val="0"/>
              <w:keepLines w:val="0"/>
              <w:pageBreakBefore w:val="0"/>
              <w:widowControl w:val="0"/>
              <w:kinsoku/>
              <w:wordWrap w:val="0"/>
              <w:overflowPunct/>
              <w:topLinePunct w:val="0"/>
              <w:bidi w:val="0"/>
              <w:adjustRightInd/>
              <w:snapToGrid/>
              <w:ind w:firstLine="0" w:firstLineChars="0"/>
              <w:textAlignment w:val="auto"/>
              <w:rPr>
                <w:b/>
                <w:color w:val="auto"/>
              </w:rPr>
            </w:pPr>
            <w:r>
              <w:rPr>
                <w:rFonts w:hint="eastAsia"/>
                <w:b/>
                <w:color w:val="auto"/>
              </w:rPr>
              <w:t>1.</w:t>
            </w:r>
            <w:r>
              <w:rPr>
                <w:b/>
                <w:color w:val="auto"/>
              </w:rPr>
              <w:t>噪声源强</w:t>
            </w:r>
          </w:p>
          <w:p w14:paraId="63408806">
            <w:pPr>
              <w:ind w:firstLine="480"/>
              <w:rPr>
                <w:rFonts w:hint="eastAsia" w:eastAsia="宋体"/>
                <w:color w:val="auto"/>
                <w:lang w:eastAsia="zh-CN"/>
              </w:rPr>
            </w:pPr>
            <w:r>
              <w:rPr>
                <w:rFonts w:hint="eastAsia"/>
                <w:color w:val="auto"/>
              </w:rPr>
              <w:t>营运期噪声主要来自机械设备运行时产生的噪声，噪声值约在70~90分贝。</w:t>
            </w:r>
          </w:p>
          <w:p w14:paraId="76EEBEAC">
            <w:pPr>
              <w:keepNext w:val="0"/>
              <w:keepLines w:val="0"/>
              <w:pageBreakBefore w:val="0"/>
              <w:widowControl w:val="0"/>
              <w:numPr>
                <w:ilvl w:val="0"/>
                <w:numId w:val="9"/>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u w:val="single"/>
                <w:lang w:val="zh-CN"/>
              </w:rPr>
            </w:pPr>
            <w:r>
              <w:rPr>
                <w:rFonts w:hint="eastAsia" w:ascii="Times New Roman" w:hAnsi="Times New Roman" w:eastAsia="宋体" w:cs="Times New Roman"/>
                <w:b/>
                <w:bCs/>
                <w:color w:val="auto"/>
                <w:sz w:val="21"/>
                <w:szCs w:val="21"/>
                <w:u w:val="single"/>
                <w:lang w:val="zh-CN"/>
              </w:rPr>
              <w:t>工业企业噪声源强调查清单（室内声源）</w:t>
            </w:r>
          </w:p>
          <w:tbl>
            <w:tblPr>
              <w:tblStyle w:val="20"/>
              <w:tblW w:w="80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00"/>
              <w:gridCol w:w="790"/>
              <w:gridCol w:w="2114"/>
              <w:gridCol w:w="813"/>
              <w:gridCol w:w="519"/>
              <w:gridCol w:w="699"/>
              <w:gridCol w:w="506"/>
              <w:gridCol w:w="520"/>
              <w:gridCol w:w="813"/>
            </w:tblGrid>
            <w:tr w14:paraId="5FA83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tblHeader/>
              </w:trPr>
              <w:tc>
                <w:tcPr>
                  <w:tcW w:w="889" w:type="pct"/>
                  <w:vMerge w:val="restart"/>
                  <w:tcBorders>
                    <w:top w:val="single" w:color="000000" w:sz="4" w:space="0"/>
                    <w:left w:val="single" w:color="000000" w:sz="4" w:space="0"/>
                    <w:right w:val="single" w:color="000000" w:sz="4" w:space="0"/>
                  </w:tcBorders>
                  <w:shd w:val="clear" w:color="auto" w:fill="auto"/>
                  <w:vAlign w:val="center"/>
                </w:tcPr>
                <w:p w14:paraId="4CF20939">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设备名称</w:t>
                  </w:r>
                </w:p>
              </w:tc>
              <w:tc>
                <w:tcPr>
                  <w:tcW w:w="557" w:type="pct"/>
                  <w:vMerge w:val="restart"/>
                  <w:tcBorders>
                    <w:top w:val="single" w:color="000000" w:sz="4" w:space="0"/>
                    <w:left w:val="single" w:color="000000" w:sz="4" w:space="0"/>
                    <w:right w:val="nil"/>
                  </w:tcBorders>
                  <w:shd w:val="clear" w:color="auto" w:fill="auto"/>
                  <w:vAlign w:val="center"/>
                </w:tcPr>
                <w:p w14:paraId="5CBF0711">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b/>
                      <w:bCs/>
                      <w:color w:val="auto"/>
                      <w:sz w:val="21"/>
                      <w:szCs w:val="21"/>
                      <w:u w:val="single"/>
                    </w:rPr>
                    <w:t>声源源强/dB（A）</w:t>
                  </w:r>
                </w:p>
              </w:tc>
              <w:tc>
                <w:tcPr>
                  <w:tcW w:w="793" w:type="pct"/>
                  <w:vMerge w:val="restart"/>
                  <w:tcBorders>
                    <w:top w:val="single" w:color="000000" w:sz="4" w:space="0"/>
                    <w:left w:val="single" w:color="000000" w:sz="4" w:space="0"/>
                    <w:right w:val="nil"/>
                  </w:tcBorders>
                  <w:shd w:val="clear" w:color="auto" w:fill="auto"/>
                  <w:vAlign w:val="center"/>
                </w:tcPr>
                <w:p w14:paraId="1DA7659D">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cs="Times New Roman"/>
                      <w:b/>
                      <w:bCs/>
                      <w:i w:val="0"/>
                      <w:iCs w:val="0"/>
                      <w:color w:val="000000"/>
                      <w:kern w:val="0"/>
                      <w:sz w:val="21"/>
                      <w:szCs w:val="21"/>
                      <w:u w:val="single"/>
                      <w:lang w:val="en-US" w:eastAsia="zh-CN" w:bidi="ar"/>
                    </w:rPr>
                    <w:t>声源控制</w:t>
                  </w:r>
                  <w:r>
                    <w:rPr>
                      <w:rFonts w:hint="eastAsia" w:ascii="Times New Roman" w:hAnsi="Times New Roman" w:eastAsia="宋体" w:cs="Times New Roman"/>
                      <w:b/>
                      <w:bCs/>
                      <w:i w:val="0"/>
                      <w:iCs w:val="0"/>
                      <w:color w:val="000000"/>
                      <w:kern w:val="0"/>
                      <w:sz w:val="21"/>
                      <w:szCs w:val="21"/>
                      <w:u w:val="single"/>
                      <w:lang w:val="en-US" w:eastAsia="zh-CN" w:bidi="ar"/>
                    </w:rPr>
                    <w:t>措施</w:t>
                  </w:r>
                </w:p>
              </w:tc>
              <w:tc>
                <w:tcPr>
                  <w:tcW w:w="502" w:type="pct"/>
                  <w:vMerge w:val="restart"/>
                  <w:tcBorders>
                    <w:top w:val="single" w:color="000000" w:sz="4" w:space="0"/>
                    <w:left w:val="single" w:color="000000" w:sz="4" w:space="0"/>
                    <w:right w:val="nil"/>
                  </w:tcBorders>
                  <w:shd w:val="clear" w:color="auto" w:fill="auto"/>
                  <w:vAlign w:val="center"/>
                </w:tcPr>
                <w:p w14:paraId="0BD0C1D9">
                  <w:pPr>
                    <w:pStyle w:val="17"/>
                    <w:keepNext w:val="0"/>
                    <w:keepLines w:val="0"/>
                    <w:pageBreakBefore w:val="0"/>
                    <w:kinsoku/>
                    <w:wordWrap w:val="0"/>
                    <w:overflowPunct/>
                    <w:topLinePunct w:val="0"/>
                    <w:autoSpaceDE/>
                    <w:autoSpaceDN/>
                    <w:bidi w:val="0"/>
                    <w:adjustRightInd/>
                    <w:snapToGrid w:val="0"/>
                    <w:spacing w:before="0" w:beforeAutospacing="0" w:after="0" w:afterAutospacing="0" w:line="240" w:lineRule="auto"/>
                    <w:ind w:firstLine="0" w:firstLineChars="0"/>
                    <w:jc w:val="center"/>
                    <w:rPr>
                      <w:rFonts w:hint="eastAsia" w:ascii="Times New Roman" w:hAnsi="Times New Roman" w:eastAsia="宋体" w:cs="Times New Roman"/>
                      <w:b/>
                      <w:bCs/>
                      <w:kern w:val="2"/>
                      <w:sz w:val="21"/>
                      <w:szCs w:val="21"/>
                      <w:u w:val="single"/>
                      <w:lang w:val="en-US" w:eastAsia="zh-CN" w:bidi="ar-SA"/>
                    </w:rPr>
                  </w:pPr>
                  <w:r>
                    <w:rPr>
                      <w:rFonts w:hint="eastAsia" w:ascii="Times New Roman" w:hAnsi="Times New Roman"/>
                      <w:b/>
                      <w:bCs/>
                      <w:sz w:val="21"/>
                      <w:szCs w:val="21"/>
                      <w:u w:val="single"/>
                    </w:rPr>
                    <w:t>距室内边界距离</w:t>
                  </w:r>
                  <w:r>
                    <w:rPr>
                      <w:rFonts w:hint="eastAsia" w:ascii="Times New Roman" w:hAnsi="Times New Roman"/>
                      <w:b/>
                      <w:bCs/>
                      <w:sz w:val="21"/>
                      <w:szCs w:val="21"/>
                      <w:u w:val="single"/>
                      <w:lang w:eastAsia="zh-CN"/>
                    </w:rPr>
                    <w:t>（</w:t>
                  </w:r>
                  <w:r>
                    <w:rPr>
                      <w:rFonts w:hint="eastAsia" w:ascii="Times New Roman" w:hAnsi="Times New Roman"/>
                      <w:b/>
                      <w:bCs/>
                      <w:sz w:val="21"/>
                      <w:szCs w:val="21"/>
                      <w:u w:val="single"/>
                      <w:lang w:val="en-US" w:eastAsia="zh-CN"/>
                    </w:rPr>
                    <w:t>m</w:t>
                  </w:r>
                  <w:r>
                    <w:rPr>
                      <w:rFonts w:hint="eastAsia" w:ascii="Times New Roman" w:hAnsi="Times New Roman"/>
                      <w:b/>
                      <w:bCs/>
                      <w:sz w:val="21"/>
                      <w:szCs w:val="21"/>
                      <w:u w:val="single"/>
                      <w:lang w:eastAsia="zh-CN"/>
                    </w:rPr>
                    <w:t>）</w:t>
                  </w:r>
                </w:p>
              </w:tc>
              <w:tc>
                <w:tcPr>
                  <w:tcW w:w="411" w:type="pct"/>
                  <w:vMerge w:val="restart"/>
                  <w:tcBorders>
                    <w:top w:val="single" w:color="000000" w:sz="4" w:space="0"/>
                    <w:left w:val="single" w:color="000000" w:sz="4" w:space="0"/>
                    <w:right w:val="nil"/>
                  </w:tcBorders>
                  <w:shd w:val="clear" w:color="auto" w:fill="auto"/>
                  <w:vAlign w:val="center"/>
                </w:tcPr>
                <w:p w14:paraId="2BDF2154">
                  <w:pPr>
                    <w:pStyle w:val="17"/>
                    <w:keepNext w:val="0"/>
                    <w:keepLines w:val="0"/>
                    <w:pageBreakBefore w:val="0"/>
                    <w:kinsoku/>
                    <w:wordWrap w:val="0"/>
                    <w:overflowPunct/>
                    <w:topLinePunct w:val="0"/>
                    <w:autoSpaceDE/>
                    <w:autoSpaceDN/>
                    <w:bidi w:val="0"/>
                    <w:adjustRightInd/>
                    <w:snapToGrid w:val="0"/>
                    <w:spacing w:before="0" w:beforeAutospacing="0" w:after="0" w:afterAutospacing="0" w:line="240" w:lineRule="auto"/>
                    <w:ind w:firstLine="0" w:firstLineChars="0"/>
                    <w:jc w:val="center"/>
                    <w:rPr>
                      <w:rFonts w:hint="eastAsia" w:ascii="Times New Roman" w:hAnsi="Times New Roman" w:eastAsia="宋体" w:cs="Times New Roman"/>
                      <w:b/>
                      <w:bCs/>
                      <w:kern w:val="2"/>
                      <w:sz w:val="21"/>
                      <w:szCs w:val="21"/>
                      <w:u w:val="single"/>
                      <w:lang w:val="en-US" w:eastAsia="zh-CN" w:bidi="ar-SA"/>
                    </w:rPr>
                  </w:pPr>
                  <w:r>
                    <w:rPr>
                      <w:rFonts w:hint="eastAsia" w:ascii="Times New Roman" w:hAnsi="Times New Roman"/>
                      <w:b/>
                      <w:bCs/>
                      <w:sz w:val="21"/>
                      <w:szCs w:val="21"/>
                      <w:u w:val="single"/>
                    </w:rPr>
                    <w:t>室内边界声级</w:t>
                  </w:r>
                  <w:r>
                    <w:rPr>
                      <w:rFonts w:ascii="Times New Roman" w:hAnsi="Times New Roman"/>
                      <w:b/>
                      <w:bCs/>
                      <w:sz w:val="21"/>
                      <w:szCs w:val="24"/>
                      <w:u w:val="single"/>
                    </w:rPr>
                    <w:t>dB(A)</w:t>
                  </w:r>
                </w:p>
              </w:tc>
              <w:tc>
                <w:tcPr>
                  <w:tcW w:w="517" w:type="pct"/>
                  <w:vMerge w:val="restart"/>
                  <w:tcBorders>
                    <w:top w:val="single" w:color="000000" w:sz="4" w:space="0"/>
                    <w:left w:val="single" w:color="000000" w:sz="4" w:space="0"/>
                    <w:right w:val="nil"/>
                  </w:tcBorders>
                  <w:shd w:val="clear" w:color="auto" w:fill="auto"/>
                  <w:vAlign w:val="center"/>
                </w:tcPr>
                <w:p w14:paraId="4EA865EC">
                  <w:pPr>
                    <w:pStyle w:val="17"/>
                    <w:keepNext w:val="0"/>
                    <w:keepLines w:val="0"/>
                    <w:pageBreakBefore w:val="0"/>
                    <w:kinsoku/>
                    <w:wordWrap w:val="0"/>
                    <w:overflowPunct/>
                    <w:topLinePunct w:val="0"/>
                    <w:autoSpaceDE/>
                    <w:autoSpaceDN/>
                    <w:bidi w:val="0"/>
                    <w:adjustRightInd/>
                    <w:snapToGrid w:val="0"/>
                    <w:spacing w:before="0" w:beforeAutospacing="0" w:after="0" w:afterAutospacing="0" w:line="240" w:lineRule="auto"/>
                    <w:ind w:firstLine="0" w:firstLineChars="0"/>
                    <w:jc w:val="center"/>
                    <w:rPr>
                      <w:rFonts w:hint="eastAsia" w:ascii="Times New Roman" w:hAnsi="Times New Roman" w:eastAsia="宋体" w:cs="Times New Roman"/>
                      <w:b/>
                      <w:bCs/>
                      <w:kern w:val="2"/>
                      <w:sz w:val="21"/>
                      <w:szCs w:val="21"/>
                      <w:u w:val="single"/>
                      <w:lang w:val="en-US" w:eastAsia="zh-CN" w:bidi="ar-SA"/>
                    </w:rPr>
                  </w:pPr>
                  <w:r>
                    <w:rPr>
                      <w:rFonts w:hint="eastAsia" w:ascii="Times New Roman" w:hAnsi="Times New Roman"/>
                      <w:b/>
                      <w:bCs/>
                      <w:sz w:val="21"/>
                      <w:szCs w:val="21"/>
                      <w:u w:val="single"/>
                    </w:rPr>
                    <w:t>运行时段</w:t>
                  </w:r>
                </w:p>
              </w:tc>
              <w:tc>
                <w:tcPr>
                  <w:tcW w:w="397" w:type="pct"/>
                  <w:vMerge w:val="restart"/>
                  <w:tcBorders>
                    <w:top w:val="single" w:color="000000" w:sz="4" w:space="0"/>
                    <w:left w:val="single" w:color="000000" w:sz="4" w:space="0"/>
                    <w:right w:val="nil"/>
                  </w:tcBorders>
                  <w:shd w:val="clear" w:color="auto" w:fill="auto"/>
                  <w:vAlign w:val="center"/>
                </w:tcPr>
                <w:p w14:paraId="643D7B28">
                  <w:pPr>
                    <w:pStyle w:val="17"/>
                    <w:keepNext w:val="0"/>
                    <w:keepLines w:val="0"/>
                    <w:pageBreakBefore w:val="0"/>
                    <w:kinsoku/>
                    <w:wordWrap w:val="0"/>
                    <w:overflowPunct/>
                    <w:topLinePunct w:val="0"/>
                    <w:autoSpaceDE/>
                    <w:autoSpaceDN/>
                    <w:bidi w:val="0"/>
                    <w:adjustRightInd/>
                    <w:snapToGrid w:val="0"/>
                    <w:spacing w:before="0" w:beforeAutospacing="0" w:after="0" w:afterAutospacing="0" w:line="240" w:lineRule="auto"/>
                    <w:ind w:firstLine="0" w:firstLineChars="0"/>
                    <w:jc w:val="center"/>
                    <w:rPr>
                      <w:rFonts w:hint="eastAsia" w:ascii="Times New Roman" w:hAnsi="Times New Roman"/>
                      <w:b/>
                      <w:bCs/>
                      <w:sz w:val="21"/>
                      <w:szCs w:val="21"/>
                      <w:u w:val="single"/>
                    </w:rPr>
                  </w:pPr>
                  <w:r>
                    <w:rPr>
                      <w:rFonts w:hint="eastAsia" w:ascii="Times New Roman" w:hAnsi="Times New Roman"/>
                      <w:b/>
                      <w:bCs/>
                      <w:sz w:val="21"/>
                      <w:szCs w:val="21"/>
                      <w:u w:val="single"/>
                    </w:rPr>
                    <w:t>建筑物插入损失</w:t>
                  </w:r>
                </w:p>
              </w:tc>
              <w:tc>
                <w:tcPr>
                  <w:tcW w:w="930" w:type="pct"/>
                  <w:gridSpan w:val="2"/>
                  <w:tcBorders>
                    <w:top w:val="single" w:color="000000" w:sz="4" w:space="0"/>
                    <w:left w:val="single" w:color="000000" w:sz="4" w:space="0"/>
                    <w:bottom w:val="single" w:color="000000" w:sz="4" w:space="0"/>
                    <w:right w:val="nil"/>
                  </w:tcBorders>
                  <w:shd w:val="clear" w:color="auto" w:fill="auto"/>
                  <w:vAlign w:val="center"/>
                </w:tcPr>
                <w:p w14:paraId="274A81FB">
                  <w:pPr>
                    <w:pStyle w:val="17"/>
                    <w:keepNext w:val="0"/>
                    <w:keepLines w:val="0"/>
                    <w:pageBreakBefore w:val="0"/>
                    <w:kinsoku/>
                    <w:wordWrap w:val="0"/>
                    <w:overflowPunct/>
                    <w:topLinePunct w:val="0"/>
                    <w:autoSpaceDE/>
                    <w:autoSpaceDN/>
                    <w:bidi w:val="0"/>
                    <w:adjustRightInd/>
                    <w:snapToGrid w:val="0"/>
                    <w:spacing w:before="0" w:beforeAutospacing="0" w:after="0" w:afterAutospacing="0" w:line="240" w:lineRule="auto"/>
                    <w:ind w:firstLine="0" w:firstLineChars="0"/>
                    <w:jc w:val="center"/>
                    <w:rPr>
                      <w:rFonts w:hint="eastAsia" w:ascii="Times New Roman" w:hAnsi="Times New Roman"/>
                      <w:b/>
                      <w:bCs/>
                      <w:sz w:val="21"/>
                      <w:szCs w:val="21"/>
                      <w:u w:val="single"/>
                    </w:rPr>
                  </w:pPr>
                  <w:r>
                    <w:rPr>
                      <w:rFonts w:hint="eastAsia" w:ascii="Times New Roman" w:hAnsi="Times New Roman"/>
                      <w:b/>
                      <w:bCs/>
                      <w:sz w:val="21"/>
                      <w:szCs w:val="21"/>
                      <w:u w:val="single"/>
                    </w:rPr>
                    <w:t>建筑物外噪声</w:t>
                  </w:r>
                </w:p>
              </w:tc>
            </w:tr>
            <w:tr w14:paraId="32442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tblHeader/>
              </w:trPr>
              <w:tc>
                <w:tcPr>
                  <w:tcW w:w="889" w:type="pct"/>
                  <w:vMerge w:val="continue"/>
                  <w:tcBorders>
                    <w:left w:val="single" w:color="000000" w:sz="4" w:space="0"/>
                    <w:bottom w:val="single" w:color="000000" w:sz="4" w:space="0"/>
                    <w:right w:val="single" w:color="000000" w:sz="4" w:space="0"/>
                  </w:tcBorders>
                  <w:shd w:val="clear" w:color="auto" w:fill="auto"/>
                  <w:vAlign w:val="center"/>
                </w:tcPr>
                <w:p w14:paraId="0F6A3F0D">
                  <w:pPr>
                    <w:pStyle w:val="17"/>
                    <w:keepNext w:val="0"/>
                    <w:keepLines w:val="0"/>
                    <w:pageBreakBefore w:val="0"/>
                    <w:kinsoku/>
                    <w:wordWrap w:val="0"/>
                    <w:overflowPunct/>
                    <w:topLinePunct w:val="0"/>
                    <w:autoSpaceDE/>
                    <w:autoSpaceDN/>
                    <w:bidi w:val="0"/>
                    <w:adjustRightInd/>
                    <w:snapToGrid w:val="0"/>
                    <w:spacing w:before="0" w:beforeAutospacing="0" w:after="0" w:afterAutospacing="0" w:line="240" w:lineRule="auto"/>
                    <w:ind w:firstLine="0" w:firstLineChars="0"/>
                    <w:jc w:val="center"/>
                    <w:rPr>
                      <w:b/>
                      <w:bCs/>
                      <w:u w:val="single"/>
                    </w:rPr>
                  </w:pPr>
                </w:p>
              </w:tc>
              <w:tc>
                <w:tcPr>
                  <w:tcW w:w="557" w:type="pct"/>
                  <w:vMerge w:val="continue"/>
                  <w:tcBorders>
                    <w:left w:val="single" w:color="000000" w:sz="4" w:space="0"/>
                    <w:bottom w:val="single" w:color="000000" w:sz="4" w:space="0"/>
                    <w:right w:val="nil"/>
                  </w:tcBorders>
                  <w:shd w:val="clear" w:color="auto" w:fill="auto"/>
                  <w:vAlign w:val="center"/>
                </w:tcPr>
                <w:p w14:paraId="2F79CEC9">
                  <w:pPr>
                    <w:pStyle w:val="17"/>
                    <w:keepNext w:val="0"/>
                    <w:keepLines w:val="0"/>
                    <w:pageBreakBefore w:val="0"/>
                    <w:kinsoku/>
                    <w:wordWrap w:val="0"/>
                    <w:overflowPunct/>
                    <w:topLinePunct w:val="0"/>
                    <w:autoSpaceDE/>
                    <w:autoSpaceDN/>
                    <w:bidi w:val="0"/>
                    <w:adjustRightInd/>
                    <w:snapToGrid w:val="0"/>
                    <w:spacing w:before="0" w:beforeAutospacing="0" w:after="0" w:afterAutospacing="0" w:line="240" w:lineRule="auto"/>
                    <w:ind w:firstLine="0" w:firstLineChars="0"/>
                    <w:jc w:val="center"/>
                    <w:rPr>
                      <w:b/>
                      <w:bCs/>
                      <w:u w:val="single"/>
                    </w:rPr>
                  </w:pPr>
                </w:p>
              </w:tc>
              <w:tc>
                <w:tcPr>
                  <w:tcW w:w="793" w:type="pct"/>
                  <w:vMerge w:val="continue"/>
                  <w:tcBorders>
                    <w:left w:val="single" w:color="000000" w:sz="4" w:space="0"/>
                    <w:bottom w:val="single" w:color="000000" w:sz="4" w:space="0"/>
                    <w:right w:val="nil"/>
                  </w:tcBorders>
                  <w:shd w:val="clear" w:color="auto" w:fill="auto"/>
                  <w:vAlign w:val="center"/>
                </w:tcPr>
                <w:p w14:paraId="0D4D4274">
                  <w:pPr>
                    <w:pStyle w:val="17"/>
                    <w:keepNext w:val="0"/>
                    <w:keepLines w:val="0"/>
                    <w:pageBreakBefore w:val="0"/>
                    <w:kinsoku/>
                    <w:wordWrap w:val="0"/>
                    <w:overflowPunct/>
                    <w:topLinePunct w:val="0"/>
                    <w:autoSpaceDE/>
                    <w:autoSpaceDN/>
                    <w:bidi w:val="0"/>
                    <w:adjustRightInd/>
                    <w:snapToGrid w:val="0"/>
                    <w:spacing w:before="0" w:beforeAutospacing="0" w:after="0" w:afterAutospacing="0" w:line="240" w:lineRule="auto"/>
                    <w:ind w:firstLine="0" w:firstLineChars="0"/>
                    <w:jc w:val="center"/>
                    <w:rPr>
                      <w:b/>
                      <w:bCs/>
                      <w:u w:val="single"/>
                    </w:rPr>
                  </w:pPr>
                </w:p>
              </w:tc>
              <w:tc>
                <w:tcPr>
                  <w:tcW w:w="502" w:type="pct"/>
                  <w:vMerge w:val="continue"/>
                  <w:tcBorders>
                    <w:left w:val="single" w:color="000000" w:sz="4" w:space="0"/>
                    <w:bottom w:val="single" w:color="000000" w:sz="4" w:space="0"/>
                    <w:right w:val="nil"/>
                  </w:tcBorders>
                  <w:shd w:val="clear" w:color="auto" w:fill="auto"/>
                  <w:vAlign w:val="center"/>
                </w:tcPr>
                <w:p w14:paraId="58C01328">
                  <w:pPr>
                    <w:pStyle w:val="17"/>
                    <w:keepNext w:val="0"/>
                    <w:keepLines w:val="0"/>
                    <w:pageBreakBefore w:val="0"/>
                    <w:kinsoku/>
                    <w:wordWrap w:val="0"/>
                    <w:overflowPunct/>
                    <w:topLinePunct w:val="0"/>
                    <w:autoSpaceDE/>
                    <w:autoSpaceDN/>
                    <w:bidi w:val="0"/>
                    <w:adjustRightInd/>
                    <w:snapToGrid w:val="0"/>
                    <w:spacing w:before="0" w:beforeAutospacing="0" w:after="0" w:afterAutospacing="0" w:line="240" w:lineRule="auto"/>
                    <w:ind w:firstLine="0" w:firstLineChars="0"/>
                    <w:jc w:val="center"/>
                    <w:rPr>
                      <w:b/>
                      <w:bCs/>
                      <w:u w:val="single"/>
                    </w:rPr>
                  </w:pPr>
                </w:p>
              </w:tc>
              <w:tc>
                <w:tcPr>
                  <w:tcW w:w="411" w:type="pct"/>
                  <w:vMerge w:val="continue"/>
                  <w:tcBorders>
                    <w:left w:val="single" w:color="000000" w:sz="4" w:space="0"/>
                    <w:bottom w:val="single" w:color="000000" w:sz="4" w:space="0"/>
                    <w:right w:val="nil"/>
                  </w:tcBorders>
                  <w:shd w:val="clear" w:color="auto" w:fill="auto"/>
                  <w:vAlign w:val="center"/>
                </w:tcPr>
                <w:p w14:paraId="122B99AF">
                  <w:pPr>
                    <w:pStyle w:val="17"/>
                    <w:keepNext w:val="0"/>
                    <w:keepLines w:val="0"/>
                    <w:pageBreakBefore w:val="0"/>
                    <w:kinsoku/>
                    <w:wordWrap w:val="0"/>
                    <w:overflowPunct/>
                    <w:topLinePunct w:val="0"/>
                    <w:autoSpaceDE/>
                    <w:autoSpaceDN/>
                    <w:bidi w:val="0"/>
                    <w:adjustRightInd/>
                    <w:snapToGrid w:val="0"/>
                    <w:spacing w:before="0" w:beforeAutospacing="0" w:after="0" w:afterAutospacing="0" w:line="240" w:lineRule="auto"/>
                    <w:ind w:firstLine="0" w:firstLineChars="0"/>
                    <w:jc w:val="center"/>
                    <w:rPr>
                      <w:b/>
                      <w:bCs/>
                      <w:u w:val="single"/>
                    </w:rPr>
                  </w:pPr>
                </w:p>
              </w:tc>
              <w:tc>
                <w:tcPr>
                  <w:tcW w:w="517" w:type="pct"/>
                  <w:vMerge w:val="continue"/>
                  <w:tcBorders>
                    <w:left w:val="single" w:color="000000" w:sz="4" w:space="0"/>
                    <w:bottom w:val="single" w:color="000000" w:sz="4" w:space="0"/>
                    <w:right w:val="nil"/>
                  </w:tcBorders>
                  <w:shd w:val="clear" w:color="auto" w:fill="auto"/>
                  <w:vAlign w:val="center"/>
                </w:tcPr>
                <w:p w14:paraId="21FA3232">
                  <w:pPr>
                    <w:pStyle w:val="17"/>
                    <w:keepNext w:val="0"/>
                    <w:keepLines w:val="0"/>
                    <w:pageBreakBefore w:val="0"/>
                    <w:kinsoku/>
                    <w:wordWrap w:val="0"/>
                    <w:overflowPunct/>
                    <w:topLinePunct w:val="0"/>
                    <w:autoSpaceDE/>
                    <w:autoSpaceDN/>
                    <w:bidi w:val="0"/>
                    <w:adjustRightInd/>
                    <w:snapToGrid w:val="0"/>
                    <w:spacing w:before="0" w:beforeAutospacing="0" w:after="0" w:afterAutospacing="0" w:line="240" w:lineRule="auto"/>
                    <w:ind w:firstLine="0" w:firstLineChars="0"/>
                    <w:jc w:val="center"/>
                    <w:rPr>
                      <w:b/>
                      <w:bCs/>
                      <w:u w:val="single"/>
                    </w:rPr>
                  </w:pPr>
                </w:p>
              </w:tc>
              <w:tc>
                <w:tcPr>
                  <w:tcW w:w="397" w:type="pct"/>
                  <w:vMerge w:val="continue"/>
                  <w:tcBorders>
                    <w:left w:val="single" w:color="000000" w:sz="4" w:space="0"/>
                    <w:bottom w:val="single" w:color="000000" w:sz="4" w:space="0"/>
                    <w:right w:val="nil"/>
                  </w:tcBorders>
                  <w:shd w:val="clear" w:color="auto" w:fill="auto"/>
                  <w:vAlign w:val="center"/>
                </w:tcPr>
                <w:p w14:paraId="0990D261">
                  <w:pPr>
                    <w:pStyle w:val="17"/>
                    <w:keepNext w:val="0"/>
                    <w:keepLines w:val="0"/>
                    <w:pageBreakBefore w:val="0"/>
                    <w:kinsoku/>
                    <w:wordWrap w:val="0"/>
                    <w:overflowPunct/>
                    <w:topLinePunct w:val="0"/>
                    <w:autoSpaceDE/>
                    <w:autoSpaceDN/>
                    <w:bidi w:val="0"/>
                    <w:adjustRightInd/>
                    <w:snapToGrid w:val="0"/>
                    <w:spacing w:before="0" w:beforeAutospacing="0" w:after="0" w:afterAutospacing="0" w:line="240" w:lineRule="auto"/>
                    <w:ind w:firstLine="0" w:firstLineChars="0"/>
                    <w:jc w:val="center"/>
                    <w:rPr>
                      <w:b/>
                      <w:bCs/>
                      <w:u w:val="single"/>
                    </w:rPr>
                  </w:pPr>
                </w:p>
              </w:tc>
              <w:tc>
                <w:tcPr>
                  <w:tcW w:w="406" w:type="pct"/>
                  <w:tcBorders>
                    <w:top w:val="single" w:color="000000" w:sz="4" w:space="0"/>
                    <w:left w:val="single" w:color="000000" w:sz="4" w:space="0"/>
                    <w:bottom w:val="single" w:color="000000" w:sz="4" w:space="0"/>
                    <w:right w:val="nil"/>
                  </w:tcBorders>
                  <w:shd w:val="clear" w:color="auto" w:fill="auto"/>
                  <w:vAlign w:val="center"/>
                </w:tcPr>
                <w:p w14:paraId="04EED008">
                  <w:pPr>
                    <w:pStyle w:val="17"/>
                    <w:keepNext w:val="0"/>
                    <w:keepLines w:val="0"/>
                    <w:pageBreakBefore w:val="0"/>
                    <w:kinsoku/>
                    <w:wordWrap w:val="0"/>
                    <w:overflowPunct/>
                    <w:topLinePunct w:val="0"/>
                    <w:autoSpaceDE/>
                    <w:autoSpaceDN/>
                    <w:bidi w:val="0"/>
                    <w:adjustRightInd/>
                    <w:snapToGrid w:val="0"/>
                    <w:spacing w:before="0" w:beforeAutospacing="0" w:after="0" w:afterAutospacing="0" w:line="240" w:lineRule="auto"/>
                    <w:ind w:firstLine="0" w:firstLineChars="0"/>
                    <w:jc w:val="center"/>
                    <w:rPr>
                      <w:rFonts w:ascii="Times New Roman" w:hAnsi="Times New Roman" w:eastAsia="宋体" w:cs="Times New Roman"/>
                      <w:b/>
                      <w:bCs/>
                      <w:kern w:val="2"/>
                      <w:sz w:val="21"/>
                      <w:szCs w:val="21"/>
                      <w:u w:val="single"/>
                      <w:lang w:val="en-US" w:eastAsia="zh-CN" w:bidi="ar-SA"/>
                    </w:rPr>
                  </w:pPr>
                  <w:r>
                    <w:rPr>
                      <w:rFonts w:hint="eastAsia" w:ascii="Times New Roman" w:hAnsi="Times New Roman"/>
                      <w:b/>
                      <w:bCs/>
                      <w:sz w:val="21"/>
                      <w:szCs w:val="21"/>
                      <w:u w:val="single"/>
                    </w:rPr>
                    <w:t>声压级</w:t>
                  </w:r>
                  <w:r>
                    <w:rPr>
                      <w:rFonts w:ascii="Times New Roman" w:hAnsi="Times New Roman"/>
                      <w:b/>
                      <w:bCs/>
                      <w:sz w:val="21"/>
                      <w:szCs w:val="24"/>
                      <w:u w:val="single"/>
                    </w:rPr>
                    <w:t>dB(A)</w:t>
                  </w:r>
                </w:p>
              </w:tc>
              <w:tc>
                <w:tcPr>
                  <w:tcW w:w="524" w:type="pct"/>
                  <w:tcBorders>
                    <w:top w:val="single" w:color="000000" w:sz="4" w:space="0"/>
                    <w:left w:val="single" w:color="000000" w:sz="4" w:space="0"/>
                    <w:bottom w:val="single" w:color="000000" w:sz="4" w:space="0"/>
                    <w:right w:val="nil"/>
                  </w:tcBorders>
                  <w:shd w:val="clear" w:color="auto" w:fill="auto"/>
                  <w:vAlign w:val="center"/>
                </w:tcPr>
                <w:p w14:paraId="125C42DF">
                  <w:pPr>
                    <w:pStyle w:val="17"/>
                    <w:keepNext w:val="0"/>
                    <w:keepLines w:val="0"/>
                    <w:pageBreakBefore w:val="0"/>
                    <w:kinsoku/>
                    <w:wordWrap w:val="0"/>
                    <w:overflowPunct/>
                    <w:topLinePunct w:val="0"/>
                    <w:autoSpaceDE/>
                    <w:autoSpaceDN/>
                    <w:bidi w:val="0"/>
                    <w:adjustRightInd/>
                    <w:snapToGrid w:val="0"/>
                    <w:spacing w:before="0" w:beforeAutospacing="0" w:after="0" w:afterAutospacing="0" w:line="240" w:lineRule="auto"/>
                    <w:ind w:firstLine="0" w:firstLineChars="0"/>
                    <w:jc w:val="center"/>
                    <w:rPr>
                      <w:rFonts w:hint="eastAsia" w:ascii="Times New Roman" w:hAnsi="Times New Roman" w:eastAsia="宋体" w:cs="Times New Roman"/>
                      <w:b/>
                      <w:bCs/>
                      <w:kern w:val="2"/>
                      <w:sz w:val="21"/>
                      <w:szCs w:val="21"/>
                      <w:u w:val="single"/>
                      <w:lang w:val="en-US" w:eastAsia="zh-CN" w:bidi="ar-SA"/>
                    </w:rPr>
                  </w:pPr>
                  <w:r>
                    <w:rPr>
                      <w:rFonts w:hint="eastAsia" w:ascii="Times New Roman" w:hAnsi="Times New Roman"/>
                      <w:b/>
                      <w:bCs/>
                      <w:sz w:val="21"/>
                      <w:szCs w:val="21"/>
                      <w:u w:val="single"/>
                    </w:rPr>
                    <w:t>建筑物外距离</w:t>
                  </w:r>
                  <w:r>
                    <w:rPr>
                      <w:rFonts w:hint="eastAsia" w:ascii="Times New Roman" w:hAnsi="Times New Roman"/>
                      <w:b/>
                      <w:bCs/>
                      <w:sz w:val="21"/>
                      <w:szCs w:val="21"/>
                      <w:u w:val="single"/>
                      <w:lang w:eastAsia="zh-CN"/>
                    </w:rPr>
                    <w:t>（</w:t>
                  </w:r>
                  <w:r>
                    <w:rPr>
                      <w:rFonts w:hint="eastAsia" w:ascii="Times New Roman" w:hAnsi="Times New Roman"/>
                      <w:b/>
                      <w:bCs/>
                      <w:sz w:val="21"/>
                      <w:szCs w:val="21"/>
                      <w:u w:val="single"/>
                      <w:lang w:val="en-US" w:eastAsia="zh-CN"/>
                    </w:rPr>
                    <w:t>m</w:t>
                  </w:r>
                  <w:r>
                    <w:rPr>
                      <w:rFonts w:hint="eastAsia" w:ascii="Times New Roman" w:hAnsi="Times New Roman"/>
                      <w:b/>
                      <w:bCs/>
                      <w:sz w:val="21"/>
                      <w:szCs w:val="21"/>
                      <w:u w:val="single"/>
                      <w:lang w:eastAsia="zh-CN"/>
                    </w:rPr>
                    <w:t>）</w:t>
                  </w:r>
                </w:p>
              </w:tc>
            </w:tr>
            <w:tr w14:paraId="52E05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DFAD4">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2"/>
                      <w:sz w:val="21"/>
                      <w:szCs w:val="21"/>
                      <w:u w:val="single"/>
                      <w:lang w:val="en-US" w:eastAsia="zh-CN" w:bidi="ar-SA"/>
                    </w:rPr>
                  </w:pPr>
                  <w:r>
                    <w:rPr>
                      <w:rFonts w:hint="default" w:ascii="Times New Roman" w:hAnsi="Times New Roman" w:eastAsia="宋体" w:cs="Times New Roman"/>
                      <w:b/>
                      <w:bCs/>
                      <w:i w:val="0"/>
                      <w:iCs w:val="0"/>
                      <w:color w:val="000000"/>
                      <w:kern w:val="0"/>
                      <w:sz w:val="21"/>
                      <w:szCs w:val="21"/>
                      <w:u w:val="single"/>
                      <w:lang w:val="en-US" w:eastAsia="zh-CN" w:bidi="ar"/>
                    </w:rPr>
                    <w:t>直线往复式切药机</w:t>
                  </w:r>
                </w:p>
              </w:tc>
              <w:tc>
                <w:tcPr>
                  <w:tcW w:w="557" w:type="pct"/>
                  <w:tcBorders>
                    <w:top w:val="single" w:color="000000" w:sz="4" w:space="0"/>
                    <w:left w:val="single" w:color="000000" w:sz="4" w:space="0"/>
                    <w:bottom w:val="single" w:color="000000" w:sz="4" w:space="0"/>
                    <w:right w:val="nil"/>
                  </w:tcBorders>
                  <w:shd w:val="clear" w:color="auto" w:fill="auto"/>
                  <w:vAlign w:val="center"/>
                </w:tcPr>
                <w:p w14:paraId="1361C2FB">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70</w:t>
                  </w:r>
                </w:p>
              </w:tc>
              <w:tc>
                <w:tcPr>
                  <w:tcW w:w="793" w:type="pct"/>
                  <w:tcBorders>
                    <w:top w:val="single" w:color="000000" w:sz="4" w:space="0"/>
                    <w:left w:val="single" w:color="000000" w:sz="4" w:space="0"/>
                    <w:bottom w:val="single" w:color="000000" w:sz="4" w:space="0"/>
                    <w:right w:val="nil"/>
                  </w:tcBorders>
                  <w:shd w:val="clear" w:color="auto" w:fill="auto"/>
                  <w:vAlign w:val="center"/>
                </w:tcPr>
                <w:p w14:paraId="61863CC0">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default" w:ascii="Times New Roman" w:hAnsi="Times New Roman" w:eastAsia="宋体" w:cs="Times New Roman"/>
                      <w:b/>
                      <w:bCs/>
                      <w:i w:val="0"/>
                      <w:iCs w:val="0"/>
                      <w:color w:val="000000"/>
                      <w:kern w:val="0"/>
                      <w:sz w:val="21"/>
                      <w:szCs w:val="21"/>
                      <w:u w:val="single"/>
                      <w:lang w:val="en-US" w:eastAsia="zh-CN" w:bidi="ar"/>
                    </w:rPr>
                    <w:t>基础减振＋厂房隔声</w:t>
                  </w:r>
                </w:p>
              </w:tc>
              <w:tc>
                <w:tcPr>
                  <w:tcW w:w="502" w:type="pct"/>
                  <w:tcBorders>
                    <w:top w:val="single" w:color="000000" w:sz="4" w:space="0"/>
                    <w:left w:val="single" w:color="000000" w:sz="4" w:space="0"/>
                    <w:bottom w:val="single" w:color="000000" w:sz="4" w:space="0"/>
                    <w:right w:val="nil"/>
                  </w:tcBorders>
                  <w:shd w:val="clear" w:color="auto" w:fill="auto"/>
                  <w:vAlign w:val="center"/>
                </w:tcPr>
                <w:p w14:paraId="1D1BDDA3">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cs="Times New Roman"/>
                      <w:b/>
                      <w:bCs/>
                      <w:i w:val="0"/>
                      <w:iCs w:val="0"/>
                      <w:color w:val="000000"/>
                      <w:kern w:val="0"/>
                      <w:sz w:val="21"/>
                      <w:szCs w:val="21"/>
                      <w:u w:val="single"/>
                      <w:lang w:val="en-US" w:eastAsia="zh-CN" w:bidi="ar"/>
                    </w:rPr>
                    <w:t>5</w:t>
                  </w:r>
                </w:p>
              </w:tc>
              <w:tc>
                <w:tcPr>
                  <w:tcW w:w="411" w:type="pct"/>
                  <w:tcBorders>
                    <w:top w:val="single" w:color="000000" w:sz="4" w:space="0"/>
                    <w:left w:val="single" w:color="000000" w:sz="4" w:space="0"/>
                    <w:bottom w:val="single" w:color="000000" w:sz="4" w:space="0"/>
                    <w:right w:val="nil"/>
                  </w:tcBorders>
                  <w:shd w:val="clear" w:color="auto" w:fill="auto"/>
                  <w:vAlign w:val="center"/>
                </w:tcPr>
                <w:p w14:paraId="56697B5E">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70</w:t>
                  </w:r>
                </w:p>
              </w:tc>
              <w:tc>
                <w:tcPr>
                  <w:tcW w:w="517" w:type="pct"/>
                  <w:tcBorders>
                    <w:top w:val="single" w:color="000000" w:sz="4" w:space="0"/>
                    <w:left w:val="single" w:color="000000" w:sz="4" w:space="0"/>
                    <w:bottom w:val="single" w:color="000000" w:sz="4" w:space="0"/>
                    <w:right w:val="nil"/>
                  </w:tcBorders>
                  <w:shd w:val="clear" w:color="auto" w:fill="auto"/>
                  <w:vAlign w:val="center"/>
                </w:tcPr>
                <w:p w14:paraId="6C290842">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cs="Times New Roman"/>
                      <w:b/>
                      <w:bCs/>
                      <w:i w:val="0"/>
                      <w:iCs w:val="0"/>
                      <w:color w:val="000000"/>
                      <w:kern w:val="0"/>
                      <w:sz w:val="21"/>
                      <w:szCs w:val="21"/>
                      <w:u w:val="single"/>
                      <w:lang w:val="en-US" w:eastAsia="zh-CN" w:bidi="ar"/>
                    </w:rPr>
                    <w:t>昼间</w:t>
                  </w:r>
                </w:p>
              </w:tc>
              <w:tc>
                <w:tcPr>
                  <w:tcW w:w="397" w:type="pct"/>
                  <w:tcBorders>
                    <w:top w:val="single" w:color="000000" w:sz="4" w:space="0"/>
                    <w:left w:val="single" w:color="000000" w:sz="4" w:space="0"/>
                    <w:bottom w:val="single" w:color="000000" w:sz="4" w:space="0"/>
                    <w:right w:val="nil"/>
                  </w:tcBorders>
                  <w:shd w:val="clear" w:color="auto" w:fill="auto"/>
                  <w:vAlign w:val="center"/>
                </w:tcPr>
                <w:p w14:paraId="64F11536">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b/>
                      <w:bCs/>
                      <w:szCs w:val="21"/>
                      <w:u w:val="single"/>
                    </w:rPr>
                    <w:t>20</w:t>
                  </w:r>
                </w:p>
              </w:tc>
              <w:tc>
                <w:tcPr>
                  <w:tcW w:w="406" w:type="pct"/>
                  <w:tcBorders>
                    <w:top w:val="single" w:color="000000" w:sz="4" w:space="0"/>
                    <w:left w:val="single" w:color="000000" w:sz="4" w:space="0"/>
                    <w:bottom w:val="single" w:color="000000" w:sz="4" w:space="0"/>
                    <w:right w:val="nil"/>
                  </w:tcBorders>
                  <w:shd w:val="clear" w:color="auto" w:fill="auto"/>
                  <w:vAlign w:val="center"/>
                </w:tcPr>
                <w:p w14:paraId="004042B8">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cs="Times New Roman"/>
                      <w:b/>
                      <w:bCs/>
                      <w:i w:val="0"/>
                      <w:iCs w:val="0"/>
                      <w:color w:val="000000"/>
                      <w:kern w:val="0"/>
                      <w:sz w:val="21"/>
                      <w:szCs w:val="21"/>
                      <w:u w:val="single"/>
                      <w:lang w:val="en-US" w:eastAsia="zh-CN" w:bidi="ar"/>
                    </w:rPr>
                    <w:t>50</w:t>
                  </w:r>
                </w:p>
              </w:tc>
              <w:tc>
                <w:tcPr>
                  <w:tcW w:w="524" w:type="pct"/>
                  <w:tcBorders>
                    <w:top w:val="single" w:color="000000" w:sz="4" w:space="0"/>
                    <w:left w:val="single" w:color="000000" w:sz="4" w:space="0"/>
                    <w:bottom w:val="single" w:color="000000" w:sz="4" w:space="0"/>
                    <w:right w:val="nil"/>
                  </w:tcBorders>
                  <w:shd w:val="clear" w:color="auto" w:fill="auto"/>
                  <w:vAlign w:val="center"/>
                </w:tcPr>
                <w:p w14:paraId="273EFF4D">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b/>
                      <w:bCs/>
                      <w:szCs w:val="21"/>
                      <w:u w:val="single"/>
                    </w:rPr>
                    <w:t>1</w:t>
                  </w:r>
                </w:p>
              </w:tc>
            </w:tr>
            <w:tr w14:paraId="21A2E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9704E">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2"/>
                      <w:sz w:val="21"/>
                      <w:szCs w:val="21"/>
                      <w:u w:val="single"/>
                      <w:lang w:val="en-US" w:eastAsia="zh-CN" w:bidi="ar-SA"/>
                    </w:rPr>
                  </w:pPr>
                  <w:r>
                    <w:rPr>
                      <w:rFonts w:hint="default" w:ascii="Times New Roman" w:hAnsi="Times New Roman" w:eastAsia="宋体" w:cs="Times New Roman"/>
                      <w:b/>
                      <w:bCs/>
                      <w:i w:val="0"/>
                      <w:iCs w:val="0"/>
                      <w:color w:val="000000"/>
                      <w:kern w:val="0"/>
                      <w:sz w:val="21"/>
                      <w:szCs w:val="21"/>
                      <w:u w:val="single"/>
                      <w:lang w:val="en-US" w:eastAsia="zh-CN" w:bidi="ar"/>
                    </w:rPr>
                    <w:t>旋料式切片机</w:t>
                  </w:r>
                </w:p>
              </w:tc>
              <w:tc>
                <w:tcPr>
                  <w:tcW w:w="557" w:type="pct"/>
                  <w:tcBorders>
                    <w:top w:val="single" w:color="000000" w:sz="4" w:space="0"/>
                    <w:left w:val="single" w:color="000000" w:sz="4" w:space="0"/>
                    <w:bottom w:val="single" w:color="000000" w:sz="4" w:space="0"/>
                    <w:right w:val="nil"/>
                  </w:tcBorders>
                  <w:shd w:val="clear" w:color="auto" w:fill="auto"/>
                  <w:vAlign w:val="center"/>
                </w:tcPr>
                <w:p w14:paraId="28023F5D">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70</w:t>
                  </w:r>
                </w:p>
              </w:tc>
              <w:tc>
                <w:tcPr>
                  <w:tcW w:w="793" w:type="pct"/>
                  <w:tcBorders>
                    <w:top w:val="single" w:color="000000" w:sz="4" w:space="0"/>
                    <w:left w:val="single" w:color="000000" w:sz="4" w:space="0"/>
                    <w:bottom w:val="single" w:color="000000" w:sz="4" w:space="0"/>
                    <w:right w:val="nil"/>
                  </w:tcBorders>
                  <w:shd w:val="clear" w:color="auto" w:fill="auto"/>
                  <w:vAlign w:val="center"/>
                </w:tcPr>
                <w:p w14:paraId="0BC4FBD4">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b/>
                      <w:bCs/>
                      <w:sz w:val="21"/>
                      <w:szCs w:val="21"/>
                      <w:u w:val="single"/>
                    </w:rPr>
                    <w:t>基础减振＋厂房隔声</w:t>
                  </w:r>
                </w:p>
              </w:tc>
              <w:tc>
                <w:tcPr>
                  <w:tcW w:w="502" w:type="pct"/>
                  <w:tcBorders>
                    <w:top w:val="single" w:color="000000" w:sz="4" w:space="0"/>
                    <w:left w:val="single" w:color="000000" w:sz="4" w:space="0"/>
                    <w:bottom w:val="single" w:color="000000" w:sz="4" w:space="0"/>
                    <w:right w:val="nil"/>
                  </w:tcBorders>
                  <w:shd w:val="clear" w:color="auto" w:fill="auto"/>
                  <w:vAlign w:val="center"/>
                </w:tcPr>
                <w:p w14:paraId="2F6EAF5F">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eastAsia="宋体"/>
                      <w:b/>
                      <w:bCs/>
                      <w:sz w:val="21"/>
                      <w:szCs w:val="21"/>
                      <w:u w:val="single"/>
                      <w:lang w:val="en-US" w:eastAsia="zh-CN"/>
                    </w:rPr>
                  </w:pPr>
                  <w:r>
                    <w:rPr>
                      <w:rFonts w:hint="eastAsia"/>
                      <w:b/>
                      <w:bCs/>
                      <w:sz w:val="21"/>
                      <w:szCs w:val="21"/>
                      <w:u w:val="single"/>
                      <w:lang w:val="en-US" w:eastAsia="zh-CN"/>
                    </w:rPr>
                    <w:t>5</w:t>
                  </w:r>
                </w:p>
              </w:tc>
              <w:tc>
                <w:tcPr>
                  <w:tcW w:w="411" w:type="pct"/>
                  <w:tcBorders>
                    <w:top w:val="single" w:color="000000" w:sz="4" w:space="0"/>
                    <w:left w:val="single" w:color="000000" w:sz="4" w:space="0"/>
                    <w:bottom w:val="single" w:color="000000" w:sz="4" w:space="0"/>
                    <w:right w:val="nil"/>
                  </w:tcBorders>
                  <w:shd w:val="clear" w:color="auto" w:fill="auto"/>
                  <w:vAlign w:val="center"/>
                </w:tcPr>
                <w:p w14:paraId="0978522D">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70</w:t>
                  </w:r>
                </w:p>
              </w:tc>
              <w:tc>
                <w:tcPr>
                  <w:tcW w:w="517" w:type="pct"/>
                  <w:tcBorders>
                    <w:top w:val="single" w:color="000000" w:sz="4" w:space="0"/>
                    <w:left w:val="single" w:color="000000" w:sz="4" w:space="0"/>
                    <w:bottom w:val="single" w:color="000000" w:sz="4" w:space="0"/>
                    <w:right w:val="nil"/>
                  </w:tcBorders>
                  <w:shd w:val="clear" w:color="auto" w:fill="auto"/>
                  <w:vAlign w:val="center"/>
                </w:tcPr>
                <w:p w14:paraId="4DB73E59">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cs="Times New Roman"/>
                      <w:b/>
                      <w:bCs/>
                      <w:i w:val="0"/>
                      <w:iCs w:val="0"/>
                      <w:color w:val="000000"/>
                      <w:kern w:val="0"/>
                      <w:sz w:val="21"/>
                      <w:szCs w:val="21"/>
                      <w:u w:val="single"/>
                      <w:lang w:val="en-US" w:eastAsia="zh-CN" w:bidi="ar"/>
                    </w:rPr>
                    <w:t>昼间</w:t>
                  </w:r>
                </w:p>
              </w:tc>
              <w:tc>
                <w:tcPr>
                  <w:tcW w:w="397" w:type="pct"/>
                  <w:tcBorders>
                    <w:top w:val="single" w:color="000000" w:sz="4" w:space="0"/>
                    <w:left w:val="single" w:color="000000" w:sz="4" w:space="0"/>
                    <w:bottom w:val="single" w:color="000000" w:sz="4" w:space="0"/>
                    <w:right w:val="nil"/>
                  </w:tcBorders>
                  <w:shd w:val="clear" w:color="auto" w:fill="auto"/>
                  <w:vAlign w:val="center"/>
                </w:tcPr>
                <w:p w14:paraId="6EA7C4B0">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b/>
                      <w:bCs/>
                      <w:szCs w:val="21"/>
                      <w:u w:val="single"/>
                    </w:rPr>
                    <w:t>20</w:t>
                  </w:r>
                </w:p>
              </w:tc>
              <w:tc>
                <w:tcPr>
                  <w:tcW w:w="406" w:type="pct"/>
                  <w:tcBorders>
                    <w:top w:val="single" w:color="000000" w:sz="4" w:space="0"/>
                    <w:left w:val="single" w:color="000000" w:sz="4" w:space="0"/>
                    <w:bottom w:val="single" w:color="000000" w:sz="4" w:space="0"/>
                    <w:right w:val="nil"/>
                  </w:tcBorders>
                  <w:shd w:val="clear" w:color="auto" w:fill="auto"/>
                  <w:vAlign w:val="center"/>
                </w:tcPr>
                <w:p w14:paraId="3C2A07B0">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eastAsia="宋体"/>
                      <w:b/>
                      <w:bCs/>
                      <w:sz w:val="21"/>
                      <w:szCs w:val="21"/>
                      <w:u w:val="single"/>
                      <w:lang w:val="en-US" w:eastAsia="zh-CN"/>
                    </w:rPr>
                  </w:pPr>
                  <w:r>
                    <w:rPr>
                      <w:rFonts w:hint="eastAsia"/>
                      <w:b/>
                      <w:bCs/>
                      <w:sz w:val="21"/>
                      <w:szCs w:val="21"/>
                      <w:u w:val="single"/>
                      <w:lang w:val="en-US" w:eastAsia="zh-CN"/>
                    </w:rPr>
                    <w:t>50</w:t>
                  </w:r>
                </w:p>
              </w:tc>
              <w:tc>
                <w:tcPr>
                  <w:tcW w:w="524" w:type="pct"/>
                  <w:tcBorders>
                    <w:top w:val="single" w:color="000000" w:sz="4" w:space="0"/>
                    <w:left w:val="single" w:color="000000" w:sz="4" w:space="0"/>
                    <w:bottom w:val="single" w:color="000000" w:sz="4" w:space="0"/>
                    <w:right w:val="nil"/>
                  </w:tcBorders>
                  <w:shd w:val="clear" w:color="auto" w:fill="auto"/>
                  <w:vAlign w:val="center"/>
                </w:tcPr>
                <w:p w14:paraId="255ABBCD">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eastAsia="宋体"/>
                      <w:b/>
                      <w:bCs/>
                      <w:sz w:val="21"/>
                      <w:szCs w:val="21"/>
                      <w:u w:val="single"/>
                      <w:lang w:val="en-US" w:eastAsia="zh-CN"/>
                    </w:rPr>
                  </w:pPr>
                  <w:r>
                    <w:rPr>
                      <w:rFonts w:hint="eastAsia"/>
                      <w:b/>
                      <w:bCs/>
                      <w:sz w:val="21"/>
                      <w:szCs w:val="21"/>
                      <w:u w:val="single"/>
                      <w:lang w:val="en-US" w:eastAsia="zh-CN"/>
                    </w:rPr>
                    <w:t>1</w:t>
                  </w:r>
                </w:p>
              </w:tc>
            </w:tr>
            <w:tr w14:paraId="31E2B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E0996">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2"/>
                      <w:sz w:val="21"/>
                      <w:szCs w:val="21"/>
                      <w:u w:val="single"/>
                      <w:lang w:val="en-US" w:eastAsia="zh-CN" w:bidi="ar-SA"/>
                    </w:rPr>
                  </w:pPr>
                  <w:r>
                    <w:rPr>
                      <w:rFonts w:hint="default" w:ascii="Times New Roman" w:hAnsi="Times New Roman" w:eastAsia="宋体" w:cs="Times New Roman"/>
                      <w:b/>
                      <w:bCs/>
                      <w:i w:val="0"/>
                      <w:iCs w:val="0"/>
                      <w:color w:val="000000"/>
                      <w:kern w:val="0"/>
                      <w:sz w:val="21"/>
                      <w:szCs w:val="21"/>
                      <w:u w:val="single"/>
                      <w:lang w:val="en-US" w:eastAsia="zh-CN" w:bidi="ar"/>
                    </w:rPr>
                    <w:t>小型磨刀机</w:t>
                  </w:r>
                </w:p>
              </w:tc>
              <w:tc>
                <w:tcPr>
                  <w:tcW w:w="557" w:type="pct"/>
                  <w:tcBorders>
                    <w:top w:val="single" w:color="000000" w:sz="4" w:space="0"/>
                    <w:left w:val="single" w:color="000000" w:sz="4" w:space="0"/>
                    <w:bottom w:val="single" w:color="000000" w:sz="4" w:space="0"/>
                    <w:right w:val="nil"/>
                  </w:tcBorders>
                  <w:shd w:val="clear" w:color="auto" w:fill="auto"/>
                  <w:vAlign w:val="center"/>
                </w:tcPr>
                <w:p w14:paraId="60F54BD9">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70</w:t>
                  </w:r>
                </w:p>
              </w:tc>
              <w:tc>
                <w:tcPr>
                  <w:tcW w:w="793" w:type="pct"/>
                  <w:tcBorders>
                    <w:top w:val="single" w:color="000000" w:sz="4" w:space="0"/>
                    <w:left w:val="single" w:color="000000" w:sz="4" w:space="0"/>
                    <w:bottom w:val="single" w:color="000000" w:sz="4" w:space="0"/>
                    <w:right w:val="nil"/>
                  </w:tcBorders>
                  <w:shd w:val="clear" w:color="auto" w:fill="auto"/>
                  <w:vAlign w:val="center"/>
                </w:tcPr>
                <w:p w14:paraId="5888E8EF">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b/>
                      <w:bCs/>
                      <w:sz w:val="21"/>
                      <w:szCs w:val="21"/>
                      <w:u w:val="single"/>
                    </w:rPr>
                    <w:t>基础减振＋厂房隔声</w:t>
                  </w:r>
                </w:p>
              </w:tc>
              <w:tc>
                <w:tcPr>
                  <w:tcW w:w="502" w:type="pct"/>
                  <w:tcBorders>
                    <w:top w:val="single" w:color="000000" w:sz="4" w:space="0"/>
                    <w:left w:val="single" w:color="000000" w:sz="4" w:space="0"/>
                    <w:bottom w:val="single" w:color="000000" w:sz="4" w:space="0"/>
                    <w:right w:val="nil"/>
                  </w:tcBorders>
                  <w:shd w:val="clear" w:color="auto" w:fill="auto"/>
                  <w:vAlign w:val="center"/>
                </w:tcPr>
                <w:p w14:paraId="42B0F0D6">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eastAsia="宋体"/>
                      <w:b/>
                      <w:bCs/>
                      <w:sz w:val="21"/>
                      <w:szCs w:val="21"/>
                      <w:u w:val="single"/>
                      <w:lang w:val="en-US" w:eastAsia="zh-CN"/>
                    </w:rPr>
                  </w:pPr>
                  <w:r>
                    <w:rPr>
                      <w:rFonts w:hint="eastAsia"/>
                      <w:b/>
                      <w:bCs/>
                      <w:sz w:val="21"/>
                      <w:szCs w:val="21"/>
                      <w:u w:val="single"/>
                      <w:lang w:val="en-US" w:eastAsia="zh-CN"/>
                    </w:rPr>
                    <w:t>5</w:t>
                  </w:r>
                </w:p>
              </w:tc>
              <w:tc>
                <w:tcPr>
                  <w:tcW w:w="411" w:type="pct"/>
                  <w:tcBorders>
                    <w:top w:val="single" w:color="000000" w:sz="4" w:space="0"/>
                    <w:left w:val="single" w:color="000000" w:sz="4" w:space="0"/>
                    <w:bottom w:val="single" w:color="000000" w:sz="4" w:space="0"/>
                    <w:right w:val="nil"/>
                  </w:tcBorders>
                  <w:shd w:val="clear" w:color="auto" w:fill="auto"/>
                  <w:vAlign w:val="center"/>
                </w:tcPr>
                <w:p w14:paraId="57B198C7">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70</w:t>
                  </w:r>
                </w:p>
              </w:tc>
              <w:tc>
                <w:tcPr>
                  <w:tcW w:w="517" w:type="pct"/>
                  <w:tcBorders>
                    <w:top w:val="single" w:color="000000" w:sz="4" w:space="0"/>
                    <w:left w:val="single" w:color="000000" w:sz="4" w:space="0"/>
                    <w:bottom w:val="single" w:color="000000" w:sz="4" w:space="0"/>
                    <w:right w:val="nil"/>
                  </w:tcBorders>
                  <w:shd w:val="clear" w:color="auto" w:fill="auto"/>
                  <w:vAlign w:val="center"/>
                </w:tcPr>
                <w:p w14:paraId="03CBA436">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cs="Times New Roman"/>
                      <w:b/>
                      <w:bCs/>
                      <w:i w:val="0"/>
                      <w:iCs w:val="0"/>
                      <w:color w:val="000000"/>
                      <w:kern w:val="0"/>
                      <w:sz w:val="21"/>
                      <w:szCs w:val="21"/>
                      <w:u w:val="single"/>
                      <w:lang w:val="en-US" w:eastAsia="zh-CN" w:bidi="ar"/>
                    </w:rPr>
                    <w:t>昼间</w:t>
                  </w:r>
                </w:p>
              </w:tc>
              <w:tc>
                <w:tcPr>
                  <w:tcW w:w="397" w:type="pct"/>
                  <w:tcBorders>
                    <w:top w:val="single" w:color="000000" w:sz="4" w:space="0"/>
                    <w:left w:val="single" w:color="000000" w:sz="4" w:space="0"/>
                    <w:bottom w:val="single" w:color="000000" w:sz="4" w:space="0"/>
                    <w:right w:val="nil"/>
                  </w:tcBorders>
                  <w:shd w:val="clear" w:color="auto" w:fill="auto"/>
                  <w:vAlign w:val="center"/>
                </w:tcPr>
                <w:p w14:paraId="78E3DC2F">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b/>
                      <w:bCs/>
                      <w:szCs w:val="21"/>
                      <w:u w:val="single"/>
                    </w:rPr>
                    <w:t>20</w:t>
                  </w:r>
                </w:p>
              </w:tc>
              <w:tc>
                <w:tcPr>
                  <w:tcW w:w="406" w:type="pct"/>
                  <w:tcBorders>
                    <w:top w:val="single" w:color="000000" w:sz="4" w:space="0"/>
                    <w:left w:val="single" w:color="000000" w:sz="4" w:space="0"/>
                    <w:bottom w:val="single" w:color="000000" w:sz="4" w:space="0"/>
                    <w:right w:val="nil"/>
                  </w:tcBorders>
                  <w:shd w:val="clear" w:color="auto" w:fill="auto"/>
                  <w:vAlign w:val="center"/>
                </w:tcPr>
                <w:p w14:paraId="56C4589A">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eastAsia="宋体"/>
                      <w:b/>
                      <w:bCs/>
                      <w:sz w:val="21"/>
                      <w:szCs w:val="21"/>
                      <w:u w:val="single"/>
                      <w:lang w:val="en-US" w:eastAsia="zh-CN"/>
                    </w:rPr>
                  </w:pPr>
                  <w:r>
                    <w:rPr>
                      <w:rFonts w:hint="eastAsia"/>
                      <w:b/>
                      <w:bCs/>
                      <w:sz w:val="21"/>
                      <w:szCs w:val="21"/>
                      <w:u w:val="single"/>
                      <w:lang w:val="en-US" w:eastAsia="zh-CN"/>
                    </w:rPr>
                    <w:t>50</w:t>
                  </w:r>
                </w:p>
              </w:tc>
              <w:tc>
                <w:tcPr>
                  <w:tcW w:w="524" w:type="pct"/>
                  <w:tcBorders>
                    <w:top w:val="single" w:color="000000" w:sz="4" w:space="0"/>
                    <w:left w:val="single" w:color="000000" w:sz="4" w:space="0"/>
                    <w:bottom w:val="single" w:color="000000" w:sz="4" w:space="0"/>
                    <w:right w:val="nil"/>
                  </w:tcBorders>
                  <w:shd w:val="clear" w:color="auto" w:fill="auto"/>
                  <w:vAlign w:val="center"/>
                </w:tcPr>
                <w:p w14:paraId="73E0A8F1">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eastAsia="宋体"/>
                      <w:b/>
                      <w:bCs/>
                      <w:sz w:val="21"/>
                      <w:szCs w:val="21"/>
                      <w:u w:val="single"/>
                      <w:lang w:val="en-US" w:eastAsia="zh-CN"/>
                    </w:rPr>
                  </w:pPr>
                  <w:r>
                    <w:rPr>
                      <w:rFonts w:hint="eastAsia"/>
                      <w:b/>
                      <w:bCs/>
                      <w:sz w:val="21"/>
                      <w:szCs w:val="21"/>
                      <w:u w:val="single"/>
                      <w:lang w:val="en-US" w:eastAsia="zh-CN"/>
                    </w:rPr>
                    <w:t>1</w:t>
                  </w:r>
                </w:p>
              </w:tc>
            </w:tr>
            <w:tr w14:paraId="0887E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7392B">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煅药机</w:t>
                  </w:r>
                </w:p>
              </w:tc>
              <w:tc>
                <w:tcPr>
                  <w:tcW w:w="557" w:type="pct"/>
                  <w:tcBorders>
                    <w:top w:val="single" w:color="000000" w:sz="4" w:space="0"/>
                    <w:left w:val="single" w:color="000000" w:sz="4" w:space="0"/>
                    <w:bottom w:val="single" w:color="000000" w:sz="4" w:space="0"/>
                    <w:right w:val="nil"/>
                  </w:tcBorders>
                  <w:shd w:val="clear" w:color="auto" w:fill="auto"/>
                  <w:vAlign w:val="center"/>
                </w:tcPr>
                <w:p w14:paraId="0FD7FB75">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75</w:t>
                  </w:r>
                </w:p>
              </w:tc>
              <w:tc>
                <w:tcPr>
                  <w:tcW w:w="793" w:type="pct"/>
                  <w:tcBorders>
                    <w:top w:val="single" w:color="000000" w:sz="4" w:space="0"/>
                    <w:left w:val="single" w:color="000000" w:sz="4" w:space="0"/>
                    <w:bottom w:val="single" w:color="000000" w:sz="4" w:space="0"/>
                    <w:right w:val="nil"/>
                  </w:tcBorders>
                  <w:shd w:val="clear" w:color="auto" w:fill="auto"/>
                  <w:vAlign w:val="center"/>
                </w:tcPr>
                <w:p w14:paraId="092F7C8B">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b/>
                      <w:bCs/>
                      <w:sz w:val="21"/>
                      <w:szCs w:val="21"/>
                      <w:u w:val="single"/>
                    </w:rPr>
                    <w:t>基础减振＋厂房隔声</w:t>
                  </w:r>
                </w:p>
              </w:tc>
              <w:tc>
                <w:tcPr>
                  <w:tcW w:w="502" w:type="pct"/>
                  <w:tcBorders>
                    <w:top w:val="single" w:color="000000" w:sz="4" w:space="0"/>
                    <w:left w:val="single" w:color="000000" w:sz="4" w:space="0"/>
                    <w:bottom w:val="single" w:color="000000" w:sz="4" w:space="0"/>
                    <w:right w:val="nil"/>
                  </w:tcBorders>
                  <w:shd w:val="clear" w:color="auto" w:fill="auto"/>
                  <w:vAlign w:val="center"/>
                </w:tcPr>
                <w:p w14:paraId="28828377">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eastAsia="宋体"/>
                      <w:b/>
                      <w:bCs/>
                      <w:sz w:val="21"/>
                      <w:szCs w:val="21"/>
                      <w:u w:val="single"/>
                      <w:lang w:val="en-US" w:eastAsia="zh-CN"/>
                    </w:rPr>
                  </w:pPr>
                  <w:r>
                    <w:rPr>
                      <w:rFonts w:hint="eastAsia"/>
                      <w:b/>
                      <w:bCs/>
                      <w:sz w:val="21"/>
                      <w:szCs w:val="21"/>
                      <w:u w:val="single"/>
                      <w:lang w:val="en-US" w:eastAsia="zh-CN"/>
                    </w:rPr>
                    <w:t>5</w:t>
                  </w:r>
                </w:p>
              </w:tc>
              <w:tc>
                <w:tcPr>
                  <w:tcW w:w="411" w:type="pct"/>
                  <w:tcBorders>
                    <w:top w:val="single" w:color="000000" w:sz="4" w:space="0"/>
                    <w:left w:val="single" w:color="000000" w:sz="4" w:space="0"/>
                    <w:bottom w:val="single" w:color="000000" w:sz="4" w:space="0"/>
                    <w:right w:val="nil"/>
                  </w:tcBorders>
                  <w:shd w:val="clear" w:color="auto" w:fill="auto"/>
                  <w:vAlign w:val="center"/>
                </w:tcPr>
                <w:p w14:paraId="7823D5F7">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75</w:t>
                  </w:r>
                </w:p>
              </w:tc>
              <w:tc>
                <w:tcPr>
                  <w:tcW w:w="517" w:type="pct"/>
                  <w:tcBorders>
                    <w:top w:val="single" w:color="000000" w:sz="4" w:space="0"/>
                    <w:left w:val="single" w:color="000000" w:sz="4" w:space="0"/>
                    <w:bottom w:val="single" w:color="000000" w:sz="4" w:space="0"/>
                    <w:right w:val="nil"/>
                  </w:tcBorders>
                  <w:shd w:val="clear" w:color="auto" w:fill="auto"/>
                  <w:vAlign w:val="center"/>
                </w:tcPr>
                <w:p w14:paraId="77DE6F66">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cs="Times New Roman"/>
                      <w:b/>
                      <w:bCs/>
                      <w:i w:val="0"/>
                      <w:iCs w:val="0"/>
                      <w:color w:val="000000"/>
                      <w:kern w:val="0"/>
                      <w:sz w:val="21"/>
                      <w:szCs w:val="21"/>
                      <w:u w:val="single"/>
                      <w:lang w:val="en-US" w:eastAsia="zh-CN" w:bidi="ar"/>
                    </w:rPr>
                    <w:t>昼间</w:t>
                  </w:r>
                </w:p>
              </w:tc>
              <w:tc>
                <w:tcPr>
                  <w:tcW w:w="397" w:type="pct"/>
                  <w:tcBorders>
                    <w:top w:val="single" w:color="000000" w:sz="4" w:space="0"/>
                    <w:left w:val="single" w:color="000000" w:sz="4" w:space="0"/>
                    <w:bottom w:val="single" w:color="000000" w:sz="4" w:space="0"/>
                    <w:right w:val="nil"/>
                  </w:tcBorders>
                  <w:shd w:val="clear" w:color="auto" w:fill="auto"/>
                  <w:vAlign w:val="center"/>
                </w:tcPr>
                <w:p w14:paraId="5206032F">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b/>
                      <w:bCs/>
                      <w:szCs w:val="21"/>
                      <w:u w:val="single"/>
                    </w:rPr>
                    <w:t>20</w:t>
                  </w:r>
                </w:p>
              </w:tc>
              <w:tc>
                <w:tcPr>
                  <w:tcW w:w="406" w:type="pct"/>
                  <w:tcBorders>
                    <w:top w:val="single" w:color="000000" w:sz="4" w:space="0"/>
                    <w:left w:val="single" w:color="000000" w:sz="4" w:space="0"/>
                    <w:bottom w:val="single" w:color="000000" w:sz="4" w:space="0"/>
                    <w:right w:val="nil"/>
                  </w:tcBorders>
                  <w:shd w:val="clear" w:color="auto" w:fill="auto"/>
                  <w:vAlign w:val="center"/>
                </w:tcPr>
                <w:p w14:paraId="526409CB">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eastAsia="宋体"/>
                      <w:b/>
                      <w:bCs/>
                      <w:sz w:val="21"/>
                      <w:szCs w:val="21"/>
                      <w:u w:val="single"/>
                      <w:lang w:val="en-US" w:eastAsia="zh-CN"/>
                    </w:rPr>
                  </w:pPr>
                  <w:r>
                    <w:rPr>
                      <w:rFonts w:hint="eastAsia"/>
                      <w:b/>
                      <w:bCs/>
                      <w:sz w:val="21"/>
                      <w:szCs w:val="21"/>
                      <w:u w:val="single"/>
                      <w:lang w:val="en-US" w:eastAsia="zh-CN"/>
                    </w:rPr>
                    <w:t>55</w:t>
                  </w:r>
                </w:p>
              </w:tc>
              <w:tc>
                <w:tcPr>
                  <w:tcW w:w="524" w:type="pct"/>
                  <w:tcBorders>
                    <w:top w:val="single" w:color="000000" w:sz="4" w:space="0"/>
                    <w:left w:val="single" w:color="000000" w:sz="4" w:space="0"/>
                    <w:bottom w:val="single" w:color="000000" w:sz="4" w:space="0"/>
                    <w:right w:val="nil"/>
                  </w:tcBorders>
                  <w:shd w:val="clear" w:color="auto" w:fill="auto"/>
                  <w:vAlign w:val="center"/>
                </w:tcPr>
                <w:p w14:paraId="7874EF95">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eastAsia="宋体"/>
                      <w:b/>
                      <w:bCs/>
                      <w:sz w:val="21"/>
                      <w:szCs w:val="21"/>
                      <w:u w:val="single"/>
                      <w:lang w:val="en-US" w:eastAsia="zh-CN"/>
                    </w:rPr>
                  </w:pPr>
                  <w:r>
                    <w:rPr>
                      <w:rFonts w:hint="eastAsia"/>
                      <w:b/>
                      <w:bCs/>
                      <w:sz w:val="21"/>
                      <w:szCs w:val="21"/>
                      <w:u w:val="single"/>
                      <w:lang w:val="en-US" w:eastAsia="zh-CN"/>
                    </w:rPr>
                    <w:t>1</w:t>
                  </w:r>
                </w:p>
              </w:tc>
            </w:tr>
            <w:tr w14:paraId="1DBD3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91562">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电磁炒药机</w:t>
                  </w:r>
                </w:p>
              </w:tc>
              <w:tc>
                <w:tcPr>
                  <w:tcW w:w="557" w:type="pct"/>
                  <w:tcBorders>
                    <w:top w:val="single" w:color="000000" w:sz="4" w:space="0"/>
                    <w:left w:val="single" w:color="000000" w:sz="4" w:space="0"/>
                    <w:bottom w:val="single" w:color="000000" w:sz="4" w:space="0"/>
                    <w:right w:val="nil"/>
                  </w:tcBorders>
                  <w:shd w:val="clear" w:color="auto" w:fill="auto"/>
                  <w:vAlign w:val="center"/>
                </w:tcPr>
                <w:p w14:paraId="1E8772EA">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75</w:t>
                  </w:r>
                </w:p>
              </w:tc>
              <w:tc>
                <w:tcPr>
                  <w:tcW w:w="793" w:type="pct"/>
                  <w:tcBorders>
                    <w:top w:val="single" w:color="000000" w:sz="4" w:space="0"/>
                    <w:left w:val="single" w:color="000000" w:sz="4" w:space="0"/>
                    <w:bottom w:val="single" w:color="000000" w:sz="4" w:space="0"/>
                    <w:right w:val="nil"/>
                  </w:tcBorders>
                  <w:shd w:val="clear" w:color="auto" w:fill="auto"/>
                  <w:vAlign w:val="center"/>
                </w:tcPr>
                <w:p w14:paraId="02286784">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b/>
                      <w:bCs/>
                      <w:sz w:val="21"/>
                      <w:szCs w:val="21"/>
                      <w:u w:val="single"/>
                    </w:rPr>
                    <w:t>基础减振＋厂房隔声</w:t>
                  </w:r>
                </w:p>
              </w:tc>
              <w:tc>
                <w:tcPr>
                  <w:tcW w:w="502" w:type="pct"/>
                  <w:tcBorders>
                    <w:top w:val="single" w:color="000000" w:sz="4" w:space="0"/>
                    <w:left w:val="single" w:color="000000" w:sz="4" w:space="0"/>
                    <w:bottom w:val="single" w:color="000000" w:sz="4" w:space="0"/>
                    <w:right w:val="nil"/>
                  </w:tcBorders>
                  <w:shd w:val="clear" w:color="auto" w:fill="auto"/>
                  <w:vAlign w:val="center"/>
                </w:tcPr>
                <w:p w14:paraId="201EAEA9">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eastAsia="宋体"/>
                      <w:b/>
                      <w:bCs/>
                      <w:sz w:val="21"/>
                      <w:szCs w:val="21"/>
                      <w:u w:val="single"/>
                      <w:lang w:val="en-US" w:eastAsia="zh-CN"/>
                    </w:rPr>
                  </w:pPr>
                  <w:r>
                    <w:rPr>
                      <w:rFonts w:hint="eastAsia"/>
                      <w:b/>
                      <w:bCs/>
                      <w:sz w:val="21"/>
                      <w:szCs w:val="21"/>
                      <w:u w:val="single"/>
                      <w:lang w:val="en-US" w:eastAsia="zh-CN"/>
                    </w:rPr>
                    <w:t>5</w:t>
                  </w:r>
                </w:p>
              </w:tc>
              <w:tc>
                <w:tcPr>
                  <w:tcW w:w="411" w:type="pct"/>
                  <w:tcBorders>
                    <w:top w:val="single" w:color="000000" w:sz="4" w:space="0"/>
                    <w:left w:val="single" w:color="000000" w:sz="4" w:space="0"/>
                    <w:bottom w:val="single" w:color="000000" w:sz="4" w:space="0"/>
                    <w:right w:val="nil"/>
                  </w:tcBorders>
                  <w:shd w:val="clear" w:color="auto" w:fill="auto"/>
                  <w:vAlign w:val="center"/>
                </w:tcPr>
                <w:p w14:paraId="6BFA1EFD">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75</w:t>
                  </w:r>
                </w:p>
              </w:tc>
              <w:tc>
                <w:tcPr>
                  <w:tcW w:w="517" w:type="pct"/>
                  <w:tcBorders>
                    <w:top w:val="single" w:color="000000" w:sz="4" w:space="0"/>
                    <w:left w:val="single" w:color="000000" w:sz="4" w:space="0"/>
                    <w:bottom w:val="single" w:color="000000" w:sz="4" w:space="0"/>
                    <w:right w:val="nil"/>
                  </w:tcBorders>
                  <w:shd w:val="clear" w:color="auto" w:fill="auto"/>
                  <w:vAlign w:val="center"/>
                </w:tcPr>
                <w:p w14:paraId="3D006660">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cs="Times New Roman"/>
                      <w:b/>
                      <w:bCs/>
                      <w:i w:val="0"/>
                      <w:iCs w:val="0"/>
                      <w:color w:val="000000"/>
                      <w:kern w:val="0"/>
                      <w:sz w:val="21"/>
                      <w:szCs w:val="21"/>
                      <w:u w:val="single"/>
                      <w:lang w:val="en-US" w:eastAsia="zh-CN" w:bidi="ar"/>
                    </w:rPr>
                    <w:t>昼间</w:t>
                  </w:r>
                </w:p>
              </w:tc>
              <w:tc>
                <w:tcPr>
                  <w:tcW w:w="397" w:type="pct"/>
                  <w:tcBorders>
                    <w:top w:val="single" w:color="000000" w:sz="4" w:space="0"/>
                    <w:left w:val="single" w:color="000000" w:sz="4" w:space="0"/>
                    <w:bottom w:val="single" w:color="000000" w:sz="4" w:space="0"/>
                    <w:right w:val="nil"/>
                  </w:tcBorders>
                  <w:shd w:val="clear" w:color="auto" w:fill="auto"/>
                  <w:vAlign w:val="center"/>
                </w:tcPr>
                <w:p w14:paraId="1B7E95C0">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b/>
                      <w:bCs/>
                      <w:szCs w:val="21"/>
                      <w:u w:val="single"/>
                    </w:rPr>
                    <w:t>20</w:t>
                  </w:r>
                </w:p>
              </w:tc>
              <w:tc>
                <w:tcPr>
                  <w:tcW w:w="406" w:type="pct"/>
                  <w:tcBorders>
                    <w:top w:val="single" w:color="000000" w:sz="4" w:space="0"/>
                    <w:left w:val="single" w:color="000000" w:sz="4" w:space="0"/>
                    <w:bottom w:val="single" w:color="000000" w:sz="4" w:space="0"/>
                    <w:right w:val="nil"/>
                  </w:tcBorders>
                  <w:shd w:val="clear" w:color="auto" w:fill="auto"/>
                  <w:vAlign w:val="center"/>
                </w:tcPr>
                <w:p w14:paraId="48CB1DDC">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eastAsia="宋体"/>
                      <w:b/>
                      <w:bCs/>
                      <w:sz w:val="21"/>
                      <w:szCs w:val="21"/>
                      <w:u w:val="single"/>
                      <w:lang w:val="en-US" w:eastAsia="zh-CN"/>
                    </w:rPr>
                  </w:pPr>
                  <w:r>
                    <w:rPr>
                      <w:rFonts w:hint="eastAsia"/>
                      <w:b/>
                      <w:bCs/>
                      <w:sz w:val="21"/>
                      <w:szCs w:val="21"/>
                      <w:u w:val="single"/>
                      <w:lang w:val="en-US" w:eastAsia="zh-CN"/>
                    </w:rPr>
                    <w:t>55</w:t>
                  </w:r>
                </w:p>
              </w:tc>
              <w:tc>
                <w:tcPr>
                  <w:tcW w:w="524" w:type="pct"/>
                  <w:tcBorders>
                    <w:top w:val="single" w:color="000000" w:sz="4" w:space="0"/>
                    <w:left w:val="single" w:color="000000" w:sz="4" w:space="0"/>
                    <w:bottom w:val="single" w:color="000000" w:sz="4" w:space="0"/>
                    <w:right w:val="nil"/>
                  </w:tcBorders>
                  <w:shd w:val="clear" w:color="auto" w:fill="auto"/>
                  <w:vAlign w:val="center"/>
                </w:tcPr>
                <w:p w14:paraId="7D5CE834">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eastAsia="宋体"/>
                      <w:b/>
                      <w:bCs/>
                      <w:sz w:val="21"/>
                      <w:szCs w:val="21"/>
                      <w:u w:val="single"/>
                      <w:lang w:val="en-US" w:eastAsia="zh-CN"/>
                    </w:rPr>
                  </w:pPr>
                  <w:r>
                    <w:rPr>
                      <w:rFonts w:hint="eastAsia"/>
                      <w:b/>
                      <w:bCs/>
                      <w:sz w:val="21"/>
                      <w:szCs w:val="21"/>
                      <w:u w:val="single"/>
                      <w:lang w:val="en-US" w:eastAsia="zh-CN"/>
                    </w:rPr>
                    <w:t>1</w:t>
                  </w:r>
                </w:p>
              </w:tc>
            </w:tr>
            <w:tr w14:paraId="33527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9F7B0">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筛选机</w:t>
                  </w:r>
                </w:p>
              </w:tc>
              <w:tc>
                <w:tcPr>
                  <w:tcW w:w="557" w:type="pct"/>
                  <w:tcBorders>
                    <w:top w:val="single" w:color="000000" w:sz="4" w:space="0"/>
                    <w:left w:val="single" w:color="000000" w:sz="4" w:space="0"/>
                    <w:bottom w:val="single" w:color="000000" w:sz="4" w:space="0"/>
                    <w:right w:val="nil"/>
                  </w:tcBorders>
                  <w:shd w:val="clear" w:color="auto" w:fill="auto"/>
                  <w:vAlign w:val="center"/>
                </w:tcPr>
                <w:p w14:paraId="156C6A48">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80</w:t>
                  </w:r>
                </w:p>
              </w:tc>
              <w:tc>
                <w:tcPr>
                  <w:tcW w:w="793" w:type="pct"/>
                  <w:tcBorders>
                    <w:top w:val="single" w:color="000000" w:sz="4" w:space="0"/>
                    <w:left w:val="single" w:color="000000" w:sz="4" w:space="0"/>
                    <w:bottom w:val="single" w:color="000000" w:sz="4" w:space="0"/>
                    <w:right w:val="nil"/>
                  </w:tcBorders>
                  <w:shd w:val="clear" w:color="auto" w:fill="auto"/>
                  <w:vAlign w:val="center"/>
                </w:tcPr>
                <w:p w14:paraId="37960E46">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b/>
                      <w:bCs/>
                      <w:sz w:val="21"/>
                      <w:szCs w:val="21"/>
                      <w:u w:val="single"/>
                    </w:rPr>
                    <w:t>基础减振＋厂房隔声</w:t>
                  </w:r>
                </w:p>
              </w:tc>
              <w:tc>
                <w:tcPr>
                  <w:tcW w:w="502" w:type="pct"/>
                  <w:tcBorders>
                    <w:top w:val="single" w:color="000000" w:sz="4" w:space="0"/>
                    <w:left w:val="single" w:color="000000" w:sz="4" w:space="0"/>
                    <w:bottom w:val="single" w:color="000000" w:sz="4" w:space="0"/>
                    <w:right w:val="nil"/>
                  </w:tcBorders>
                  <w:shd w:val="clear" w:color="auto" w:fill="auto"/>
                  <w:vAlign w:val="center"/>
                </w:tcPr>
                <w:p w14:paraId="7C8E4B33">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eastAsia="宋体"/>
                      <w:b/>
                      <w:bCs/>
                      <w:sz w:val="21"/>
                      <w:szCs w:val="21"/>
                      <w:u w:val="single"/>
                      <w:lang w:val="en-US" w:eastAsia="zh-CN"/>
                    </w:rPr>
                  </w:pPr>
                  <w:r>
                    <w:rPr>
                      <w:rFonts w:hint="eastAsia"/>
                      <w:b/>
                      <w:bCs/>
                      <w:sz w:val="21"/>
                      <w:szCs w:val="21"/>
                      <w:u w:val="single"/>
                      <w:lang w:val="en-US" w:eastAsia="zh-CN"/>
                    </w:rPr>
                    <w:t>5</w:t>
                  </w:r>
                </w:p>
              </w:tc>
              <w:tc>
                <w:tcPr>
                  <w:tcW w:w="411" w:type="pct"/>
                  <w:tcBorders>
                    <w:top w:val="single" w:color="000000" w:sz="4" w:space="0"/>
                    <w:left w:val="single" w:color="000000" w:sz="4" w:space="0"/>
                    <w:bottom w:val="single" w:color="000000" w:sz="4" w:space="0"/>
                    <w:right w:val="nil"/>
                  </w:tcBorders>
                  <w:shd w:val="clear" w:color="auto" w:fill="auto"/>
                  <w:vAlign w:val="center"/>
                </w:tcPr>
                <w:p w14:paraId="265EA0F8">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80</w:t>
                  </w:r>
                </w:p>
              </w:tc>
              <w:tc>
                <w:tcPr>
                  <w:tcW w:w="517" w:type="pct"/>
                  <w:tcBorders>
                    <w:top w:val="single" w:color="000000" w:sz="4" w:space="0"/>
                    <w:left w:val="single" w:color="000000" w:sz="4" w:space="0"/>
                    <w:bottom w:val="single" w:color="000000" w:sz="4" w:space="0"/>
                    <w:right w:val="nil"/>
                  </w:tcBorders>
                  <w:shd w:val="clear" w:color="auto" w:fill="auto"/>
                  <w:vAlign w:val="center"/>
                </w:tcPr>
                <w:p w14:paraId="146EA497">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cs="Times New Roman"/>
                      <w:b/>
                      <w:bCs/>
                      <w:i w:val="0"/>
                      <w:iCs w:val="0"/>
                      <w:color w:val="000000"/>
                      <w:kern w:val="0"/>
                      <w:sz w:val="21"/>
                      <w:szCs w:val="21"/>
                      <w:u w:val="single"/>
                      <w:lang w:val="en-US" w:eastAsia="zh-CN" w:bidi="ar"/>
                    </w:rPr>
                    <w:t>昼间</w:t>
                  </w:r>
                </w:p>
              </w:tc>
              <w:tc>
                <w:tcPr>
                  <w:tcW w:w="397" w:type="pct"/>
                  <w:tcBorders>
                    <w:top w:val="single" w:color="000000" w:sz="4" w:space="0"/>
                    <w:left w:val="single" w:color="000000" w:sz="4" w:space="0"/>
                    <w:bottom w:val="single" w:color="000000" w:sz="4" w:space="0"/>
                    <w:right w:val="nil"/>
                  </w:tcBorders>
                  <w:shd w:val="clear" w:color="auto" w:fill="auto"/>
                  <w:vAlign w:val="center"/>
                </w:tcPr>
                <w:p w14:paraId="6A53A64C">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b/>
                      <w:bCs/>
                      <w:szCs w:val="21"/>
                      <w:u w:val="single"/>
                    </w:rPr>
                    <w:t>20</w:t>
                  </w:r>
                </w:p>
              </w:tc>
              <w:tc>
                <w:tcPr>
                  <w:tcW w:w="406" w:type="pct"/>
                  <w:tcBorders>
                    <w:top w:val="single" w:color="000000" w:sz="4" w:space="0"/>
                    <w:left w:val="single" w:color="000000" w:sz="4" w:space="0"/>
                    <w:bottom w:val="single" w:color="000000" w:sz="4" w:space="0"/>
                    <w:right w:val="nil"/>
                  </w:tcBorders>
                  <w:shd w:val="clear" w:color="auto" w:fill="auto"/>
                  <w:vAlign w:val="center"/>
                </w:tcPr>
                <w:p w14:paraId="428D3E59">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eastAsia="宋体"/>
                      <w:b/>
                      <w:bCs/>
                      <w:sz w:val="21"/>
                      <w:szCs w:val="21"/>
                      <w:u w:val="single"/>
                      <w:lang w:val="en-US" w:eastAsia="zh-CN"/>
                    </w:rPr>
                  </w:pPr>
                  <w:r>
                    <w:rPr>
                      <w:rFonts w:hint="eastAsia"/>
                      <w:b/>
                      <w:bCs/>
                      <w:sz w:val="21"/>
                      <w:szCs w:val="21"/>
                      <w:u w:val="single"/>
                      <w:lang w:val="en-US" w:eastAsia="zh-CN"/>
                    </w:rPr>
                    <w:t>60</w:t>
                  </w:r>
                </w:p>
              </w:tc>
              <w:tc>
                <w:tcPr>
                  <w:tcW w:w="524" w:type="pct"/>
                  <w:tcBorders>
                    <w:top w:val="single" w:color="000000" w:sz="4" w:space="0"/>
                    <w:left w:val="single" w:color="000000" w:sz="4" w:space="0"/>
                    <w:bottom w:val="single" w:color="000000" w:sz="4" w:space="0"/>
                    <w:right w:val="nil"/>
                  </w:tcBorders>
                  <w:shd w:val="clear" w:color="auto" w:fill="auto"/>
                  <w:vAlign w:val="center"/>
                </w:tcPr>
                <w:p w14:paraId="281B4BEC">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b/>
                      <w:bCs/>
                      <w:sz w:val="21"/>
                      <w:szCs w:val="21"/>
                      <w:u w:val="single"/>
                      <w:lang w:val="en-US" w:eastAsia="zh-CN"/>
                    </w:rPr>
                    <w:t>1</w:t>
                  </w:r>
                </w:p>
              </w:tc>
            </w:tr>
            <w:tr w14:paraId="29CD1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4E8B2">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粗碎机</w:t>
                  </w:r>
                </w:p>
              </w:tc>
              <w:tc>
                <w:tcPr>
                  <w:tcW w:w="557" w:type="pct"/>
                  <w:tcBorders>
                    <w:top w:val="single" w:color="000000" w:sz="4" w:space="0"/>
                    <w:left w:val="single" w:color="000000" w:sz="4" w:space="0"/>
                    <w:bottom w:val="single" w:color="000000" w:sz="4" w:space="0"/>
                    <w:right w:val="nil"/>
                  </w:tcBorders>
                  <w:shd w:val="clear" w:color="auto" w:fill="auto"/>
                  <w:vAlign w:val="center"/>
                </w:tcPr>
                <w:p w14:paraId="7CA34AE6">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80</w:t>
                  </w:r>
                </w:p>
              </w:tc>
              <w:tc>
                <w:tcPr>
                  <w:tcW w:w="793" w:type="pct"/>
                  <w:tcBorders>
                    <w:top w:val="single" w:color="000000" w:sz="4" w:space="0"/>
                    <w:left w:val="single" w:color="000000" w:sz="4" w:space="0"/>
                    <w:bottom w:val="single" w:color="000000" w:sz="4" w:space="0"/>
                    <w:right w:val="nil"/>
                  </w:tcBorders>
                  <w:shd w:val="clear" w:color="auto" w:fill="auto"/>
                  <w:vAlign w:val="center"/>
                </w:tcPr>
                <w:p w14:paraId="329244D0">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b/>
                      <w:bCs/>
                      <w:sz w:val="21"/>
                      <w:szCs w:val="21"/>
                      <w:u w:val="single"/>
                    </w:rPr>
                    <w:t>基础减振＋厂房隔声</w:t>
                  </w:r>
                </w:p>
              </w:tc>
              <w:tc>
                <w:tcPr>
                  <w:tcW w:w="502" w:type="pct"/>
                  <w:tcBorders>
                    <w:top w:val="single" w:color="000000" w:sz="4" w:space="0"/>
                    <w:left w:val="single" w:color="000000" w:sz="4" w:space="0"/>
                    <w:bottom w:val="single" w:color="000000" w:sz="4" w:space="0"/>
                    <w:right w:val="nil"/>
                  </w:tcBorders>
                  <w:shd w:val="clear" w:color="auto" w:fill="auto"/>
                  <w:vAlign w:val="center"/>
                </w:tcPr>
                <w:p w14:paraId="3151924D">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eastAsia="宋体"/>
                      <w:b/>
                      <w:bCs/>
                      <w:sz w:val="21"/>
                      <w:szCs w:val="21"/>
                      <w:u w:val="single"/>
                      <w:lang w:val="en-US" w:eastAsia="zh-CN"/>
                    </w:rPr>
                  </w:pPr>
                  <w:r>
                    <w:rPr>
                      <w:rFonts w:hint="eastAsia"/>
                      <w:b/>
                      <w:bCs/>
                      <w:sz w:val="21"/>
                      <w:szCs w:val="21"/>
                      <w:u w:val="single"/>
                      <w:lang w:val="en-US" w:eastAsia="zh-CN"/>
                    </w:rPr>
                    <w:t>5</w:t>
                  </w:r>
                </w:p>
              </w:tc>
              <w:tc>
                <w:tcPr>
                  <w:tcW w:w="411" w:type="pct"/>
                  <w:tcBorders>
                    <w:top w:val="single" w:color="000000" w:sz="4" w:space="0"/>
                    <w:left w:val="single" w:color="000000" w:sz="4" w:space="0"/>
                    <w:bottom w:val="single" w:color="000000" w:sz="4" w:space="0"/>
                    <w:right w:val="nil"/>
                  </w:tcBorders>
                  <w:shd w:val="clear" w:color="auto" w:fill="auto"/>
                  <w:vAlign w:val="center"/>
                </w:tcPr>
                <w:p w14:paraId="07A3E4F7">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80</w:t>
                  </w:r>
                </w:p>
              </w:tc>
              <w:tc>
                <w:tcPr>
                  <w:tcW w:w="517" w:type="pct"/>
                  <w:tcBorders>
                    <w:top w:val="single" w:color="000000" w:sz="4" w:space="0"/>
                    <w:left w:val="single" w:color="000000" w:sz="4" w:space="0"/>
                    <w:bottom w:val="single" w:color="000000" w:sz="4" w:space="0"/>
                    <w:right w:val="nil"/>
                  </w:tcBorders>
                  <w:shd w:val="clear" w:color="auto" w:fill="auto"/>
                  <w:vAlign w:val="center"/>
                </w:tcPr>
                <w:p w14:paraId="7D34E224">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cs="Times New Roman"/>
                      <w:b/>
                      <w:bCs/>
                      <w:i w:val="0"/>
                      <w:iCs w:val="0"/>
                      <w:color w:val="000000"/>
                      <w:kern w:val="0"/>
                      <w:sz w:val="21"/>
                      <w:szCs w:val="21"/>
                      <w:u w:val="single"/>
                      <w:lang w:val="en-US" w:eastAsia="zh-CN" w:bidi="ar"/>
                    </w:rPr>
                    <w:t>昼间</w:t>
                  </w:r>
                </w:p>
              </w:tc>
              <w:tc>
                <w:tcPr>
                  <w:tcW w:w="397" w:type="pct"/>
                  <w:tcBorders>
                    <w:top w:val="single" w:color="000000" w:sz="4" w:space="0"/>
                    <w:left w:val="single" w:color="000000" w:sz="4" w:space="0"/>
                    <w:bottom w:val="single" w:color="000000" w:sz="4" w:space="0"/>
                    <w:right w:val="nil"/>
                  </w:tcBorders>
                  <w:shd w:val="clear" w:color="auto" w:fill="auto"/>
                  <w:vAlign w:val="center"/>
                </w:tcPr>
                <w:p w14:paraId="172E6575">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b/>
                      <w:bCs/>
                      <w:szCs w:val="21"/>
                      <w:u w:val="single"/>
                    </w:rPr>
                    <w:t>20</w:t>
                  </w:r>
                </w:p>
              </w:tc>
              <w:tc>
                <w:tcPr>
                  <w:tcW w:w="406" w:type="pct"/>
                  <w:tcBorders>
                    <w:top w:val="single" w:color="000000" w:sz="4" w:space="0"/>
                    <w:left w:val="single" w:color="000000" w:sz="4" w:space="0"/>
                    <w:bottom w:val="single" w:color="000000" w:sz="4" w:space="0"/>
                    <w:right w:val="nil"/>
                  </w:tcBorders>
                  <w:shd w:val="clear" w:color="auto" w:fill="auto"/>
                  <w:vAlign w:val="center"/>
                </w:tcPr>
                <w:p w14:paraId="5DCBECEA">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eastAsia="宋体"/>
                      <w:b/>
                      <w:bCs/>
                      <w:sz w:val="21"/>
                      <w:szCs w:val="21"/>
                      <w:u w:val="single"/>
                      <w:lang w:val="en-US" w:eastAsia="zh-CN"/>
                    </w:rPr>
                  </w:pPr>
                  <w:r>
                    <w:rPr>
                      <w:rFonts w:hint="eastAsia"/>
                      <w:b/>
                      <w:bCs/>
                      <w:sz w:val="21"/>
                      <w:szCs w:val="21"/>
                      <w:u w:val="single"/>
                      <w:lang w:val="en-US" w:eastAsia="zh-CN"/>
                    </w:rPr>
                    <w:t>60</w:t>
                  </w:r>
                </w:p>
              </w:tc>
              <w:tc>
                <w:tcPr>
                  <w:tcW w:w="524" w:type="pct"/>
                  <w:tcBorders>
                    <w:top w:val="single" w:color="000000" w:sz="4" w:space="0"/>
                    <w:left w:val="single" w:color="000000" w:sz="4" w:space="0"/>
                    <w:bottom w:val="single" w:color="000000" w:sz="4" w:space="0"/>
                    <w:right w:val="nil"/>
                  </w:tcBorders>
                  <w:shd w:val="clear" w:color="auto" w:fill="auto"/>
                  <w:vAlign w:val="center"/>
                </w:tcPr>
                <w:p w14:paraId="1FDAAEAA">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b/>
                      <w:bCs/>
                      <w:sz w:val="21"/>
                      <w:szCs w:val="21"/>
                      <w:u w:val="single"/>
                      <w:lang w:val="en-US" w:eastAsia="zh-CN"/>
                    </w:rPr>
                    <w:t>1</w:t>
                  </w:r>
                </w:p>
              </w:tc>
            </w:tr>
            <w:tr w14:paraId="477D2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7B5A5">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涡轮粉碎机</w:t>
                  </w:r>
                </w:p>
              </w:tc>
              <w:tc>
                <w:tcPr>
                  <w:tcW w:w="557" w:type="pct"/>
                  <w:tcBorders>
                    <w:top w:val="single" w:color="000000" w:sz="4" w:space="0"/>
                    <w:left w:val="single" w:color="000000" w:sz="4" w:space="0"/>
                    <w:bottom w:val="single" w:color="000000" w:sz="4" w:space="0"/>
                    <w:right w:val="nil"/>
                  </w:tcBorders>
                  <w:shd w:val="clear" w:color="auto" w:fill="auto"/>
                  <w:vAlign w:val="center"/>
                </w:tcPr>
                <w:p w14:paraId="71A51087">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80</w:t>
                  </w:r>
                </w:p>
              </w:tc>
              <w:tc>
                <w:tcPr>
                  <w:tcW w:w="793" w:type="pct"/>
                  <w:tcBorders>
                    <w:top w:val="single" w:color="000000" w:sz="4" w:space="0"/>
                    <w:left w:val="single" w:color="000000" w:sz="4" w:space="0"/>
                    <w:bottom w:val="single" w:color="000000" w:sz="4" w:space="0"/>
                    <w:right w:val="nil"/>
                  </w:tcBorders>
                  <w:shd w:val="clear" w:color="auto" w:fill="auto"/>
                  <w:vAlign w:val="center"/>
                </w:tcPr>
                <w:p w14:paraId="714DA58D">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b/>
                      <w:bCs/>
                      <w:sz w:val="21"/>
                      <w:szCs w:val="21"/>
                      <w:u w:val="single"/>
                    </w:rPr>
                    <w:t>基础减振＋厂房隔声</w:t>
                  </w:r>
                </w:p>
              </w:tc>
              <w:tc>
                <w:tcPr>
                  <w:tcW w:w="502" w:type="pct"/>
                  <w:tcBorders>
                    <w:top w:val="single" w:color="000000" w:sz="4" w:space="0"/>
                    <w:left w:val="single" w:color="000000" w:sz="4" w:space="0"/>
                    <w:bottom w:val="single" w:color="000000" w:sz="4" w:space="0"/>
                    <w:right w:val="nil"/>
                  </w:tcBorders>
                  <w:shd w:val="clear" w:color="auto" w:fill="auto"/>
                  <w:vAlign w:val="center"/>
                </w:tcPr>
                <w:p w14:paraId="697A50B9">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eastAsia="宋体"/>
                      <w:b/>
                      <w:bCs/>
                      <w:sz w:val="21"/>
                      <w:szCs w:val="21"/>
                      <w:u w:val="single"/>
                      <w:lang w:val="en-US" w:eastAsia="zh-CN"/>
                    </w:rPr>
                  </w:pPr>
                  <w:r>
                    <w:rPr>
                      <w:rFonts w:hint="eastAsia"/>
                      <w:b/>
                      <w:bCs/>
                      <w:sz w:val="21"/>
                      <w:szCs w:val="21"/>
                      <w:u w:val="single"/>
                      <w:lang w:val="en-US" w:eastAsia="zh-CN"/>
                    </w:rPr>
                    <w:t>5</w:t>
                  </w:r>
                </w:p>
              </w:tc>
              <w:tc>
                <w:tcPr>
                  <w:tcW w:w="411" w:type="pct"/>
                  <w:tcBorders>
                    <w:top w:val="single" w:color="000000" w:sz="4" w:space="0"/>
                    <w:left w:val="single" w:color="000000" w:sz="4" w:space="0"/>
                    <w:bottom w:val="single" w:color="000000" w:sz="4" w:space="0"/>
                    <w:right w:val="nil"/>
                  </w:tcBorders>
                  <w:shd w:val="clear" w:color="auto" w:fill="auto"/>
                  <w:vAlign w:val="center"/>
                </w:tcPr>
                <w:p w14:paraId="008C13AF">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80</w:t>
                  </w:r>
                </w:p>
              </w:tc>
              <w:tc>
                <w:tcPr>
                  <w:tcW w:w="517" w:type="pct"/>
                  <w:tcBorders>
                    <w:top w:val="single" w:color="000000" w:sz="4" w:space="0"/>
                    <w:left w:val="single" w:color="000000" w:sz="4" w:space="0"/>
                    <w:bottom w:val="single" w:color="000000" w:sz="4" w:space="0"/>
                    <w:right w:val="nil"/>
                  </w:tcBorders>
                  <w:shd w:val="clear" w:color="auto" w:fill="auto"/>
                  <w:vAlign w:val="center"/>
                </w:tcPr>
                <w:p w14:paraId="2F520BAF">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cs="Times New Roman"/>
                      <w:b/>
                      <w:bCs/>
                      <w:i w:val="0"/>
                      <w:iCs w:val="0"/>
                      <w:color w:val="000000"/>
                      <w:kern w:val="0"/>
                      <w:sz w:val="21"/>
                      <w:szCs w:val="21"/>
                      <w:u w:val="single"/>
                      <w:lang w:val="en-US" w:eastAsia="zh-CN" w:bidi="ar"/>
                    </w:rPr>
                    <w:t>昼间</w:t>
                  </w:r>
                </w:p>
              </w:tc>
              <w:tc>
                <w:tcPr>
                  <w:tcW w:w="397" w:type="pct"/>
                  <w:tcBorders>
                    <w:top w:val="single" w:color="000000" w:sz="4" w:space="0"/>
                    <w:left w:val="single" w:color="000000" w:sz="4" w:space="0"/>
                    <w:bottom w:val="single" w:color="000000" w:sz="4" w:space="0"/>
                    <w:right w:val="nil"/>
                  </w:tcBorders>
                  <w:shd w:val="clear" w:color="auto" w:fill="auto"/>
                  <w:vAlign w:val="center"/>
                </w:tcPr>
                <w:p w14:paraId="6D2DCCBC">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b/>
                      <w:bCs/>
                      <w:szCs w:val="21"/>
                      <w:u w:val="single"/>
                    </w:rPr>
                    <w:t>20</w:t>
                  </w:r>
                </w:p>
              </w:tc>
              <w:tc>
                <w:tcPr>
                  <w:tcW w:w="406" w:type="pct"/>
                  <w:tcBorders>
                    <w:top w:val="single" w:color="000000" w:sz="4" w:space="0"/>
                    <w:left w:val="single" w:color="000000" w:sz="4" w:space="0"/>
                    <w:bottom w:val="single" w:color="000000" w:sz="4" w:space="0"/>
                    <w:right w:val="nil"/>
                  </w:tcBorders>
                  <w:shd w:val="clear" w:color="auto" w:fill="auto"/>
                  <w:vAlign w:val="center"/>
                </w:tcPr>
                <w:p w14:paraId="5F34C773">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eastAsia="宋体"/>
                      <w:b/>
                      <w:bCs/>
                      <w:sz w:val="21"/>
                      <w:szCs w:val="21"/>
                      <w:u w:val="single"/>
                      <w:lang w:val="en-US" w:eastAsia="zh-CN"/>
                    </w:rPr>
                  </w:pPr>
                  <w:r>
                    <w:rPr>
                      <w:rFonts w:hint="eastAsia"/>
                      <w:b/>
                      <w:bCs/>
                      <w:sz w:val="21"/>
                      <w:szCs w:val="21"/>
                      <w:u w:val="single"/>
                      <w:lang w:val="en-US" w:eastAsia="zh-CN"/>
                    </w:rPr>
                    <w:t>60</w:t>
                  </w:r>
                </w:p>
              </w:tc>
              <w:tc>
                <w:tcPr>
                  <w:tcW w:w="524" w:type="pct"/>
                  <w:tcBorders>
                    <w:top w:val="single" w:color="000000" w:sz="4" w:space="0"/>
                    <w:left w:val="single" w:color="000000" w:sz="4" w:space="0"/>
                    <w:bottom w:val="single" w:color="000000" w:sz="4" w:space="0"/>
                    <w:right w:val="nil"/>
                  </w:tcBorders>
                  <w:shd w:val="clear" w:color="auto" w:fill="auto"/>
                  <w:vAlign w:val="center"/>
                </w:tcPr>
                <w:p w14:paraId="528BCA89">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b/>
                      <w:bCs/>
                      <w:sz w:val="21"/>
                      <w:szCs w:val="21"/>
                      <w:u w:val="single"/>
                      <w:lang w:val="en-US" w:eastAsia="zh-CN"/>
                    </w:rPr>
                    <w:t>1</w:t>
                  </w:r>
                </w:p>
              </w:tc>
            </w:tr>
            <w:tr w14:paraId="7AE01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7232E">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水环式真空泵</w:t>
                  </w:r>
                </w:p>
              </w:tc>
              <w:tc>
                <w:tcPr>
                  <w:tcW w:w="557" w:type="pct"/>
                  <w:tcBorders>
                    <w:top w:val="single" w:color="000000" w:sz="4" w:space="0"/>
                    <w:left w:val="single" w:color="000000" w:sz="4" w:space="0"/>
                    <w:bottom w:val="single" w:color="000000" w:sz="4" w:space="0"/>
                    <w:right w:val="nil"/>
                  </w:tcBorders>
                  <w:shd w:val="clear" w:color="auto" w:fill="auto"/>
                  <w:vAlign w:val="center"/>
                </w:tcPr>
                <w:p w14:paraId="134D3970">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90</w:t>
                  </w:r>
                </w:p>
              </w:tc>
              <w:tc>
                <w:tcPr>
                  <w:tcW w:w="793" w:type="pct"/>
                  <w:tcBorders>
                    <w:top w:val="single" w:color="000000" w:sz="4" w:space="0"/>
                    <w:left w:val="single" w:color="000000" w:sz="4" w:space="0"/>
                    <w:bottom w:val="single" w:color="000000" w:sz="4" w:space="0"/>
                    <w:right w:val="nil"/>
                  </w:tcBorders>
                  <w:shd w:val="clear" w:color="auto" w:fill="auto"/>
                  <w:vAlign w:val="center"/>
                </w:tcPr>
                <w:p w14:paraId="2C6DAAAF">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b/>
                      <w:bCs/>
                      <w:sz w:val="21"/>
                      <w:szCs w:val="21"/>
                      <w:u w:val="single"/>
                    </w:rPr>
                    <w:t>基础减振＋厂房隔声</w:t>
                  </w:r>
                </w:p>
              </w:tc>
              <w:tc>
                <w:tcPr>
                  <w:tcW w:w="502" w:type="pct"/>
                  <w:tcBorders>
                    <w:top w:val="single" w:color="000000" w:sz="4" w:space="0"/>
                    <w:left w:val="single" w:color="000000" w:sz="4" w:space="0"/>
                    <w:bottom w:val="single" w:color="000000" w:sz="4" w:space="0"/>
                    <w:right w:val="nil"/>
                  </w:tcBorders>
                  <w:shd w:val="clear" w:color="auto" w:fill="auto"/>
                  <w:vAlign w:val="center"/>
                </w:tcPr>
                <w:p w14:paraId="13E56731">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eastAsia="宋体"/>
                      <w:b/>
                      <w:bCs/>
                      <w:sz w:val="21"/>
                      <w:szCs w:val="21"/>
                      <w:u w:val="single"/>
                      <w:lang w:val="en-US" w:eastAsia="zh-CN"/>
                    </w:rPr>
                  </w:pPr>
                  <w:r>
                    <w:rPr>
                      <w:rFonts w:hint="eastAsia"/>
                      <w:b/>
                      <w:bCs/>
                      <w:sz w:val="21"/>
                      <w:szCs w:val="21"/>
                      <w:u w:val="single"/>
                      <w:lang w:val="en-US" w:eastAsia="zh-CN"/>
                    </w:rPr>
                    <w:t>5</w:t>
                  </w:r>
                </w:p>
              </w:tc>
              <w:tc>
                <w:tcPr>
                  <w:tcW w:w="411" w:type="pct"/>
                  <w:tcBorders>
                    <w:top w:val="single" w:color="000000" w:sz="4" w:space="0"/>
                    <w:left w:val="single" w:color="000000" w:sz="4" w:space="0"/>
                    <w:bottom w:val="single" w:color="000000" w:sz="4" w:space="0"/>
                    <w:right w:val="nil"/>
                  </w:tcBorders>
                  <w:shd w:val="clear" w:color="auto" w:fill="auto"/>
                  <w:vAlign w:val="center"/>
                </w:tcPr>
                <w:p w14:paraId="462BB7F3">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90</w:t>
                  </w:r>
                </w:p>
              </w:tc>
              <w:tc>
                <w:tcPr>
                  <w:tcW w:w="517" w:type="pct"/>
                  <w:tcBorders>
                    <w:top w:val="single" w:color="000000" w:sz="4" w:space="0"/>
                    <w:left w:val="single" w:color="000000" w:sz="4" w:space="0"/>
                    <w:bottom w:val="single" w:color="000000" w:sz="4" w:space="0"/>
                    <w:right w:val="nil"/>
                  </w:tcBorders>
                  <w:shd w:val="clear" w:color="auto" w:fill="auto"/>
                  <w:vAlign w:val="center"/>
                </w:tcPr>
                <w:p w14:paraId="48DC8EDC">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cs="Times New Roman"/>
                      <w:b/>
                      <w:bCs/>
                      <w:i w:val="0"/>
                      <w:iCs w:val="0"/>
                      <w:color w:val="000000"/>
                      <w:kern w:val="0"/>
                      <w:sz w:val="21"/>
                      <w:szCs w:val="21"/>
                      <w:u w:val="single"/>
                      <w:lang w:val="en-US" w:eastAsia="zh-CN" w:bidi="ar"/>
                    </w:rPr>
                    <w:t>昼间</w:t>
                  </w:r>
                </w:p>
              </w:tc>
              <w:tc>
                <w:tcPr>
                  <w:tcW w:w="397" w:type="pct"/>
                  <w:tcBorders>
                    <w:top w:val="single" w:color="000000" w:sz="4" w:space="0"/>
                    <w:left w:val="single" w:color="000000" w:sz="4" w:space="0"/>
                    <w:bottom w:val="single" w:color="000000" w:sz="4" w:space="0"/>
                    <w:right w:val="nil"/>
                  </w:tcBorders>
                  <w:shd w:val="clear" w:color="auto" w:fill="auto"/>
                  <w:vAlign w:val="center"/>
                </w:tcPr>
                <w:p w14:paraId="4E751296">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b/>
                      <w:bCs/>
                      <w:szCs w:val="21"/>
                      <w:u w:val="single"/>
                    </w:rPr>
                    <w:t>20</w:t>
                  </w:r>
                </w:p>
              </w:tc>
              <w:tc>
                <w:tcPr>
                  <w:tcW w:w="406" w:type="pct"/>
                  <w:tcBorders>
                    <w:top w:val="single" w:color="000000" w:sz="4" w:space="0"/>
                    <w:left w:val="single" w:color="000000" w:sz="4" w:space="0"/>
                    <w:bottom w:val="single" w:color="000000" w:sz="4" w:space="0"/>
                    <w:right w:val="nil"/>
                  </w:tcBorders>
                  <w:shd w:val="clear" w:color="auto" w:fill="auto"/>
                  <w:vAlign w:val="center"/>
                </w:tcPr>
                <w:p w14:paraId="7013A8D9">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eastAsia="宋体"/>
                      <w:b/>
                      <w:bCs/>
                      <w:sz w:val="21"/>
                      <w:szCs w:val="21"/>
                      <w:u w:val="single"/>
                      <w:lang w:val="en-US" w:eastAsia="zh-CN"/>
                    </w:rPr>
                  </w:pPr>
                  <w:r>
                    <w:rPr>
                      <w:rFonts w:hint="eastAsia"/>
                      <w:b/>
                      <w:bCs/>
                      <w:sz w:val="21"/>
                      <w:szCs w:val="21"/>
                      <w:u w:val="single"/>
                      <w:lang w:val="en-US" w:eastAsia="zh-CN"/>
                    </w:rPr>
                    <w:t>70</w:t>
                  </w:r>
                </w:p>
              </w:tc>
              <w:tc>
                <w:tcPr>
                  <w:tcW w:w="524" w:type="pct"/>
                  <w:tcBorders>
                    <w:top w:val="single" w:color="000000" w:sz="4" w:space="0"/>
                    <w:left w:val="single" w:color="000000" w:sz="4" w:space="0"/>
                    <w:bottom w:val="single" w:color="000000" w:sz="4" w:space="0"/>
                    <w:right w:val="nil"/>
                  </w:tcBorders>
                  <w:shd w:val="clear" w:color="auto" w:fill="auto"/>
                  <w:vAlign w:val="center"/>
                </w:tcPr>
                <w:p w14:paraId="7116BED3">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b/>
                      <w:bCs/>
                      <w:sz w:val="21"/>
                      <w:szCs w:val="21"/>
                      <w:u w:val="single"/>
                      <w:lang w:val="en-US" w:eastAsia="zh-CN"/>
                    </w:rPr>
                    <w:t>1</w:t>
                  </w:r>
                </w:p>
              </w:tc>
            </w:tr>
            <w:tr w14:paraId="0A13C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4B689">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喷雾干燥机</w:t>
                  </w:r>
                </w:p>
              </w:tc>
              <w:tc>
                <w:tcPr>
                  <w:tcW w:w="557" w:type="pct"/>
                  <w:tcBorders>
                    <w:top w:val="single" w:color="000000" w:sz="4" w:space="0"/>
                    <w:left w:val="single" w:color="000000" w:sz="4" w:space="0"/>
                    <w:bottom w:val="single" w:color="000000" w:sz="4" w:space="0"/>
                    <w:right w:val="nil"/>
                  </w:tcBorders>
                  <w:shd w:val="clear" w:color="auto" w:fill="auto"/>
                  <w:vAlign w:val="center"/>
                </w:tcPr>
                <w:p w14:paraId="69300413">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85</w:t>
                  </w:r>
                </w:p>
              </w:tc>
              <w:tc>
                <w:tcPr>
                  <w:tcW w:w="793" w:type="pct"/>
                  <w:tcBorders>
                    <w:top w:val="single" w:color="000000" w:sz="4" w:space="0"/>
                    <w:left w:val="single" w:color="000000" w:sz="4" w:space="0"/>
                    <w:bottom w:val="single" w:color="000000" w:sz="4" w:space="0"/>
                    <w:right w:val="nil"/>
                  </w:tcBorders>
                  <w:shd w:val="clear" w:color="auto" w:fill="auto"/>
                  <w:vAlign w:val="center"/>
                </w:tcPr>
                <w:p w14:paraId="79832854">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b/>
                      <w:bCs/>
                      <w:sz w:val="21"/>
                      <w:szCs w:val="21"/>
                      <w:u w:val="single"/>
                    </w:rPr>
                    <w:t>基础减振＋厂房隔声</w:t>
                  </w:r>
                </w:p>
              </w:tc>
              <w:tc>
                <w:tcPr>
                  <w:tcW w:w="502" w:type="pct"/>
                  <w:tcBorders>
                    <w:top w:val="single" w:color="000000" w:sz="4" w:space="0"/>
                    <w:left w:val="single" w:color="000000" w:sz="4" w:space="0"/>
                    <w:bottom w:val="single" w:color="000000" w:sz="4" w:space="0"/>
                    <w:right w:val="nil"/>
                  </w:tcBorders>
                  <w:shd w:val="clear" w:color="auto" w:fill="auto"/>
                  <w:vAlign w:val="center"/>
                </w:tcPr>
                <w:p w14:paraId="568739D9">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eastAsia="宋体"/>
                      <w:b/>
                      <w:bCs/>
                      <w:sz w:val="21"/>
                      <w:szCs w:val="21"/>
                      <w:u w:val="single"/>
                      <w:lang w:val="en-US" w:eastAsia="zh-CN"/>
                    </w:rPr>
                  </w:pPr>
                  <w:r>
                    <w:rPr>
                      <w:rFonts w:hint="eastAsia"/>
                      <w:b/>
                      <w:bCs/>
                      <w:sz w:val="21"/>
                      <w:szCs w:val="21"/>
                      <w:u w:val="single"/>
                      <w:lang w:val="en-US" w:eastAsia="zh-CN"/>
                    </w:rPr>
                    <w:t>5</w:t>
                  </w:r>
                </w:p>
              </w:tc>
              <w:tc>
                <w:tcPr>
                  <w:tcW w:w="411" w:type="pct"/>
                  <w:tcBorders>
                    <w:top w:val="single" w:color="000000" w:sz="4" w:space="0"/>
                    <w:left w:val="single" w:color="000000" w:sz="4" w:space="0"/>
                    <w:bottom w:val="single" w:color="000000" w:sz="4" w:space="0"/>
                    <w:right w:val="nil"/>
                  </w:tcBorders>
                  <w:shd w:val="clear" w:color="auto" w:fill="auto"/>
                  <w:vAlign w:val="center"/>
                </w:tcPr>
                <w:p w14:paraId="00CDB3CC">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85</w:t>
                  </w:r>
                </w:p>
              </w:tc>
              <w:tc>
                <w:tcPr>
                  <w:tcW w:w="517" w:type="pct"/>
                  <w:tcBorders>
                    <w:top w:val="single" w:color="000000" w:sz="4" w:space="0"/>
                    <w:left w:val="single" w:color="000000" w:sz="4" w:space="0"/>
                    <w:bottom w:val="single" w:color="000000" w:sz="4" w:space="0"/>
                    <w:right w:val="nil"/>
                  </w:tcBorders>
                  <w:shd w:val="clear" w:color="auto" w:fill="auto"/>
                  <w:vAlign w:val="center"/>
                </w:tcPr>
                <w:p w14:paraId="2645F570">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cs="Times New Roman"/>
                      <w:b/>
                      <w:bCs/>
                      <w:i w:val="0"/>
                      <w:iCs w:val="0"/>
                      <w:color w:val="000000"/>
                      <w:kern w:val="0"/>
                      <w:sz w:val="21"/>
                      <w:szCs w:val="21"/>
                      <w:u w:val="single"/>
                      <w:lang w:val="en-US" w:eastAsia="zh-CN" w:bidi="ar"/>
                    </w:rPr>
                    <w:t>昼间</w:t>
                  </w:r>
                </w:p>
              </w:tc>
              <w:tc>
                <w:tcPr>
                  <w:tcW w:w="397" w:type="pct"/>
                  <w:tcBorders>
                    <w:top w:val="single" w:color="000000" w:sz="4" w:space="0"/>
                    <w:left w:val="single" w:color="000000" w:sz="4" w:space="0"/>
                    <w:bottom w:val="single" w:color="000000" w:sz="4" w:space="0"/>
                    <w:right w:val="nil"/>
                  </w:tcBorders>
                  <w:shd w:val="clear" w:color="auto" w:fill="auto"/>
                  <w:vAlign w:val="center"/>
                </w:tcPr>
                <w:p w14:paraId="05E6C95E">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b/>
                      <w:bCs/>
                      <w:szCs w:val="21"/>
                      <w:u w:val="single"/>
                    </w:rPr>
                    <w:t>20</w:t>
                  </w:r>
                </w:p>
              </w:tc>
              <w:tc>
                <w:tcPr>
                  <w:tcW w:w="406" w:type="pct"/>
                  <w:tcBorders>
                    <w:top w:val="single" w:color="000000" w:sz="4" w:space="0"/>
                    <w:left w:val="single" w:color="000000" w:sz="4" w:space="0"/>
                    <w:bottom w:val="single" w:color="000000" w:sz="4" w:space="0"/>
                    <w:right w:val="nil"/>
                  </w:tcBorders>
                  <w:shd w:val="clear" w:color="auto" w:fill="auto"/>
                  <w:vAlign w:val="center"/>
                </w:tcPr>
                <w:p w14:paraId="47023C53">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eastAsia="宋体"/>
                      <w:b/>
                      <w:bCs/>
                      <w:sz w:val="21"/>
                      <w:szCs w:val="21"/>
                      <w:u w:val="single"/>
                      <w:lang w:val="en-US" w:eastAsia="zh-CN"/>
                    </w:rPr>
                  </w:pPr>
                  <w:r>
                    <w:rPr>
                      <w:rFonts w:hint="eastAsia"/>
                      <w:b/>
                      <w:bCs/>
                      <w:sz w:val="21"/>
                      <w:szCs w:val="21"/>
                      <w:u w:val="single"/>
                      <w:lang w:val="en-US" w:eastAsia="zh-CN"/>
                    </w:rPr>
                    <w:t>65</w:t>
                  </w:r>
                </w:p>
              </w:tc>
              <w:tc>
                <w:tcPr>
                  <w:tcW w:w="524" w:type="pct"/>
                  <w:tcBorders>
                    <w:top w:val="single" w:color="000000" w:sz="4" w:space="0"/>
                    <w:left w:val="single" w:color="000000" w:sz="4" w:space="0"/>
                    <w:bottom w:val="single" w:color="000000" w:sz="4" w:space="0"/>
                    <w:right w:val="nil"/>
                  </w:tcBorders>
                  <w:shd w:val="clear" w:color="auto" w:fill="auto"/>
                  <w:vAlign w:val="center"/>
                </w:tcPr>
                <w:p w14:paraId="02891A2D">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b/>
                      <w:bCs/>
                      <w:sz w:val="21"/>
                      <w:szCs w:val="21"/>
                      <w:u w:val="single"/>
                      <w:lang w:val="en-US" w:eastAsia="zh-CN"/>
                    </w:rPr>
                    <w:t>1</w:t>
                  </w:r>
                </w:p>
              </w:tc>
            </w:tr>
            <w:tr w14:paraId="67FD4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F0D32">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三维混合机</w:t>
                  </w:r>
                </w:p>
              </w:tc>
              <w:tc>
                <w:tcPr>
                  <w:tcW w:w="557" w:type="pct"/>
                  <w:tcBorders>
                    <w:top w:val="single" w:color="000000" w:sz="4" w:space="0"/>
                    <w:left w:val="single" w:color="000000" w:sz="4" w:space="0"/>
                    <w:bottom w:val="single" w:color="000000" w:sz="4" w:space="0"/>
                    <w:right w:val="nil"/>
                  </w:tcBorders>
                  <w:shd w:val="clear" w:color="auto" w:fill="auto"/>
                  <w:vAlign w:val="center"/>
                </w:tcPr>
                <w:p w14:paraId="3CC629E6">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70</w:t>
                  </w:r>
                </w:p>
              </w:tc>
              <w:tc>
                <w:tcPr>
                  <w:tcW w:w="793" w:type="pct"/>
                  <w:tcBorders>
                    <w:top w:val="single" w:color="000000" w:sz="4" w:space="0"/>
                    <w:left w:val="single" w:color="000000" w:sz="4" w:space="0"/>
                    <w:bottom w:val="single" w:color="000000" w:sz="4" w:space="0"/>
                    <w:right w:val="nil"/>
                  </w:tcBorders>
                  <w:shd w:val="clear" w:color="auto" w:fill="auto"/>
                  <w:vAlign w:val="center"/>
                </w:tcPr>
                <w:p w14:paraId="07EE3486">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b/>
                      <w:bCs/>
                      <w:sz w:val="21"/>
                      <w:szCs w:val="21"/>
                      <w:u w:val="single"/>
                    </w:rPr>
                    <w:t>基础减振＋厂房隔声</w:t>
                  </w:r>
                </w:p>
              </w:tc>
              <w:tc>
                <w:tcPr>
                  <w:tcW w:w="502" w:type="pct"/>
                  <w:tcBorders>
                    <w:top w:val="single" w:color="000000" w:sz="4" w:space="0"/>
                    <w:left w:val="single" w:color="000000" w:sz="4" w:space="0"/>
                    <w:bottom w:val="single" w:color="000000" w:sz="4" w:space="0"/>
                    <w:right w:val="nil"/>
                  </w:tcBorders>
                  <w:shd w:val="clear" w:color="auto" w:fill="auto"/>
                  <w:vAlign w:val="center"/>
                </w:tcPr>
                <w:p w14:paraId="76689D4D">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eastAsia="宋体"/>
                      <w:b/>
                      <w:bCs/>
                      <w:sz w:val="21"/>
                      <w:szCs w:val="21"/>
                      <w:u w:val="single"/>
                      <w:lang w:val="en-US" w:eastAsia="zh-CN"/>
                    </w:rPr>
                  </w:pPr>
                  <w:r>
                    <w:rPr>
                      <w:rFonts w:hint="eastAsia"/>
                      <w:b/>
                      <w:bCs/>
                      <w:sz w:val="21"/>
                      <w:szCs w:val="21"/>
                      <w:u w:val="single"/>
                      <w:lang w:val="en-US" w:eastAsia="zh-CN"/>
                    </w:rPr>
                    <w:t>5</w:t>
                  </w:r>
                </w:p>
              </w:tc>
              <w:tc>
                <w:tcPr>
                  <w:tcW w:w="411" w:type="pct"/>
                  <w:tcBorders>
                    <w:top w:val="single" w:color="000000" w:sz="4" w:space="0"/>
                    <w:left w:val="single" w:color="000000" w:sz="4" w:space="0"/>
                    <w:bottom w:val="single" w:color="000000" w:sz="4" w:space="0"/>
                    <w:right w:val="nil"/>
                  </w:tcBorders>
                  <w:shd w:val="clear" w:color="auto" w:fill="auto"/>
                  <w:vAlign w:val="center"/>
                </w:tcPr>
                <w:p w14:paraId="7B70A0F6">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70</w:t>
                  </w:r>
                </w:p>
              </w:tc>
              <w:tc>
                <w:tcPr>
                  <w:tcW w:w="517" w:type="pct"/>
                  <w:tcBorders>
                    <w:top w:val="single" w:color="000000" w:sz="4" w:space="0"/>
                    <w:left w:val="single" w:color="000000" w:sz="4" w:space="0"/>
                    <w:bottom w:val="single" w:color="000000" w:sz="4" w:space="0"/>
                    <w:right w:val="nil"/>
                  </w:tcBorders>
                  <w:shd w:val="clear" w:color="auto" w:fill="auto"/>
                  <w:vAlign w:val="center"/>
                </w:tcPr>
                <w:p w14:paraId="12EC90E4">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cs="Times New Roman"/>
                      <w:b/>
                      <w:bCs/>
                      <w:i w:val="0"/>
                      <w:iCs w:val="0"/>
                      <w:color w:val="000000"/>
                      <w:kern w:val="0"/>
                      <w:sz w:val="21"/>
                      <w:szCs w:val="21"/>
                      <w:u w:val="single"/>
                      <w:lang w:val="en-US" w:eastAsia="zh-CN" w:bidi="ar"/>
                    </w:rPr>
                    <w:t>昼间</w:t>
                  </w:r>
                </w:p>
              </w:tc>
              <w:tc>
                <w:tcPr>
                  <w:tcW w:w="397" w:type="pct"/>
                  <w:tcBorders>
                    <w:top w:val="single" w:color="000000" w:sz="4" w:space="0"/>
                    <w:left w:val="single" w:color="000000" w:sz="4" w:space="0"/>
                    <w:bottom w:val="single" w:color="000000" w:sz="4" w:space="0"/>
                    <w:right w:val="nil"/>
                  </w:tcBorders>
                  <w:shd w:val="clear" w:color="auto" w:fill="auto"/>
                  <w:vAlign w:val="center"/>
                </w:tcPr>
                <w:p w14:paraId="7B5F4D2E">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b/>
                      <w:bCs/>
                      <w:szCs w:val="21"/>
                      <w:u w:val="single"/>
                    </w:rPr>
                    <w:t>20</w:t>
                  </w:r>
                </w:p>
              </w:tc>
              <w:tc>
                <w:tcPr>
                  <w:tcW w:w="406" w:type="pct"/>
                  <w:tcBorders>
                    <w:top w:val="single" w:color="000000" w:sz="4" w:space="0"/>
                    <w:left w:val="single" w:color="000000" w:sz="4" w:space="0"/>
                    <w:bottom w:val="single" w:color="000000" w:sz="4" w:space="0"/>
                    <w:right w:val="nil"/>
                  </w:tcBorders>
                  <w:shd w:val="clear" w:color="auto" w:fill="auto"/>
                  <w:vAlign w:val="center"/>
                </w:tcPr>
                <w:p w14:paraId="6192EFBC">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eastAsia="宋体"/>
                      <w:b/>
                      <w:bCs/>
                      <w:sz w:val="21"/>
                      <w:szCs w:val="21"/>
                      <w:u w:val="single"/>
                      <w:lang w:val="en-US" w:eastAsia="zh-CN"/>
                    </w:rPr>
                  </w:pPr>
                  <w:r>
                    <w:rPr>
                      <w:rFonts w:hint="eastAsia"/>
                      <w:b/>
                      <w:bCs/>
                      <w:sz w:val="21"/>
                      <w:szCs w:val="21"/>
                      <w:u w:val="single"/>
                      <w:lang w:val="en-US" w:eastAsia="zh-CN"/>
                    </w:rPr>
                    <w:t>50</w:t>
                  </w:r>
                </w:p>
              </w:tc>
              <w:tc>
                <w:tcPr>
                  <w:tcW w:w="524" w:type="pct"/>
                  <w:tcBorders>
                    <w:top w:val="single" w:color="000000" w:sz="4" w:space="0"/>
                    <w:left w:val="single" w:color="000000" w:sz="4" w:space="0"/>
                    <w:bottom w:val="single" w:color="000000" w:sz="4" w:space="0"/>
                    <w:right w:val="nil"/>
                  </w:tcBorders>
                  <w:shd w:val="clear" w:color="auto" w:fill="auto"/>
                  <w:vAlign w:val="center"/>
                </w:tcPr>
                <w:p w14:paraId="43EB858C">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b/>
                      <w:bCs/>
                      <w:sz w:val="21"/>
                      <w:szCs w:val="21"/>
                      <w:u w:val="single"/>
                      <w:lang w:val="en-US" w:eastAsia="zh-CN"/>
                    </w:rPr>
                    <w:t>1</w:t>
                  </w:r>
                </w:p>
              </w:tc>
            </w:tr>
            <w:tr w14:paraId="0A1FF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9AF27">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制粒机</w:t>
                  </w:r>
                </w:p>
              </w:tc>
              <w:tc>
                <w:tcPr>
                  <w:tcW w:w="557" w:type="pct"/>
                  <w:tcBorders>
                    <w:top w:val="single" w:color="000000" w:sz="4" w:space="0"/>
                    <w:left w:val="single" w:color="000000" w:sz="4" w:space="0"/>
                    <w:bottom w:val="single" w:color="000000" w:sz="4" w:space="0"/>
                    <w:right w:val="nil"/>
                  </w:tcBorders>
                  <w:shd w:val="clear" w:color="auto" w:fill="auto"/>
                  <w:vAlign w:val="center"/>
                </w:tcPr>
                <w:p w14:paraId="2C694871">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75</w:t>
                  </w:r>
                </w:p>
              </w:tc>
              <w:tc>
                <w:tcPr>
                  <w:tcW w:w="793" w:type="pct"/>
                  <w:tcBorders>
                    <w:top w:val="single" w:color="000000" w:sz="4" w:space="0"/>
                    <w:left w:val="single" w:color="000000" w:sz="4" w:space="0"/>
                    <w:bottom w:val="single" w:color="000000" w:sz="4" w:space="0"/>
                    <w:right w:val="nil"/>
                  </w:tcBorders>
                  <w:shd w:val="clear" w:color="auto" w:fill="auto"/>
                  <w:vAlign w:val="center"/>
                </w:tcPr>
                <w:p w14:paraId="23C66F43">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b/>
                      <w:bCs/>
                      <w:sz w:val="21"/>
                      <w:szCs w:val="21"/>
                      <w:u w:val="single"/>
                    </w:rPr>
                    <w:t>基础减振＋厂房隔声</w:t>
                  </w:r>
                </w:p>
              </w:tc>
              <w:tc>
                <w:tcPr>
                  <w:tcW w:w="502" w:type="pct"/>
                  <w:tcBorders>
                    <w:top w:val="single" w:color="000000" w:sz="4" w:space="0"/>
                    <w:left w:val="single" w:color="000000" w:sz="4" w:space="0"/>
                    <w:bottom w:val="single" w:color="000000" w:sz="4" w:space="0"/>
                    <w:right w:val="nil"/>
                  </w:tcBorders>
                  <w:shd w:val="clear" w:color="auto" w:fill="auto"/>
                  <w:vAlign w:val="center"/>
                </w:tcPr>
                <w:p w14:paraId="4009A400">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eastAsia="宋体"/>
                      <w:b/>
                      <w:bCs/>
                      <w:sz w:val="21"/>
                      <w:szCs w:val="21"/>
                      <w:u w:val="single"/>
                      <w:lang w:val="en-US" w:eastAsia="zh-CN"/>
                    </w:rPr>
                  </w:pPr>
                  <w:r>
                    <w:rPr>
                      <w:rFonts w:hint="eastAsia"/>
                      <w:b/>
                      <w:bCs/>
                      <w:sz w:val="21"/>
                      <w:szCs w:val="21"/>
                      <w:u w:val="single"/>
                      <w:lang w:val="en-US" w:eastAsia="zh-CN"/>
                    </w:rPr>
                    <w:t>5</w:t>
                  </w:r>
                </w:p>
              </w:tc>
              <w:tc>
                <w:tcPr>
                  <w:tcW w:w="411" w:type="pct"/>
                  <w:tcBorders>
                    <w:top w:val="single" w:color="000000" w:sz="4" w:space="0"/>
                    <w:left w:val="single" w:color="000000" w:sz="4" w:space="0"/>
                    <w:bottom w:val="single" w:color="000000" w:sz="4" w:space="0"/>
                    <w:right w:val="nil"/>
                  </w:tcBorders>
                  <w:shd w:val="clear" w:color="auto" w:fill="auto"/>
                  <w:vAlign w:val="center"/>
                </w:tcPr>
                <w:p w14:paraId="0416170A">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75</w:t>
                  </w:r>
                </w:p>
              </w:tc>
              <w:tc>
                <w:tcPr>
                  <w:tcW w:w="517" w:type="pct"/>
                  <w:tcBorders>
                    <w:top w:val="single" w:color="000000" w:sz="4" w:space="0"/>
                    <w:left w:val="single" w:color="000000" w:sz="4" w:space="0"/>
                    <w:bottom w:val="single" w:color="000000" w:sz="4" w:space="0"/>
                    <w:right w:val="nil"/>
                  </w:tcBorders>
                  <w:shd w:val="clear" w:color="auto" w:fill="auto"/>
                  <w:vAlign w:val="center"/>
                </w:tcPr>
                <w:p w14:paraId="08ABBF79">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cs="Times New Roman"/>
                      <w:b/>
                      <w:bCs/>
                      <w:i w:val="0"/>
                      <w:iCs w:val="0"/>
                      <w:color w:val="000000"/>
                      <w:kern w:val="0"/>
                      <w:sz w:val="21"/>
                      <w:szCs w:val="21"/>
                      <w:u w:val="single"/>
                      <w:lang w:val="en-US" w:eastAsia="zh-CN" w:bidi="ar"/>
                    </w:rPr>
                    <w:t>昼间</w:t>
                  </w:r>
                </w:p>
              </w:tc>
              <w:tc>
                <w:tcPr>
                  <w:tcW w:w="397" w:type="pct"/>
                  <w:tcBorders>
                    <w:top w:val="single" w:color="000000" w:sz="4" w:space="0"/>
                    <w:left w:val="single" w:color="000000" w:sz="4" w:space="0"/>
                    <w:bottom w:val="single" w:color="000000" w:sz="4" w:space="0"/>
                    <w:right w:val="nil"/>
                  </w:tcBorders>
                  <w:shd w:val="clear" w:color="auto" w:fill="auto"/>
                  <w:vAlign w:val="center"/>
                </w:tcPr>
                <w:p w14:paraId="19347F7F">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b/>
                      <w:bCs/>
                      <w:szCs w:val="21"/>
                      <w:u w:val="single"/>
                    </w:rPr>
                    <w:t>20</w:t>
                  </w:r>
                </w:p>
              </w:tc>
              <w:tc>
                <w:tcPr>
                  <w:tcW w:w="406" w:type="pct"/>
                  <w:tcBorders>
                    <w:top w:val="single" w:color="000000" w:sz="4" w:space="0"/>
                    <w:left w:val="single" w:color="000000" w:sz="4" w:space="0"/>
                    <w:bottom w:val="single" w:color="000000" w:sz="4" w:space="0"/>
                    <w:right w:val="nil"/>
                  </w:tcBorders>
                  <w:shd w:val="clear" w:color="auto" w:fill="auto"/>
                  <w:vAlign w:val="center"/>
                </w:tcPr>
                <w:p w14:paraId="7008E26B">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eastAsia="宋体"/>
                      <w:b/>
                      <w:bCs/>
                      <w:sz w:val="21"/>
                      <w:szCs w:val="21"/>
                      <w:u w:val="single"/>
                      <w:lang w:val="en-US" w:eastAsia="zh-CN"/>
                    </w:rPr>
                  </w:pPr>
                  <w:r>
                    <w:rPr>
                      <w:rFonts w:hint="eastAsia"/>
                      <w:b/>
                      <w:bCs/>
                      <w:sz w:val="21"/>
                      <w:szCs w:val="21"/>
                      <w:u w:val="single"/>
                      <w:lang w:val="en-US" w:eastAsia="zh-CN"/>
                    </w:rPr>
                    <w:t>55</w:t>
                  </w:r>
                </w:p>
              </w:tc>
              <w:tc>
                <w:tcPr>
                  <w:tcW w:w="524" w:type="pct"/>
                  <w:tcBorders>
                    <w:top w:val="single" w:color="000000" w:sz="4" w:space="0"/>
                    <w:left w:val="single" w:color="000000" w:sz="4" w:space="0"/>
                    <w:bottom w:val="single" w:color="000000" w:sz="4" w:space="0"/>
                    <w:right w:val="nil"/>
                  </w:tcBorders>
                  <w:shd w:val="clear" w:color="auto" w:fill="auto"/>
                  <w:vAlign w:val="center"/>
                </w:tcPr>
                <w:p w14:paraId="2B2C689A">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b/>
                      <w:bCs/>
                      <w:sz w:val="21"/>
                      <w:szCs w:val="21"/>
                      <w:u w:val="single"/>
                      <w:lang w:val="en-US" w:eastAsia="zh-CN"/>
                    </w:rPr>
                    <w:t>1</w:t>
                  </w:r>
                </w:p>
              </w:tc>
            </w:tr>
            <w:tr w14:paraId="497E2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29515">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喷雾干燥机</w:t>
                  </w:r>
                </w:p>
              </w:tc>
              <w:tc>
                <w:tcPr>
                  <w:tcW w:w="557" w:type="pct"/>
                  <w:tcBorders>
                    <w:top w:val="single" w:color="000000" w:sz="4" w:space="0"/>
                    <w:left w:val="single" w:color="000000" w:sz="4" w:space="0"/>
                    <w:bottom w:val="single" w:color="000000" w:sz="4" w:space="0"/>
                    <w:right w:val="nil"/>
                  </w:tcBorders>
                  <w:shd w:val="clear" w:color="auto" w:fill="auto"/>
                  <w:vAlign w:val="center"/>
                </w:tcPr>
                <w:p w14:paraId="5476A7C8">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80</w:t>
                  </w:r>
                </w:p>
              </w:tc>
              <w:tc>
                <w:tcPr>
                  <w:tcW w:w="793" w:type="pct"/>
                  <w:tcBorders>
                    <w:top w:val="single" w:color="000000" w:sz="4" w:space="0"/>
                    <w:left w:val="single" w:color="000000" w:sz="4" w:space="0"/>
                    <w:bottom w:val="single" w:color="000000" w:sz="4" w:space="0"/>
                    <w:right w:val="nil"/>
                  </w:tcBorders>
                  <w:shd w:val="clear" w:color="auto" w:fill="auto"/>
                  <w:vAlign w:val="center"/>
                </w:tcPr>
                <w:p w14:paraId="2860FC12">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b/>
                      <w:bCs/>
                      <w:sz w:val="21"/>
                      <w:szCs w:val="21"/>
                      <w:u w:val="single"/>
                    </w:rPr>
                    <w:t>基础减振＋厂房隔声</w:t>
                  </w:r>
                </w:p>
              </w:tc>
              <w:tc>
                <w:tcPr>
                  <w:tcW w:w="502" w:type="pct"/>
                  <w:tcBorders>
                    <w:top w:val="single" w:color="000000" w:sz="4" w:space="0"/>
                    <w:left w:val="single" w:color="000000" w:sz="4" w:space="0"/>
                    <w:bottom w:val="single" w:color="000000" w:sz="4" w:space="0"/>
                    <w:right w:val="nil"/>
                  </w:tcBorders>
                  <w:shd w:val="clear" w:color="auto" w:fill="auto"/>
                  <w:vAlign w:val="center"/>
                </w:tcPr>
                <w:p w14:paraId="11A1AC80">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eastAsia="宋体"/>
                      <w:b/>
                      <w:bCs/>
                      <w:sz w:val="21"/>
                      <w:szCs w:val="21"/>
                      <w:u w:val="single"/>
                      <w:lang w:val="en-US" w:eastAsia="zh-CN"/>
                    </w:rPr>
                  </w:pPr>
                  <w:r>
                    <w:rPr>
                      <w:rFonts w:hint="eastAsia"/>
                      <w:b/>
                      <w:bCs/>
                      <w:sz w:val="21"/>
                      <w:szCs w:val="21"/>
                      <w:u w:val="single"/>
                      <w:lang w:val="en-US" w:eastAsia="zh-CN"/>
                    </w:rPr>
                    <w:t>5</w:t>
                  </w:r>
                </w:p>
              </w:tc>
              <w:tc>
                <w:tcPr>
                  <w:tcW w:w="411" w:type="pct"/>
                  <w:tcBorders>
                    <w:top w:val="single" w:color="000000" w:sz="4" w:space="0"/>
                    <w:left w:val="single" w:color="000000" w:sz="4" w:space="0"/>
                    <w:bottom w:val="single" w:color="000000" w:sz="4" w:space="0"/>
                    <w:right w:val="nil"/>
                  </w:tcBorders>
                  <w:shd w:val="clear" w:color="auto" w:fill="auto"/>
                  <w:vAlign w:val="center"/>
                </w:tcPr>
                <w:p w14:paraId="545FCC65">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80</w:t>
                  </w:r>
                </w:p>
              </w:tc>
              <w:tc>
                <w:tcPr>
                  <w:tcW w:w="517" w:type="pct"/>
                  <w:tcBorders>
                    <w:top w:val="single" w:color="000000" w:sz="4" w:space="0"/>
                    <w:left w:val="single" w:color="000000" w:sz="4" w:space="0"/>
                    <w:bottom w:val="single" w:color="000000" w:sz="4" w:space="0"/>
                    <w:right w:val="nil"/>
                  </w:tcBorders>
                  <w:shd w:val="clear" w:color="auto" w:fill="auto"/>
                  <w:vAlign w:val="center"/>
                </w:tcPr>
                <w:p w14:paraId="711DF914">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cs="Times New Roman"/>
                      <w:b/>
                      <w:bCs/>
                      <w:i w:val="0"/>
                      <w:iCs w:val="0"/>
                      <w:color w:val="000000"/>
                      <w:kern w:val="0"/>
                      <w:sz w:val="21"/>
                      <w:szCs w:val="21"/>
                      <w:u w:val="single"/>
                      <w:lang w:val="en-US" w:eastAsia="zh-CN" w:bidi="ar"/>
                    </w:rPr>
                    <w:t>昼间</w:t>
                  </w:r>
                </w:p>
              </w:tc>
              <w:tc>
                <w:tcPr>
                  <w:tcW w:w="397" w:type="pct"/>
                  <w:tcBorders>
                    <w:top w:val="single" w:color="000000" w:sz="4" w:space="0"/>
                    <w:left w:val="single" w:color="000000" w:sz="4" w:space="0"/>
                    <w:bottom w:val="single" w:color="000000" w:sz="4" w:space="0"/>
                    <w:right w:val="nil"/>
                  </w:tcBorders>
                  <w:shd w:val="clear" w:color="auto" w:fill="auto"/>
                  <w:vAlign w:val="center"/>
                </w:tcPr>
                <w:p w14:paraId="7FEFCA04">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b/>
                      <w:bCs/>
                      <w:szCs w:val="21"/>
                      <w:u w:val="single"/>
                    </w:rPr>
                    <w:t>20</w:t>
                  </w:r>
                </w:p>
              </w:tc>
              <w:tc>
                <w:tcPr>
                  <w:tcW w:w="406" w:type="pct"/>
                  <w:tcBorders>
                    <w:top w:val="single" w:color="000000" w:sz="4" w:space="0"/>
                    <w:left w:val="single" w:color="000000" w:sz="4" w:space="0"/>
                    <w:bottom w:val="single" w:color="000000" w:sz="4" w:space="0"/>
                    <w:right w:val="nil"/>
                  </w:tcBorders>
                  <w:shd w:val="clear" w:color="auto" w:fill="auto"/>
                  <w:vAlign w:val="center"/>
                </w:tcPr>
                <w:p w14:paraId="37F04C39">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eastAsia="宋体"/>
                      <w:b/>
                      <w:bCs/>
                      <w:sz w:val="21"/>
                      <w:szCs w:val="21"/>
                      <w:u w:val="single"/>
                      <w:lang w:val="en-US" w:eastAsia="zh-CN"/>
                    </w:rPr>
                  </w:pPr>
                  <w:r>
                    <w:rPr>
                      <w:rFonts w:hint="eastAsia"/>
                      <w:b/>
                      <w:bCs/>
                      <w:sz w:val="21"/>
                      <w:szCs w:val="21"/>
                      <w:u w:val="single"/>
                      <w:lang w:val="en-US" w:eastAsia="zh-CN"/>
                    </w:rPr>
                    <w:t>60</w:t>
                  </w:r>
                </w:p>
              </w:tc>
              <w:tc>
                <w:tcPr>
                  <w:tcW w:w="524" w:type="pct"/>
                  <w:tcBorders>
                    <w:top w:val="single" w:color="000000" w:sz="4" w:space="0"/>
                    <w:left w:val="single" w:color="000000" w:sz="4" w:space="0"/>
                    <w:bottom w:val="single" w:color="000000" w:sz="4" w:space="0"/>
                    <w:right w:val="nil"/>
                  </w:tcBorders>
                  <w:shd w:val="clear" w:color="auto" w:fill="auto"/>
                  <w:vAlign w:val="center"/>
                </w:tcPr>
                <w:p w14:paraId="392E139D">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b/>
                      <w:bCs/>
                      <w:sz w:val="21"/>
                      <w:szCs w:val="21"/>
                      <w:u w:val="single"/>
                      <w:lang w:val="en-US" w:eastAsia="zh-CN"/>
                    </w:rPr>
                    <w:t>1</w:t>
                  </w:r>
                </w:p>
              </w:tc>
            </w:tr>
            <w:tr w14:paraId="3C17E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1D656">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槽形混合机</w:t>
                  </w:r>
                </w:p>
              </w:tc>
              <w:tc>
                <w:tcPr>
                  <w:tcW w:w="557" w:type="pct"/>
                  <w:tcBorders>
                    <w:top w:val="single" w:color="000000" w:sz="4" w:space="0"/>
                    <w:left w:val="single" w:color="000000" w:sz="4" w:space="0"/>
                    <w:bottom w:val="single" w:color="000000" w:sz="4" w:space="0"/>
                    <w:right w:val="nil"/>
                  </w:tcBorders>
                  <w:shd w:val="clear" w:color="auto" w:fill="auto"/>
                  <w:vAlign w:val="center"/>
                </w:tcPr>
                <w:p w14:paraId="7306EB8D">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75</w:t>
                  </w:r>
                </w:p>
              </w:tc>
              <w:tc>
                <w:tcPr>
                  <w:tcW w:w="793" w:type="pct"/>
                  <w:tcBorders>
                    <w:top w:val="single" w:color="000000" w:sz="4" w:space="0"/>
                    <w:left w:val="single" w:color="000000" w:sz="4" w:space="0"/>
                    <w:bottom w:val="single" w:color="000000" w:sz="4" w:space="0"/>
                    <w:right w:val="nil"/>
                  </w:tcBorders>
                  <w:shd w:val="clear" w:color="auto" w:fill="auto"/>
                  <w:vAlign w:val="center"/>
                </w:tcPr>
                <w:p w14:paraId="33BFDFE0">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b/>
                      <w:bCs/>
                      <w:sz w:val="21"/>
                      <w:szCs w:val="21"/>
                      <w:u w:val="single"/>
                    </w:rPr>
                    <w:t>基础减振＋厂房隔声</w:t>
                  </w:r>
                </w:p>
              </w:tc>
              <w:tc>
                <w:tcPr>
                  <w:tcW w:w="502" w:type="pct"/>
                  <w:tcBorders>
                    <w:top w:val="single" w:color="000000" w:sz="4" w:space="0"/>
                    <w:left w:val="single" w:color="000000" w:sz="4" w:space="0"/>
                    <w:bottom w:val="single" w:color="000000" w:sz="4" w:space="0"/>
                    <w:right w:val="nil"/>
                  </w:tcBorders>
                  <w:shd w:val="clear" w:color="auto" w:fill="auto"/>
                  <w:vAlign w:val="center"/>
                </w:tcPr>
                <w:p w14:paraId="307628F1">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eastAsia="宋体"/>
                      <w:b/>
                      <w:bCs/>
                      <w:sz w:val="21"/>
                      <w:szCs w:val="21"/>
                      <w:u w:val="single"/>
                      <w:lang w:val="en-US" w:eastAsia="zh-CN"/>
                    </w:rPr>
                  </w:pPr>
                  <w:r>
                    <w:rPr>
                      <w:rFonts w:hint="eastAsia"/>
                      <w:b/>
                      <w:bCs/>
                      <w:sz w:val="21"/>
                      <w:szCs w:val="21"/>
                      <w:u w:val="single"/>
                      <w:lang w:val="en-US" w:eastAsia="zh-CN"/>
                    </w:rPr>
                    <w:t>5</w:t>
                  </w:r>
                </w:p>
              </w:tc>
              <w:tc>
                <w:tcPr>
                  <w:tcW w:w="411" w:type="pct"/>
                  <w:tcBorders>
                    <w:top w:val="single" w:color="000000" w:sz="4" w:space="0"/>
                    <w:left w:val="single" w:color="000000" w:sz="4" w:space="0"/>
                    <w:bottom w:val="single" w:color="000000" w:sz="4" w:space="0"/>
                    <w:right w:val="nil"/>
                  </w:tcBorders>
                  <w:shd w:val="clear" w:color="auto" w:fill="auto"/>
                  <w:vAlign w:val="center"/>
                </w:tcPr>
                <w:p w14:paraId="5D7E15D5">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75</w:t>
                  </w:r>
                </w:p>
              </w:tc>
              <w:tc>
                <w:tcPr>
                  <w:tcW w:w="517" w:type="pct"/>
                  <w:tcBorders>
                    <w:top w:val="single" w:color="000000" w:sz="4" w:space="0"/>
                    <w:left w:val="single" w:color="000000" w:sz="4" w:space="0"/>
                    <w:bottom w:val="single" w:color="000000" w:sz="4" w:space="0"/>
                    <w:right w:val="nil"/>
                  </w:tcBorders>
                  <w:shd w:val="clear" w:color="auto" w:fill="auto"/>
                  <w:vAlign w:val="center"/>
                </w:tcPr>
                <w:p w14:paraId="3576880A">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cs="Times New Roman"/>
                      <w:b/>
                      <w:bCs/>
                      <w:i w:val="0"/>
                      <w:iCs w:val="0"/>
                      <w:color w:val="000000"/>
                      <w:kern w:val="0"/>
                      <w:sz w:val="21"/>
                      <w:szCs w:val="21"/>
                      <w:u w:val="single"/>
                      <w:lang w:val="en-US" w:eastAsia="zh-CN" w:bidi="ar"/>
                    </w:rPr>
                    <w:t>昼间</w:t>
                  </w:r>
                </w:p>
              </w:tc>
              <w:tc>
                <w:tcPr>
                  <w:tcW w:w="397" w:type="pct"/>
                  <w:tcBorders>
                    <w:top w:val="single" w:color="000000" w:sz="4" w:space="0"/>
                    <w:left w:val="single" w:color="000000" w:sz="4" w:space="0"/>
                    <w:bottom w:val="single" w:color="000000" w:sz="4" w:space="0"/>
                    <w:right w:val="nil"/>
                  </w:tcBorders>
                  <w:shd w:val="clear" w:color="auto" w:fill="auto"/>
                  <w:vAlign w:val="center"/>
                </w:tcPr>
                <w:p w14:paraId="2D1D857F">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b/>
                      <w:bCs/>
                      <w:szCs w:val="21"/>
                      <w:u w:val="single"/>
                    </w:rPr>
                    <w:t>20</w:t>
                  </w:r>
                </w:p>
              </w:tc>
              <w:tc>
                <w:tcPr>
                  <w:tcW w:w="406" w:type="pct"/>
                  <w:tcBorders>
                    <w:top w:val="single" w:color="000000" w:sz="4" w:space="0"/>
                    <w:left w:val="single" w:color="000000" w:sz="4" w:space="0"/>
                    <w:bottom w:val="single" w:color="000000" w:sz="4" w:space="0"/>
                    <w:right w:val="nil"/>
                  </w:tcBorders>
                  <w:shd w:val="clear" w:color="auto" w:fill="auto"/>
                  <w:vAlign w:val="center"/>
                </w:tcPr>
                <w:p w14:paraId="3B31639C">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eastAsia="宋体"/>
                      <w:b/>
                      <w:bCs/>
                      <w:sz w:val="21"/>
                      <w:szCs w:val="21"/>
                      <w:u w:val="single"/>
                      <w:lang w:val="en-US" w:eastAsia="zh-CN"/>
                    </w:rPr>
                  </w:pPr>
                  <w:r>
                    <w:rPr>
                      <w:rFonts w:hint="eastAsia"/>
                      <w:b/>
                      <w:bCs/>
                      <w:sz w:val="21"/>
                      <w:szCs w:val="21"/>
                      <w:u w:val="single"/>
                      <w:lang w:val="en-US" w:eastAsia="zh-CN"/>
                    </w:rPr>
                    <w:t>55</w:t>
                  </w:r>
                </w:p>
              </w:tc>
              <w:tc>
                <w:tcPr>
                  <w:tcW w:w="524" w:type="pct"/>
                  <w:tcBorders>
                    <w:top w:val="single" w:color="000000" w:sz="4" w:space="0"/>
                    <w:left w:val="single" w:color="000000" w:sz="4" w:space="0"/>
                    <w:bottom w:val="single" w:color="000000" w:sz="4" w:space="0"/>
                    <w:right w:val="nil"/>
                  </w:tcBorders>
                  <w:shd w:val="clear" w:color="auto" w:fill="auto"/>
                  <w:vAlign w:val="center"/>
                </w:tcPr>
                <w:p w14:paraId="2D449859">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b/>
                      <w:bCs/>
                      <w:sz w:val="21"/>
                      <w:szCs w:val="21"/>
                      <w:u w:val="single"/>
                      <w:lang w:val="en-US" w:eastAsia="zh-CN"/>
                    </w:rPr>
                    <w:t>1</w:t>
                  </w:r>
                </w:p>
              </w:tc>
            </w:tr>
            <w:tr w14:paraId="37DDC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A4456">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水蜜丸制丸机</w:t>
                  </w:r>
                </w:p>
              </w:tc>
              <w:tc>
                <w:tcPr>
                  <w:tcW w:w="557" w:type="pct"/>
                  <w:tcBorders>
                    <w:top w:val="single" w:color="000000" w:sz="4" w:space="0"/>
                    <w:left w:val="single" w:color="000000" w:sz="4" w:space="0"/>
                    <w:bottom w:val="single" w:color="000000" w:sz="4" w:space="0"/>
                    <w:right w:val="nil"/>
                  </w:tcBorders>
                  <w:shd w:val="clear" w:color="auto" w:fill="auto"/>
                  <w:vAlign w:val="center"/>
                </w:tcPr>
                <w:p w14:paraId="5B9586E6">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70</w:t>
                  </w:r>
                </w:p>
              </w:tc>
              <w:tc>
                <w:tcPr>
                  <w:tcW w:w="793" w:type="pct"/>
                  <w:tcBorders>
                    <w:top w:val="single" w:color="000000" w:sz="4" w:space="0"/>
                    <w:left w:val="single" w:color="000000" w:sz="4" w:space="0"/>
                    <w:bottom w:val="single" w:color="000000" w:sz="4" w:space="0"/>
                    <w:right w:val="nil"/>
                  </w:tcBorders>
                  <w:shd w:val="clear" w:color="auto" w:fill="auto"/>
                  <w:vAlign w:val="center"/>
                </w:tcPr>
                <w:p w14:paraId="53FDFFCD">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b/>
                      <w:bCs/>
                      <w:sz w:val="21"/>
                      <w:szCs w:val="21"/>
                      <w:u w:val="single"/>
                    </w:rPr>
                    <w:t>基础减振＋厂房隔声</w:t>
                  </w:r>
                </w:p>
              </w:tc>
              <w:tc>
                <w:tcPr>
                  <w:tcW w:w="502" w:type="pct"/>
                  <w:tcBorders>
                    <w:top w:val="single" w:color="000000" w:sz="4" w:space="0"/>
                    <w:left w:val="single" w:color="000000" w:sz="4" w:space="0"/>
                    <w:bottom w:val="single" w:color="000000" w:sz="4" w:space="0"/>
                    <w:right w:val="nil"/>
                  </w:tcBorders>
                  <w:shd w:val="clear" w:color="auto" w:fill="auto"/>
                  <w:vAlign w:val="center"/>
                </w:tcPr>
                <w:p w14:paraId="70639FDF">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eastAsia="宋体"/>
                      <w:b/>
                      <w:bCs/>
                      <w:sz w:val="21"/>
                      <w:szCs w:val="21"/>
                      <w:u w:val="single"/>
                      <w:lang w:val="en-US" w:eastAsia="zh-CN"/>
                    </w:rPr>
                  </w:pPr>
                  <w:r>
                    <w:rPr>
                      <w:rFonts w:hint="eastAsia"/>
                      <w:b/>
                      <w:bCs/>
                      <w:sz w:val="21"/>
                      <w:szCs w:val="21"/>
                      <w:u w:val="single"/>
                      <w:lang w:val="en-US" w:eastAsia="zh-CN"/>
                    </w:rPr>
                    <w:t>5</w:t>
                  </w:r>
                </w:p>
              </w:tc>
              <w:tc>
                <w:tcPr>
                  <w:tcW w:w="411" w:type="pct"/>
                  <w:tcBorders>
                    <w:top w:val="single" w:color="000000" w:sz="4" w:space="0"/>
                    <w:left w:val="single" w:color="000000" w:sz="4" w:space="0"/>
                    <w:bottom w:val="single" w:color="000000" w:sz="4" w:space="0"/>
                    <w:right w:val="nil"/>
                  </w:tcBorders>
                  <w:shd w:val="clear" w:color="auto" w:fill="auto"/>
                  <w:vAlign w:val="center"/>
                </w:tcPr>
                <w:p w14:paraId="0A15FC84">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70</w:t>
                  </w:r>
                </w:p>
              </w:tc>
              <w:tc>
                <w:tcPr>
                  <w:tcW w:w="517" w:type="pct"/>
                  <w:tcBorders>
                    <w:top w:val="single" w:color="000000" w:sz="4" w:space="0"/>
                    <w:left w:val="single" w:color="000000" w:sz="4" w:space="0"/>
                    <w:bottom w:val="single" w:color="000000" w:sz="4" w:space="0"/>
                    <w:right w:val="nil"/>
                  </w:tcBorders>
                  <w:shd w:val="clear" w:color="auto" w:fill="auto"/>
                  <w:vAlign w:val="center"/>
                </w:tcPr>
                <w:p w14:paraId="520EE769">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cs="Times New Roman"/>
                      <w:b/>
                      <w:bCs/>
                      <w:i w:val="0"/>
                      <w:iCs w:val="0"/>
                      <w:color w:val="000000"/>
                      <w:kern w:val="0"/>
                      <w:sz w:val="21"/>
                      <w:szCs w:val="21"/>
                      <w:u w:val="single"/>
                      <w:lang w:val="en-US" w:eastAsia="zh-CN" w:bidi="ar"/>
                    </w:rPr>
                    <w:t>昼间</w:t>
                  </w:r>
                </w:p>
              </w:tc>
              <w:tc>
                <w:tcPr>
                  <w:tcW w:w="397" w:type="pct"/>
                  <w:tcBorders>
                    <w:top w:val="single" w:color="000000" w:sz="4" w:space="0"/>
                    <w:left w:val="single" w:color="000000" w:sz="4" w:space="0"/>
                    <w:bottom w:val="single" w:color="000000" w:sz="4" w:space="0"/>
                    <w:right w:val="nil"/>
                  </w:tcBorders>
                  <w:shd w:val="clear" w:color="auto" w:fill="auto"/>
                  <w:vAlign w:val="center"/>
                </w:tcPr>
                <w:p w14:paraId="024E621B">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b/>
                      <w:bCs/>
                      <w:szCs w:val="21"/>
                      <w:u w:val="single"/>
                    </w:rPr>
                    <w:t>20</w:t>
                  </w:r>
                </w:p>
              </w:tc>
              <w:tc>
                <w:tcPr>
                  <w:tcW w:w="406" w:type="pct"/>
                  <w:tcBorders>
                    <w:top w:val="single" w:color="000000" w:sz="4" w:space="0"/>
                    <w:left w:val="single" w:color="000000" w:sz="4" w:space="0"/>
                    <w:bottom w:val="single" w:color="000000" w:sz="4" w:space="0"/>
                    <w:right w:val="nil"/>
                  </w:tcBorders>
                  <w:shd w:val="clear" w:color="auto" w:fill="auto"/>
                  <w:vAlign w:val="center"/>
                </w:tcPr>
                <w:p w14:paraId="070FEA94">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eastAsia="宋体"/>
                      <w:b/>
                      <w:bCs/>
                      <w:sz w:val="21"/>
                      <w:szCs w:val="21"/>
                      <w:u w:val="single"/>
                      <w:lang w:val="en-US" w:eastAsia="zh-CN"/>
                    </w:rPr>
                  </w:pPr>
                  <w:r>
                    <w:rPr>
                      <w:rFonts w:hint="eastAsia"/>
                      <w:b/>
                      <w:bCs/>
                      <w:sz w:val="21"/>
                      <w:szCs w:val="21"/>
                      <w:u w:val="single"/>
                      <w:lang w:val="en-US" w:eastAsia="zh-CN"/>
                    </w:rPr>
                    <w:t>50</w:t>
                  </w:r>
                </w:p>
              </w:tc>
              <w:tc>
                <w:tcPr>
                  <w:tcW w:w="524" w:type="pct"/>
                  <w:tcBorders>
                    <w:top w:val="single" w:color="000000" w:sz="4" w:space="0"/>
                    <w:left w:val="single" w:color="000000" w:sz="4" w:space="0"/>
                    <w:bottom w:val="single" w:color="000000" w:sz="4" w:space="0"/>
                    <w:right w:val="nil"/>
                  </w:tcBorders>
                  <w:shd w:val="clear" w:color="auto" w:fill="auto"/>
                  <w:vAlign w:val="center"/>
                </w:tcPr>
                <w:p w14:paraId="720EC09F">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b/>
                      <w:bCs/>
                      <w:sz w:val="21"/>
                      <w:szCs w:val="21"/>
                      <w:u w:val="single"/>
                      <w:lang w:val="en-US" w:eastAsia="zh-CN"/>
                    </w:rPr>
                    <w:t>1</w:t>
                  </w:r>
                </w:p>
              </w:tc>
            </w:tr>
            <w:tr w14:paraId="3C8C4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5586F">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水丸制丸机</w:t>
                  </w:r>
                </w:p>
              </w:tc>
              <w:tc>
                <w:tcPr>
                  <w:tcW w:w="557" w:type="pct"/>
                  <w:tcBorders>
                    <w:top w:val="single" w:color="000000" w:sz="4" w:space="0"/>
                    <w:left w:val="single" w:color="000000" w:sz="4" w:space="0"/>
                    <w:bottom w:val="single" w:color="000000" w:sz="4" w:space="0"/>
                    <w:right w:val="nil"/>
                  </w:tcBorders>
                  <w:shd w:val="clear" w:color="auto" w:fill="auto"/>
                  <w:vAlign w:val="center"/>
                </w:tcPr>
                <w:p w14:paraId="5EFE145E">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70</w:t>
                  </w:r>
                </w:p>
              </w:tc>
              <w:tc>
                <w:tcPr>
                  <w:tcW w:w="793" w:type="pct"/>
                  <w:tcBorders>
                    <w:top w:val="single" w:color="000000" w:sz="4" w:space="0"/>
                    <w:left w:val="single" w:color="000000" w:sz="4" w:space="0"/>
                    <w:bottom w:val="single" w:color="000000" w:sz="4" w:space="0"/>
                    <w:right w:val="nil"/>
                  </w:tcBorders>
                  <w:shd w:val="clear" w:color="auto" w:fill="auto"/>
                  <w:vAlign w:val="center"/>
                </w:tcPr>
                <w:p w14:paraId="45FBCCE4">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b/>
                      <w:bCs/>
                      <w:sz w:val="21"/>
                      <w:szCs w:val="21"/>
                      <w:u w:val="single"/>
                    </w:rPr>
                    <w:t>基础减振＋厂房隔声</w:t>
                  </w:r>
                </w:p>
              </w:tc>
              <w:tc>
                <w:tcPr>
                  <w:tcW w:w="502" w:type="pct"/>
                  <w:tcBorders>
                    <w:top w:val="single" w:color="000000" w:sz="4" w:space="0"/>
                    <w:left w:val="single" w:color="000000" w:sz="4" w:space="0"/>
                    <w:bottom w:val="single" w:color="000000" w:sz="4" w:space="0"/>
                    <w:right w:val="nil"/>
                  </w:tcBorders>
                  <w:shd w:val="clear" w:color="auto" w:fill="auto"/>
                  <w:vAlign w:val="center"/>
                </w:tcPr>
                <w:p w14:paraId="61E29584">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eastAsia="宋体"/>
                      <w:b/>
                      <w:bCs/>
                      <w:sz w:val="21"/>
                      <w:szCs w:val="21"/>
                      <w:u w:val="single"/>
                      <w:lang w:val="en-US" w:eastAsia="zh-CN"/>
                    </w:rPr>
                  </w:pPr>
                  <w:r>
                    <w:rPr>
                      <w:rFonts w:hint="eastAsia"/>
                      <w:b/>
                      <w:bCs/>
                      <w:sz w:val="21"/>
                      <w:szCs w:val="21"/>
                      <w:u w:val="single"/>
                      <w:lang w:val="en-US" w:eastAsia="zh-CN"/>
                    </w:rPr>
                    <w:t>5</w:t>
                  </w:r>
                </w:p>
              </w:tc>
              <w:tc>
                <w:tcPr>
                  <w:tcW w:w="411" w:type="pct"/>
                  <w:tcBorders>
                    <w:top w:val="single" w:color="000000" w:sz="4" w:space="0"/>
                    <w:left w:val="single" w:color="000000" w:sz="4" w:space="0"/>
                    <w:bottom w:val="single" w:color="000000" w:sz="4" w:space="0"/>
                    <w:right w:val="nil"/>
                  </w:tcBorders>
                  <w:shd w:val="clear" w:color="auto" w:fill="auto"/>
                  <w:vAlign w:val="center"/>
                </w:tcPr>
                <w:p w14:paraId="22A830DE">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70</w:t>
                  </w:r>
                </w:p>
              </w:tc>
              <w:tc>
                <w:tcPr>
                  <w:tcW w:w="517" w:type="pct"/>
                  <w:tcBorders>
                    <w:top w:val="single" w:color="000000" w:sz="4" w:space="0"/>
                    <w:left w:val="single" w:color="000000" w:sz="4" w:space="0"/>
                    <w:bottom w:val="single" w:color="000000" w:sz="4" w:space="0"/>
                    <w:right w:val="nil"/>
                  </w:tcBorders>
                  <w:shd w:val="clear" w:color="auto" w:fill="auto"/>
                  <w:vAlign w:val="center"/>
                </w:tcPr>
                <w:p w14:paraId="6329D7DE">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cs="Times New Roman"/>
                      <w:b/>
                      <w:bCs/>
                      <w:i w:val="0"/>
                      <w:iCs w:val="0"/>
                      <w:color w:val="000000"/>
                      <w:kern w:val="0"/>
                      <w:sz w:val="21"/>
                      <w:szCs w:val="21"/>
                      <w:u w:val="single"/>
                      <w:lang w:val="en-US" w:eastAsia="zh-CN" w:bidi="ar"/>
                    </w:rPr>
                    <w:t>昼间</w:t>
                  </w:r>
                </w:p>
              </w:tc>
              <w:tc>
                <w:tcPr>
                  <w:tcW w:w="397" w:type="pct"/>
                  <w:tcBorders>
                    <w:top w:val="single" w:color="000000" w:sz="4" w:space="0"/>
                    <w:left w:val="single" w:color="000000" w:sz="4" w:space="0"/>
                    <w:bottom w:val="single" w:color="000000" w:sz="4" w:space="0"/>
                    <w:right w:val="nil"/>
                  </w:tcBorders>
                  <w:shd w:val="clear" w:color="auto" w:fill="auto"/>
                  <w:vAlign w:val="center"/>
                </w:tcPr>
                <w:p w14:paraId="3A6A19A2">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b/>
                      <w:bCs/>
                      <w:szCs w:val="21"/>
                      <w:u w:val="single"/>
                    </w:rPr>
                    <w:t>20</w:t>
                  </w:r>
                </w:p>
              </w:tc>
              <w:tc>
                <w:tcPr>
                  <w:tcW w:w="406" w:type="pct"/>
                  <w:tcBorders>
                    <w:top w:val="single" w:color="000000" w:sz="4" w:space="0"/>
                    <w:left w:val="single" w:color="000000" w:sz="4" w:space="0"/>
                    <w:bottom w:val="single" w:color="000000" w:sz="4" w:space="0"/>
                    <w:right w:val="nil"/>
                  </w:tcBorders>
                  <w:shd w:val="clear" w:color="auto" w:fill="auto"/>
                  <w:vAlign w:val="center"/>
                </w:tcPr>
                <w:p w14:paraId="0A7530F4">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eastAsia="宋体"/>
                      <w:b/>
                      <w:bCs/>
                      <w:sz w:val="21"/>
                      <w:szCs w:val="21"/>
                      <w:u w:val="single"/>
                      <w:lang w:val="en-US" w:eastAsia="zh-CN"/>
                    </w:rPr>
                  </w:pPr>
                  <w:r>
                    <w:rPr>
                      <w:rFonts w:hint="eastAsia"/>
                      <w:b/>
                      <w:bCs/>
                      <w:sz w:val="21"/>
                      <w:szCs w:val="21"/>
                      <w:u w:val="single"/>
                      <w:lang w:val="en-US" w:eastAsia="zh-CN"/>
                    </w:rPr>
                    <w:t>50</w:t>
                  </w:r>
                </w:p>
              </w:tc>
              <w:tc>
                <w:tcPr>
                  <w:tcW w:w="524" w:type="pct"/>
                  <w:tcBorders>
                    <w:top w:val="single" w:color="000000" w:sz="4" w:space="0"/>
                    <w:left w:val="single" w:color="000000" w:sz="4" w:space="0"/>
                    <w:bottom w:val="single" w:color="000000" w:sz="4" w:space="0"/>
                    <w:right w:val="nil"/>
                  </w:tcBorders>
                  <w:shd w:val="clear" w:color="auto" w:fill="auto"/>
                  <w:vAlign w:val="center"/>
                </w:tcPr>
                <w:p w14:paraId="12D4E7F2">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b/>
                      <w:bCs/>
                      <w:sz w:val="21"/>
                      <w:szCs w:val="21"/>
                      <w:u w:val="single"/>
                      <w:lang w:val="en-US" w:eastAsia="zh-CN"/>
                    </w:rPr>
                    <w:t>1</w:t>
                  </w:r>
                </w:p>
              </w:tc>
            </w:tr>
            <w:tr w14:paraId="5DA9A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0B05B">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筛丸机</w:t>
                  </w:r>
                </w:p>
              </w:tc>
              <w:tc>
                <w:tcPr>
                  <w:tcW w:w="557" w:type="pct"/>
                  <w:tcBorders>
                    <w:top w:val="single" w:color="000000" w:sz="4" w:space="0"/>
                    <w:left w:val="single" w:color="000000" w:sz="4" w:space="0"/>
                    <w:bottom w:val="single" w:color="000000" w:sz="4" w:space="0"/>
                    <w:right w:val="nil"/>
                  </w:tcBorders>
                  <w:shd w:val="clear" w:color="auto" w:fill="auto"/>
                  <w:vAlign w:val="center"/>
                </w:tcPr>
                <w:p w14:paraId="39189EB9">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70</w:t>
                  </w:r>
                </w:p>
              </w:tc>
              <w:tc>
                <w:tcPr>
                  <w:tcW w:w="793" w:type="pct"/>
                  <w:tcBorders>
                    <w:top w:val="single" w:color="000000" w:sz="4" w:space="0"/>
                    <w:left w:val="single" w:color="000000" w:sz="4" w:space="0"/>
                    <w:bottom w:val="single" w:color="000000" w:sz="4" w:space="0"/>
                    <w:right w:val="nil"/>
                  </w:tcBorders>
                  <w:shd w:val="clear" w:color="auto" w:fill="auto"/>
                  <w:vAlign w:val="center"/>
                </w:tcPr>
                <w:p w14:paraId="21F753AD">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b/>
                      <w:bCs/>
                      <w:sz w:val="21"/>
                      <w:szCs w:val="21"/>
                      <w:u w:val="single"/>
                    </w:rPr>
                    <w:t>基础减振＋厂房隔声</w:t>
                  </w:r>
                </w:p>
              </w:tc>
              <w:tc>
                <w:tcPr>
                  <w:tcW w:w="502" w:type="pct"/>
                  <w:tcBorders>
                    <w:top w:val="single" w:color="000000" w:sz="4" w:space="0"/>
                    <w:left w:val="single" w:color="000000" w:sz="4" w:space="0"/>
                    <w:bottom w:val="single" w:color="000000" w:sz="4" w:space="0"/>
                    <w:right w:val="nil"/>
                  </w:tcBorders>
                  <w:shd w:val="clear" w:color="auto" w:fill="auto"/>
                  <w:vAlign w:val="center"/>
                </w:tcPr>
                <w:p w14:paraId="3A74AEC1">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eastAsia="宋体"/>
                      <w:b/>
                      <w:bCs/>
                      <w:sz w:val="21"/>
                      <w:szCs w:val="21"/>
                      <w:u w:val="single"/>
                      <w:lang w:val="en-US" w:eastAsia="zh-CN"/>
                    </w:rPr>
                  </w:pPr>
                  <w:r>
                    <w:rPr>
                      <w:rFonts w:hint="eastAsia"/>
                      <w:b/>
                      <w:bCs/>
                      <w:sz w:val="21"/>
                      <w:szCs w:val="21"/>
                      <w:u w:val="single"/>
                      <w:lang w:val="en-US" w:eastAsia="zh-CN"/>
                    </w:rPr>
                    <w:t>5</w:t>
                  </w:r>
                </w:p>
              </w:tc>
              <w:tc>
                <w:tcPr>
                  <w:tcW w:w="411" w:type="pct"/>
                  <w:tcBorders>
                    <w:top w:val="single" w:color="000000" w:sz="4" w:space="0"/>
                    <w:left w:val="single" w:color="000000" w:sz="4" w:space="0"/>
                    <w:bottom w:val="single" w:color="000000" w:sz="4" w:space="0"/>
                    <w:right w:val="nil"/>
                  </w:tcBorders>
                  <w:shd w:val="clear" w:color="auto" w:fill="auto"/>
                  <w:vAlign w:val="center"/>
                </w:tcPr>
                <w:p w14:paraId="4392FEAA">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70</w:t>
                  </w:r>
                </w:p>
              </w:tc>
              <w:tc>
                <w:tcPr>
                  <w:tcW w:w="517" w:type="pct"/>
                  <w:tcBorders>
                    <w:top w:val="single" w:color="000000" w:sz="4" w:space="0"/>
                    <w:left w:val="single" w:color="000000" w:sz="4" w:space="0"/>
                    <w:bottom w:val="single" w:color="000000" w:sz="4" w:space="0"/>
                    <w:right w:val="nil"/>
                  </w:tcBorders>
                  <w:shd w:val="clear" w:color="auto" w:fill="auto"/>
                  <w:vAlign w:val="center"/>
                </w:tcPr>
                <w:p w14:paraId="0FB47018">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cs="Times New Roman"/>
                      <w:b/>
                      <w:bCs/>
                      <w:i w:val="0"/>
                      <w:iCs w:val="0"/>
                      <w:color w:val="000000"/>
                      <w:kern w:val="0"/>
                      <w:sz w:val="21"/>
                      <w:szCs w:val="21"/>
                      <w:u w:val="single"/>
                      <w:lang w:val="en-US" w:eastAsia="zh-CN" w:bidi="ar"/>
                    </w:rPr>
                    <w:t>昼间</w:t>
                  </w:r>
                </w:p>
              </w:tc>
              <w:tc>
                <w:tcPr>
                  <w:tcW w:w="397" w:type="pct"/>
                  <w:tcBorders>
                    <w:top w:val="single" w:color="000000" w:sz="4" w:space="0"/>
                    <w:left w:val="single" w:color="000000" w:sz="4" w:space="0"/>
                    <w:bottom w:val="single" w:color="000000" w:sz="4" w:space="0"/>
                    <w:right w:val="nil"/>
                  </w:tcBorders>
                  <w:shd w:val="clear" w:color="auto" w:fill="auto"/>
                  <w:vAlign w:val="center"/>
                </w:tcPr>
                <w:p w14:paraId="23ACA4C9">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b/>
                      <w:bCs/>
                      <w:szCs w:val="21"/>
                      <w:u w:val="single"/>
                    </w:rPr>
                    <w:t>20</w:t>
                  </w:r>
                </w:p>
              </w:tc>
              <w:tc>
                <w:tcPr>
                  <w:tcW w:w="406" w:type="pct"/>
                  <w:tcBorders>
                    <w:top w:val="single" w:color="000000" w:sz="4" w:space="0"/>
                    <w:left w:val="single" w:color="000000" w:sz="4" w:space="0"/>
                    <w:bottom w:val="single" w:color="000000" w:sz="4" w:space="0"/>
                    <w:right w:val="nil"/>
                  </w:tcBorders>
                  <w:shd w:val="clear" w:color="auto" w:fill="auto"/>
                  <w:vAlign w:val="center"/>
                </w:tcPr>
                <w:p w14:paraId="432AD773">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eastAsia="宋体"/>
                      <w:b/>
                      <w:bCs/>
                      <w:sz w:val="21"/>
                      <w:szCs w:val="21"/>
                      <w:u w:val="single"/>
                      <w:lang w:val="en-US" w:eastAsia="zh-CN"/>
                    </w:rPr>
                  </w:pPr>
                  <w:r>
                    <w:rPr>
                      <w:rFonts w:hint="eastAsia"/>
                      <w:b/>
                      <w:bCs/>
                      <w:sz w:val="21"/>
                      <w:szCs w:val="21"/>
                      <w:u w:val="single"/>
                      <w:lang w:val="en-US" w:eastAsia="zh-CN"/>
                    </w:rPr>
                    <w:t>50</w:t>
                  </w:r>
                </w:p>
              </w:tc>
              <w:tc>
                <w:tcPr>
                  <w:tcW w:w="524" w:type="pct"/>
                  <w:tcBorders>
                    <w:top w:val="single" w:color="000000" w:sz="4" w:space="0"/>
                    <w:left w:val="single" w:color="000000" w:sz="4" w:space="0"/>
                    <w:bottom w:val="single" w:color="000000" w:sz="4" w:space="0"/>
                    <w:right w:val="nil"/>
                  </w:tcBorders>
                  <w:shd w:val="clear" w:color="auto" w:fill="auto"/>
                  <w:vAlign w:val="center"/>
                </w:tcPr>
                <w:p w14:paraId="7EBDC532">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b/>
                      <w:bCs/>
                      <w:sz w:val="21"/>
                      <w:szCs w:val="21"/>
                      <w:u w:val="single"/>
                      <w:lang w:val="en-US" w:eastAsia="zh-CN"/>
                    </w:rPr>
                    <w:t>1</w:t>
                  </w:r>
                </w:p>
              </w:tc>
            </w:tr>
            <w:tr w14:paraId="143E3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2A20B">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中药丸剂干燥机</w:t>
                  </w:r>
                </w:p>
              </w:tc>
              <w:tc>
                <w:tcPr>
                  <w:tcW w:w="557" w:type="pct"/>
                  <w:tcBorders>
                    <w:top w:val="single" w:color="000000" w:sz="4" w:space="0"/>
                    <w:left w:val="single" w:color="000000" w:sz="4" w:space="0"/>
                    <w:bottom w:val="single" w:color="000000" w:sz="4" w:space="0"/>
                    <w:right w:val="nil"/>
                  </w:tcBorders>
                  <w:shd w:val="clear" w:color="auto" w:fill="auto"/>
                  <w:vAlign w:val="center"/>
                </w:tcPr>
                <w:p w14:paraId="33CBE8D4">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80</w:t>
                  </w:r>
                </w:p>
              </w:tc>
              <w:tc>
                <w:tcPr>
                  <w:tcW w:w="793" w:type="pct"/>
                  <w:tcBorders>
                    <w:top w:val="single" w:color="000000" w:sz="4" w:space="0"/>
                    <w:left w:val="single" w:color="000000" w:sz="4" w:space="0"/>
                    <w:bottom w:val="single" w:color="000000" w:sz="4" w:space="0"/>
                    <w:right w:val="nil"/>
                  </w:tcBorders>
                  <w:shd w:val="clear" w:color="auto" w:fill="auto"/>
                  <w:vAlign w:val="center"/>
                </w:tcPr>
                <w:p w14:paraId="70A115DE">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b/>
                      <w:bCs/>
                      <w:sz w:val="21"/>
                      <w:szCs w:val="21"/>
                      <w:u w:val="single"/>
                    </w:rPr>
                    <w:t>基础减振＋厂房隔声</w:t>
                  </w:r>
                </w:p>
              </w:tc>
              <w:tc>
                <w:tcPr>
                  <w:tcW w:w="502" w:type="pct"/>
                  <w:tcBorders>
                    <w:top w:val="single" w:color="000000" w:sz="4" w:space="0"/>
                    <w:left w:val="single" w:color="000000" w:sz="4" w:space="0"/>
                    <w:bottom w:val="single" w:color="000000" w:sz="4" w:space="0"/>
                    <w:right w:val="nil"/>
                  </w:tcBorders>
                  <w:shd w:val="clear" w:color="auto" w:fill="auto"/>
                  <w:vAlign w:val="center"/>
                </w:tcPr>
                <w:p w14:paraId="6167F836">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eastAsia="宋体"/>
                      <w:b/>
                      <w:bCs/>
                      <w:sz w:val="21"/>
                      <w:szCs w:val="21"/>
                      <w:u w:val="single"/>
                      <w:lang w:val="en-US" w:eastAsia="zh-CN"/>
                    </w:rPr>
                  </w:pPr>
                  <w:r>
                    <w:rPr>
                      <w:rFonts w:hint="eastAsia"/>
                      <w:b/>
                      <w:bCs/>
                      <w:sz w:val="21"/>
                      <w:szCs w:val="21"/>
                      <w:u w:val="single"/>
                      <w:lang w:val="en-US" w:eastAsia="zh-CN"/>
                    </w:rPr>
                    <w:t>5</w:t>
                  </w:r>
                </w:p>
              </w:tc>
              <w:tc>
                <w:tcPr>
                  <w:tcW w:w="411" w:type="pct"/>
                  <w:tcBorders>
                    <w:top w:val="single" w:color="000000" w:sz="4" w:space="0"/>
                    <w:left w:val="single" w:color="000000" w:sz="4" w:space="0"/>
                    <w:bottom w:val="single" w:color="000000" w:sz="4" w:space="0"/>
                    <w:right w:val="nil"/>
                  </w:tcBorders>
                  <w:shd w:val="clear" w:color="auto" w:fill="auto"/>
                  <w:vAlign w:val="center"/>
                </w:tcPr>
                <w:p w14:paraId="63699F34">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80</w:t>
                  </w:r>
                </w:p>
              </w:tc>
              <w:tc>
                <w:tcPr>
                  <w:tcW w:w="517" w:type="pct"/>
                  <w:tcBorders>
                    <w:top w:val="single" w:color="000000" w:sz="4" w:space="0"/>
                    <w:left w:val="single" w:color="000000" w:sz="4" w:space="0"/>
                    <w:bottom w:val="single" w:color="000000" w:sz="4" w:space="0"/>
                    <w:right w:val="nil"/>
                  </w:tcBorders>
                  <w:shd w:val="clear" w:color="auto" w:fill="auto"/>
                  <w:vAlign w:val="center"/>
                </w:tcPr>
                <w:p w14:paraId="278F553D">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cs="Times New Roman"/>
                      <w:b/>
                      <w:bCs/>
                      <w:i w:val="0"/>
                      <w:iCs w:val="0"/>
                      <w:color w:val="000000"/>
                      <w:kern w:val="0"/>
                      <w:sz w:val="21"/>
                      <w:szCs w:val="21"/>
                      <w:u w:val="single"/>
                      <w:lang w:val="en-US" w:eastAsia="zh-CN" w:bidi="ar"/>
                    </w:rPr>
                    <w:t>昼间</w:t>
                  </w:r>
                </w:p>
              </w:tc>
              <w:tc>
                <w:tcPr>
                  <w:tcW w:w="397" w:type="pct"/>
                  <w:tcBorders>
                    <w:top w:val="single" w:color="000000" w:sz="4" w:space="0"/>
                    <w:left w:val="single" w:color="000000" w:sz="4" w:space="0"/>
                    <w:bottom w:val="single" w:color="000000" w:sz="4" w:space="0"/>
                    <w:right w:val="nil"/>
                  </w:tcBorders>
                  <w:shd w:val="clear" w:color="auto" w:fill="auto"/>
                  <w:vAlign w:val="center"/>
                </w:tcPr>
                <w:p w14:paraId="1B596EF8">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b/>
                      <w:bCs/>
                      <w:szCs w:val="21"/>
                      <w:u w:val="single"/>
                    </w:rPr>
                    <w:t>20</w:t>
                  </w:r>
                </w:p>
              </w:tc>
              <w:tc>
                <w:tcPr>
                  <w:tcW w:w="406" w:type="pct"/>
                  <w:tcBorders>
                    <w:top w:val="single" w:color="000000" w:sz="4" w:space="0"/>
                    <w:left w:val="single" w:color="000000" w:sz="4" w:space="0"/>
                    <w:bottom w:val="single" w:color="000000" w:sz="4" w:space="0"/>
                    <w:right w:val="nil"/>
                  </w:tcBorders>
                  <w:shd w:val="clear" w:color="auto" w:fill="auto"/>
                  <w:vAlign w:val="center"/>
                </w:tcPr>
                <w:p w14:paraId="6F225EFC">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eastAsia="宋体"/>
                      <w:b/>
                      <w:bCs/>
                      <w:sz w:val="21"/>
                      <w:szCs w:val="21"/>
                      <w:u w:val="single"/>
                      <w:lang w:val="en-US" w:eastAsia="zh-CN"/>
                    </w:rPr>
                  </w:pPr>
                  <w:r>
                    <w:rPr>
                      <w:rFonts w:hint="eastAsia"/>
                      <w:b/>
                      <w:bCs/>
                      <w:sz w:val="21"/>
                      <w:szCs w:val="21"/>
                      <w:u w:val="single"/>
                      <w:lang w:val="en-US" w:eastAsia="zh-CN"/>
                    </w:rPr>
                    <w:t>60</w:t>
                  </w:r>
                </w:p>
              </w:tc>
              <w:tc>
                <w:tcPr>
                  <w:tcW w:w="524" w:type="pct"/>
                  <w:tcBorders>
                    <w:top w:val="single" w:color="000000" w:sz="4" w:space="0"/>
                    <w:left w:val="single" w:color="000000" w:sz="4" w:space="0"/>
                    <w:bottom w:val="single" w:color="000000" w:sz="4" w:space="0"/>
                    <w:right w:val="nil"/>
                  </w:tcBorders>
                  <w:shd w:val="clear" w:color="auto" w:fill="auto"/>
                  <w:vAlign w:val="center"/>
                </w:tcPr>
                <w:p w14:paraId="46F1362E">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b/>
                      <w:bCs/>
                      <w:sz w:val="21"/>
                      <w:szCs w:val="21"/>
                      <w:u w:val="single"/>
                      <w:lang w:val="en-US" w:eastAsia="zh-CN"/>
                    </w:rPr>
                    <w:t>1</w:t>
                  </w:r>
                </w:p>
              </w:tc>
            </w:tr>
            <w:tr w14:paraId="30AC3D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96E42">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糖衣抛光机</w:t>
                  </w:r>
                </w:p>
              </w:tc>
              <w:tc>
                <w:tcPr>
                  <w:tcW w:w="557" w:type="pct"/>
                  <w:tcBorders>
                    <w:top w:val="single" w:color="000000" w:sz="4" w:space="0"/>
                    <w:left w:val="single" w:color="000000" w:sz="4" w:space="0"/>
                    <w:bottom w:val="single" w:color="000000" w:sz="4" w:space="0"/>
                    <w:right w:val="nil"/>
                  </w:tcBorders>
                  <w:shd w:val="clear" w:color="auto" w:fill="auto"/>
                  <w:vAlign w:val="center"/>
                </w:tcPr>
                <w:p w14:paraId="0EAF3192">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70</w:t>
                  </w:r>
                </w:p>
              </w:tc>
              <w:tc>
                <w:tcPr>
                  <w:tcW w:w="793" w:type="pct"/>
                  <w:tcBorders>
                    <w:top w:val="single" w:color="000000" w:sz="4" w:space="0"/>
                    <w:left w:val="single" w:color="000000" w:sz="4" w:space="0"/>
                    <w:bottom w:val="single" w:color="000000" w:sz="4" w:space="0"/>
                    <w:right w:val="nil"/>
                  </w:tcBorders>
                  <w:shd w:val="clear" w:color="auto" w:fill="auto"/>
                  <w:vAlign w:val="center"/>
                </w:tcPr>
                <w:p w14:paraId="414DD22E">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b/>
                      <w:bCs/>
                      <w:sz w:val="21"/>
                      <w:szCs w:val="21"/>
                      <w:u w:val="single"/>
                    </w:rPr>
                    <w:t>基础减振＋厂房隔声</w:t>
                  </w:r>
                </w:p>
              </w:tc>
              <w:tc>
                <w:tcPr>
                  <w:tcW w:w="502" w:type="pct"/>
                  <w:tcBorders>
                    <w:top w:val="single" w:color="000000" w:sz="4" w:space="0"/>
                    <w:left w:val="single" w:color="000000" w:sz="4" w:space="0"/>
                    <w:bottom w:val="single" w:color="000000" w:sz="4" w:space="0"/>
                    <w:right w:val="nil"/>
                  </w:tcBorders>
                  <w:shd w:val="clear" w:color="auto" w:fill="auto"/>
                  <w:vAlign w:val="center"/>
                </w:tcPr>
                <w:p w14:paraId="6707BBDD">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eastAsia="宋体"/>
                      <w:b/>
                      <w:bCs/>
                      <w:sz w:val="21"/>
                      <w:szCs w:val="21"/>
                      <w:u w:val="single"/>
                      <w:lang w:val="en-US" w:eastAsia="zh-CN"/>
                    </w:rPr>
                  </w:pPr>
                  <w:r>
                    <w:rPr>
                      <w:rFonts w:hint="eastAsia"/>
                      <w:b/>
                      <w:bCs/>
                      <w:sz w:val="21"/>
                      <w:szCs w:val="21"/>
                      <w:u w:val="single"/>
                      <w:lang w:val="en-US" w:eastAsia="zh-CN"/>
                    </w:rPr>
                    <w:t>5</w:t>
                  </w:r>
                </w:p>
              </w:tc>
              <w:tc>
                <w:tcPr>
                  <w:tcW w:w="411" w:type="pct"/>
                  <w:tcBorders>
                    <w:top w:val="single" w:color="000000" w:sz="4" w:space="0"/>
                    <w:left w:val="single" w:color="000000" w:sz="4" w:space="0"/>
                    <w:bottom w:val="single" w:color="000000" w:sz="4" w:space="0"/>
                    <w:right w:val="nil"/>
                  </w:tcBorders>
                  <w:shd w:val="clear" w:color="auto" w:fill="auto"/>
                  <w:vAlign w:val="center"/>
                </w:tcPr>
                <w:p w14:paraId="78135A48">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70</w:t>
                  </w:r>
                </w:p>
              </w:tc>
              <w:tc>
                <w:tcPr>
                  <w:tcW w:w="517" w:type="pct"/>
                  <w:tcBorders>
                    <w:top w:val="single" w:color="000000" w:sz="4" w:space="0"/>
                    <w:left w:val="single" w:color="000000" w:sz="4" w:space="0"/>
                    <w:bottom w:val="single" w:color="000000" w:sz="4" w:space="0"/>
                    <w:right w:val="nil"/>
                  </w:tcBorders>
                  <w:shd w:val="clear" w:color="auto" w:fill="auto"/>
                  <w:vAlign w:val="center"/>
                </w:tcPr>
                <w:p w14:paraId="0B0F5798">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cs="Times New Roman"/>
                      <w:b/>
                      <w:bCs/>
                      <w:i w:val="0"/>
                      <w:iCs w:val="0"/>
                      <w:color w:val="000000"/>
                      <w:kern w:val="0"/>
                      <w:sz w:val="21"/>
                      <w:szCs w:val="21"/>
                      <w:u w:val="single"/>
                      <w:lang w:val="en-US" w:eastAsia="zh-CN" w:bidi="ar"/>
                    </w:rPr>
                    <w:t>昼间</w:t>
                  </w:r>
                </w:p>
              </w:tc>
              <w:tc>
                <w:tcPr>
                  <w:tcW w:w="397" w:type="pct"/>
                  <w:tcBorders>
                    <w:top w:val="single" w:color="000000" w:sz="4" w:space="0"/>
                    <w:left w:val="single" w:color="000000" w:sz="4" w:space="0"/>
                    <w:bottom w:val="single" w:color="000000" w:sz="4" w:space="0"/>
                    <w:right w:val="nil"/>
                  </w:tcBorders>
                  <w:shd w:val="clear" w:color="auto" w:fill="auto"/>
                  <w:vAlign w:val="center"/>
                </w:tcPr>
                <w:p w14:paraId="56B1DE20">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b/>
                      <w:bCs/>
                      <w:szCs w:val="21"/>
                      <w:u w:val="single"/>
                    </w:rPr>
                    <w:t>20</w:t>
                  </w:r>
                </w:p>
              </w:tc>
              <w:tc>
                <w:tcPr>
                  <w:tcW w:w="406" w:type="pct"/>
                  <w:tcBorders>
                    <w:top w:val="single" w:color="000000" w:sz="4" w:space="0"/>
                    <w:left w:val="single" w:color="000000" w:sz="4" w:space="0"/>
                    <w:bottom w:val="single" w:color="000000" w:sz="4" w:space="0"/>
                    <w:right w:val="nil"/>
                  </w:tcBorders>
                  <w:shd w:val="clear" w:color="auto" w:fill="auto"/>
                  <w:vAlign w:val="center"/>
                </w:tcPr>
                <w:p w14:paraId="47964F19">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eastAsia="宋体"/>
                      <w:b/>
                      <w:bCs/>
                      <w:sz w:val="21"/>
                      <w:szCs w:val="21"/>
                      <w:u w:val="single"/>
                      <w:lang w:val="en-US" w:eastAsia="zh-CN"/>
                    </w:rPr>
                  </w:pPr>
                  <w:r>
                    <w:rPr>
                      <w:rFonts w:hint="eastAsia"/>
                      <w:b/>
                      <w:bCs/>
                      <w:sz w:val="21"/>
                      <w:szCs w:val="21"/>
                      <w:u w:val="single"/>
                      <w:lang w:val="en-US" w:eastAsia="zh-CN"/>
                    </w:rPr>
                    <w:t>50</w:t>
                  </w:r>
                </w:p>
              </w:tc>
              <w:tc>
                <w:tcPr>
                  <w:tcW w:w="524" w:type="pct"/>
                  <w:tcBorders>
                    <w:top w:val="single" w:color="000000" w:sz="4" w:space="0"/>
                    <w:left w:val="single" w:color="000000" w:sz="4" w:space="0"/>
                    <w:bottom w:val="single" w:color="000000" w:sz="4" w:space="0"/>
                    <w:right w:val="nil"/>
                  </w:tcBorders>
                  <w:shd w:val="clear" w:color="auto" w:fill="auto"/>
                  <w:vAlign w:val="center"/>
                </w:tcPr>
                <w:p w14:paraId="4BBC45F2">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b/>
                      <w:bCs/>
                      <w:sz w:val="21"/>
                      <w:szCs w:val="21"/>
                      <w:u w:val="single"/>
                      <w:lang w:val="en-US" w:eastAsia="zh-CN"/>
                    </w:rPr>
                    <w:t>1</w:t>
                  </w:r>
                </w:p>
              </w:tc>
            </w:tr>
            <w:tr w14:paraId="23D0E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AC19B">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低温破壁粉碎机</w:t>
                  </w:r>
                </w:p>
              </w:tc>
              <w:tc>
                <w:tcPr>
                  <w:tcW w:w="557" w:type="pct"/>
                  <w:tcBorders>
                    <w:top w:val="single" w:color="000000" w:sz="4" w:space="0"/>
                    <w:left w:val="single" w:color="000000" w:sz="4" w:space="0"/>
                    <w:bottom w:val="single" w:color="000000" w:sz="4" w:space="0"/>
                    <w:right w:val="nil"/>
                  </w:tcBorders>
                  <w:shd w:val="clear" w:color="auto" w:fill="auto"/>
                  <w:vAlign w:val="center"/>
                </w:tcPr>
                <w:p w14:paraId="16C7D359">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75</w:t>
                  </w:r>
                </w:p>
              </w:tc>
              <w:tc>
                <w:tcPr>
                  <w:tcW w:w="793" w:type="pct"/>
                  <w:tcBorders>
                    <w:top w:val="single" w:color="000000" w:sz="4" w:space="0"/>
                    <w:left w:val="single" w:color="000000" w:sz="4" w:space="0"/>
                    <w:bottom w:val="single" w:color="000000" w:sz="4" w:space="0"/>
                    <w:right w:val="nil"/>
                  </w:tcBorders>
                  <w:shd w:val="clear" w:color="auto" w:fill="auto"/>
                  <w:vAlign w:val="center"/>
                </w:tcPr>
                <w:p w14:paraId="3F54840A">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b/>
                      <w:bCs/>
                      <w:sz w:val="21"/>
                      <w:szCs w:val="21"/>
                      <w:u w:val="single"/>
                    </w:rPr>
                    <w:t>基础减振＋厂房隔声</w:t>
                  </w:r>
                </w:p>
              </w:tc>
              <w:tc>
                <w:tcPr>
                  <w:tcW w:w="502" w:type="pct"/>
                  <w:tcBorders>
                    <w:top w:val="single" w:color="000000" w:sz="4" w:space="0"/>
                    <w:left w:val="single" w:color="000000" w:sz="4" w:space="0"/>
                    <w:bottom w:val="single" w:color="000000" w:sz="4" w:space="0"/>
                    <w:right w:val="nil"/>
                  </w:tcBorders>
                  <w:shd w:val="clear" w:color="auto" w:fill="auto"/>
                  <w:vAlign w:val="center"/>
                </w:tcPr>
                <w:p w14:paraId="5DBE8152">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eastAsia="宋体"/>
                      <w:b/>
                      <w:bCs/>
                      <w:sz w:val="21"/>
                      <w:szCs w:val="21"/>
                      <w:u w:val="single"/>
                      <w:lang w:val="en-US" w:eastAsia="zh-CN"/>
                    </w:rPr>
                  </w:pPr>
                  <w:r>
                    <w:rPr>
                      <w:rFonts w:hint="eastAsia"/>
                      <w:b/>
                      <w:bCs/>
                      <w:sz w:val="21"/>
                      <w:szCs w:val="21"/>
                      <w:u w:val="single"/>
                      <w:lang w:val="en-US" w:eastAsia="zh-CN"/>
                    </w:rPr>
                    <w:t>5</w:t>
                  </w:r>
                </w:p>
              </w:tc>
              <w:tc>
                <w:tcPr>
                  <w:tcW w:w="411" w:type="pct"/>
                  <w:tcBorders>
                    <w:top w:val="single" w:color="000000" w:sz="4" w:space="0"/>
                    <w:left w:val="single" w:color="000000" w:sz="4" w:space="0"/>
                    <w:bottom w:val="single" w:color="000000" w:sz="4" w:space="0"/>
                    <w:right w:val="nil"/>
                  </w:tcBorders>
                  <w:shd w:val="clear" w:color="auto" w:fill="auto"/>
                  <w:vAlign w:val="center"/>
                </w:tcPr>
                <w:p w14:paraId="19E2F09C">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75</w:t>
                  </w:r>
                </w:p>
              </w:tc>
              <w:tc>
                <w:tcPr>
                  <w:tcW w:w="517" w:type="pct"/>
                  <w:tcBorders>
                    <w:top w:val="single" w:color="000000" w:sz="4" w:space="0"/>
                    <w:left w:val="single" w:color="000000" w:sz="4" w:space="0"/>
                    <w:bottom w:val="single" w:color="000000" w:sz="4" w:space="0"/>
                    <w:right w:val="nil"/>
                  </w:tcBorders>
                  <w:shd w:val="clear" w:color="auto" w:fill="auto"/>
                  <w:vAlign w:val="center"/>
                </w:tcPr>
                <w:p w14:paraId="52367F68">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cs="Times New Roman"/>
                      <w:b/>
                      <w:bCs/>
                      <w:i w:val="0"/>
                      <w:iCs w:val="0"/>
                      <w:color w:val="000000"/>
                      <w:kern w:val="0"/>
                      <w:sz w:val="21"/>
                      <w:szCs w:val="21"/>
                      <w:u w:val="single"/>
                      <w:lang w:val="en-US" w:eastAsia="zh-CN" w:bidi="ar"/>
                    </w:rPr>
                    <w:t>昼间</w:t>
                  </w:r>
                </w:p>
              </w:tc>
              <w:tc>
                <w:tcPr>
                  <w:tcW w:w="397" w:type="pct"/>
                  <w:tcBorders>
                    <w:top w:val="single" w:color="000000" w:sz="4" w:space="0"/>
                    <w:left w:val="single" w:color="000000" w:sz="4" w:space="0"/>
                    <w:bottom w:val="single" w:color="000000" w:sz="4" w:space="0"/>
                    <w:right w:val="nil"/>
                  </w:tcBorders>
                  <w:shd w:val="clear" w:color="auto" w:fill="auto"/>
                  <w:vAlign w:val="center"/>
                </w:tcPr>
                <w:p w14:paraId="2876275E">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b/>
                      <w:bCs/>
                      <w:szCs w:val="21"/>
                      <w:u w:val="single"/>
                    </w:rPr>
                    <w:t>20</w:t>
                  </w:r>
                </w:p>
              </w:tc>
              <w:tc>
                <w:tcPr>
                  <w:tcW w:w="406" w:type="pct"/>
                  <w:tcBorders>
                    <w:top w:val="single" w:color="000000" w:sz="4" w:space="0"/>
                    <w:left w:val="single" w:color="000000" w:sz="4" w:space="0"/>
                    <w:bottom w:val="single" w:color="000000" w:sz="4" w:space="0"/>
                    <w:right w:val="nil"/>
                  </w:tcBorders>
                  <w:shd w:val="clear" w:color="auto" w:fill="auto"/>
                  <w:vAlign w:val="center"/>
                </w:tcPr>
                <w:p w14:paraId="4C4657F0">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eastAsia="宋体"/>
                      <w:b/>
                      <w:bCs/>
                      <w:sz w:val="21"/>
                      <w:szCs w:val="21"/>
                      <w:u w:val="single"/>
                      <w:lang w:val="en-US" w:eastAsia="zh-CN"/>
                    </w:rPr>
                  </w:pPr>
                  <w:r>
                    <w:rPr>
                      <w:rFonts w:hint="eastAsia"/>
                      <w:b/>
                      <w:bCs/>
                      <w:sz w:val="21"/>
                      <w:szCs w:val="21"/>
                      <w:u w:val="single"/>
                      <w:lang w:val="en-US" w:eastAsia="zh-CN"/>
                    </w:rPr>
                    <w:t>55</w:t>
                  </w:r>
                </w:p>
              </w:tc>
              <w:tc>
                <w:tcPr>
                  <w:tcW w:w="524" w:type="pct"/>
                  <w:tcBorders>
                    <w:top w:val="single" w:color="000000" w:sz="4" w:space="0"/>
                    <w:left w:val="single" w:color="000000" w:sz="4" w:space="0"/>
                    <w:bottom w:val="single" w:color="000000" w:sz="4" w:space="0"/>
                    <w:right w:val="nil"/>
                  </w:tcBorders>
                  <w:shd w:val="clear" w:color="auto" w:fill="auto"/>
                  <w:vAlign w:val="center"/>
                </w:tcPr>
                <w:p w14:paraId="1FCE6EE0">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b/>
                      <w:bCs/>
                      <w:sz w:val="21"/>
                      <w:szCs w:val="21"/>
                      <w:u w:val="single"/>
                      <w:lang w:val="en-US" w:eastAsia="zh-CN"/>
                    </w:rPr>
                    <w:t>1</w:t>
                  </w:r>
                </w:p>
              </w:tc>
            </w:tr>
            <w:tr w14:paraId="513CE5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847D0">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电磁炒药机</w:t>
                  </w:r>
                </w:p>
              </w:tc>
              <w:tc>
                <w:tcPr>
                  <w:tcW w:w="557" w:type="pct"/>
                  <w:tcBorders>
                    <w:top w:val="single" w:color="000000" w:sz="4" w:space="0"/>
                    <w:left w:val="single" w:color="000000" w:sz="4" w:space="0"/>
                    <w:bottom w:val="single" w:color="000000" w:sz="4" w:space="0"/>
                    <w:right w:val="nil"/>
                  </w:tcBorders>
                  <w:shd w:val="clear" w:color="auto" w:fill="auto"/>
                  <w:vAlign w:val="center"/>
                </w:tcPr>
                <w:p w14:paraId="23760783">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75</w:t>
                  </w:r>
                </w:p>
              </w:tc>
              <w:tc>
                <w:tcPr>
                  <w:tcW w:w="793" w:type="pct"/>
                  <w:tcBorders>
                    <w:top w:val="single" w:color="000000" w:sz="4" w:space="0"/>
                    <w:left w:val="single" w:color="000000" w:sz="4" w:space="0"/>
                    <w:bottom w:val="single" w:color="000000" w:sz="4" w:space="0"/>
                    <w:right w:val="nil"/>
                  </w:tcBorders>
                  <w:shd w:val="clear" w:color="auto" w:fill="auto"/>
                  <w:vAlign w:val="center"/>
                </w:tcPr>
                <w:p w14:paraId="1AC9FF1A">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b/>
                      <w:bCs/>
                      <w:sz w:val="21"/>
                      <w:szCs w:val="21"/>
                      <w:u w:val="single"/>
                    </w:rPr>
                    <w:t>基础减振＋厂房隔声</w:t>
                  </w:r>
                </w:p>
              </w:tc>
              <w:tc>
                <w:tcPr>
                  <w:tcW w:w="502" w:type="pct"/>
                  <w:tcBorders>
                    <w:top w:val="single" w:color="000000" w:sz="4" w:space="0"/>
                    <w:left w:val="single" w:color="000000" w:sz="4" w:space="0"/>
                    <w:bottom w:val="single" w:color="000000" w:sz="4" w:space="0"/>
                    <w:right w:val="nil"/>
                  </w:tcBorders>
                  <w:shd w:val="clear" w:color="auto" w:fill="auto"/>
                  <w:vAlign w:val="center"/>
                </w:tcPr>
                <w:p w14:paraId="3E807890">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eastAsia="宋体"/>
                      <w:b/>
                      <w:bCs/>
                      <w:sz w:val="21"/>
                      <w:szCs w:val="21"/>
                      <w:u w:val="single"/>
                      <w:lang w:val="en-US" w:eastAsia="zh-CN"/>
                    </w:rPr>
                  </w:pPr>
                  <w:r>
                    <w:rPr>
                      <w:rFonts w:hint="eastAsia"/>
                      <w:b/>
                      <w:bCs/>
                      <w:sz w:val="21"/>
                      <w:szCs w:val="21"/>
                      <w:u w:val="single"/>
                      <w:lang w:val="en-US" w:eastAsia="zh-CN"/>
                    </w:rPr>
                    <w:t>5</w:t>
                  </w:r>
                </w:p>
              </w:tc>
              <w:tc>
                <w:tcPr>
                  <w:tcW w:w="411" w:type="pct"/>
                  <w:tcBorders>
                    <w:top w:val="single" w:color="000000" w:sz="4" w:space="0"/>
                    <w:left w:val="single" w:color="000000" w:sz="4" w:space="0"/>
                    <w:bottom w:val="single" w:color="000000" w:sz="4" w:space="0"/>
                    <w:right w:val="nil"/>
                  </w:tcBorders>
                  <w:shd w:val="clear" w:color="auto" w:fill="auto"/>
                  <w:vAlign w:val="center"/>
                </w:tcPr>
                <w:p w14:paraId="01999162">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75</w:t>
                  </w:r>
                </w:p>
              </w:tc>
              <w:tc>
                <w:tcPr>
                  <w:tcW w:w="517" w:type="pct"/>
                  <w:tcBorders>
                    <w:top w:val="single" w:color="000000" w:sz="4" w:space="0"/>
                    <w:left w:val="single" w:color="000000" w:sz="4" w:space="0"/>
                    <w:bottom w:val="single" w:color="000000" w:sz="4" w:space="0"/>
                    <w:right w:val="nil"/>
                  </w:tcBorders>
                  <w:shd w:val="clear" w:color="auto" w:fill="auto"/>
                  <w:vAlign w:val="center"/>
                </w:tcPr>
                <w:p w14:paraId="54857FAE">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cs="Times New Roman"/>
                      <w:b/>
                      <w:bCs/>
                      <w:i w:val="0"/>
                      <w:iCs w:val="0"/>
                      <w:color w:val="000000"/>
                      <w:kern w:val="0"/>
                      <w:sz w:val="21"/>
                      <w:szCs w:val="21"/>
                      <w:u w:val="single"/>
                      <w:lang w:val="en-US" w:eastAsia="zh-CN" w:bidi="ar"/>
                    </w:rPr>
                    <w:t>昼间</w:t>
                  </w:r>
                </w:p>
              </w:tc>
              <w:tc>
                <w:tcPr>
                  <w:tcW w:w="397" w:type="pct"/>
                  <w:tcBorders>
                    <w:top w:val="single" w:color="000000" w:sz="4" w:space="0"/>
                    <w:left w:val="single" w:color="000000" w:sz="4" w:space="0"/>
                    <w:bottom w:val="single" w:color="000000" w:sz="4" w:space="0"/>
                    <w:right w:val="nil"/>
                  </w:tcBorders>
                  <w:shd w:val="clear" w:color="auto" w:fill="auto"/>
                  <w:vAlign w:val="center"/>
                </w:tcPr>
                <w:p w14:paraId="54BEF3A1">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b/>
                      <w:bCs/>
                      <w:szCs w:val="21"/>
                      <w:u w:val="single"/>
                    </w:rPr>
                    <w:t>20</w:t>
                  </w:r>
                </w:p>
              </w:tc>
              <w:tc>
                <w:tcPr>
                  <w:tcW w:w="406" w:type="pct"/>
                  <w:tcBorders>
                    <w:top w:val="single" w:color="000000" w:sz="4" w:space="0"/>
                    <w:left w:val="single" w:color="000000" w:sz="4" w:space="0"/>
                    <w:bottom w:val="single" w:color="000000" w:sz="4" w:space="0"/>
                    <w:right w:val="nil"/>
                  </w:tcBorders>
                  <w:shd w:val="clear" w:color="auto" w:fill="auto"/>
                  <w:vAlign w:val="center"/>
                </w:tcPr>
                <w:p w14:paraId="7D14F637">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eastAsia="宋体"/>
                      <w:b/>
                      <w:bCs/>
                      <w:sz w:val="21"/>
                      <w:szCs w:val="21"/>
                      <w:u w:val="single"/>
                      <w:lang w:val="en-US" w:eastAsia="zh-CN"/>
                    </w:rPr>
                  </w:pPr>
                  <w:r>
                    <w:rPr>
                      <w:rFonts w:hint="eastAsia"/>
                      <w:b/>
                      <w:bCs/>
                      <w:sz w:val="21"/>
                      <w:szCs w:val="21"/>
                      <w:u w:val="single"/>
                      <w:lang w:val="en-US" w:eastAsia="zh-CN"/>
                    </w:rPr>
                    <w:t>55</w:t>
                  </w:r>
                </w:p>
              </w:tc>
              <w:tc>
                <w:tcPr>
                  <w:tcW w:w="524" w:type="pct"/>
                  <w:tcBorders>
                    <w:top w:val="single" w:color="000000" w:sz="4" w:space="0"/>
                    <w:left w:val="single" w:color="000000" w:sz="4" w:space="0"/>
                    <w:bottom w:val="single" w:color="000000" w:sz="4" w:space="0"/>
                    <w:right w:val="nil"/>
                  </w:tcBorders>
                  <w:shd w:val="clear" w:color="auto" w:fill="auto"/>
                  <w:vAlign w:val="center"/>
                </w:tcPr>
                <w:p w14:paraId="5897C13B">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b/>
                      <w:bCs/>
                      <w:sz w:val="21"/>
                      <w:szCs w:val="21"/>
                      <w:u w:val="single"/>
                      <w:lang w:val="en-US" w:eastAsia="zh-CN"/>
                    </w:rPr>
                    <w:t>1</w:t>
                  </w:r>
                </w:p>
              </w:tc>
            </w:tr>
            <w:tr w14:paraId="63EEA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936A3">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筛选机</w:t>
                  </w:r>
                </w:p>
              </w:tc>
              <w:tc>
                <w:tcPr>
                  <w:tcW w:w="557" w:type="pct"/>
                  <w:tcBorders>
                    <w:top w:val="single" w:color="000000" w:sz="4" w:space="0"/>
                    <w:left w:val="single" w:color="000000" w:sz="4" w:space="0"/>
                    <w:bottom w:val="single" w:color="000000" w:sz="4" w:space="0"/>
                    <w:right w:val="nil"/>
                  </w:tcBorders>
                  <w:shd w:val="clear" w:color="auto" w:fill="auto"/>
                  <w:vAlign w:val="center"/>
                </w:tcPr>
                <w:p w14:paraId="60940B28">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80</w:t>
                  </w:r>
                </w:p>
              </w:tc>
              <w:tc>
                <w:tcPr>
                  <w:tcW w:w="793" w:type="pct"/>
                  <w:tcBorders>
                    <w:top w:val="single" w:color="000000" w:sz="4" w:space="0"/>
                    <w:left w:val="single" w:color="000000" w:sz="4" w:space="0"/>
                    <w:bottom w:val="single" w:color="000000" w:sz="4" w:space="0"/>
                    <w:right w:val="nil"/>
                  </w:tcBorders>
                  <w:shd w:val="clear" w:color="auto" w:fill="auto"/>
                  <w:vAlign w:val="center"/>
                </w:tcPr>
                <w:p w14:paraId="214CFA7E">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b/>
                      <w:bCs/>
                      <w:sz w:val="21"/>
                      <w:szCs w:val="21"/>
                      <w:u w:val="single"/>
                    </w:rPr>
                    <w:t>基础减振＋厂房隔声</w:t>
                  </w:r>
                </w:p>
              </w:tc>
              <w:tc>
                <w:tcPr>
                  <w:tcW w:w="502" w:type="pct"/>
                  <w:tcBorders>
                    <w:top w:val="single" w:color="000000" w:sz="4" w:space="0"/>
                    <w:left w:val="single" w:color="000000" w:sz="4" w:space="0"/>
                    <w:bottom w:val="single" w:color="000000" w:sz="4" w:space="0"/>
                    <w:right w:val="nil"/>
                  </w:tcBorders>
                  <w:shd w:val="clear" w:color="auto" w:fill="auto"/>
                  <w:vAlign w:val="center"/>
                </w:tcPr>
                <w:p w14:paraId="312F4C0F">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eastAsia="宋体"/>
                      <w:b/>
                      <w:bCs/>
                      <w:sz w:val="21"/>
                      <w:szCs w:val="21"/>
                      <w:u w:val="single"/>
                      <w:lang w:val="en-US" w:eastAsia="zh-CN"/>
                    </w:rPr>
                  </w:pPr>
                  <w:r>
                    <w:rPr>
                      <w:rFonts w:hint="eastAsia"/>
                      <w:b/>
                      <w:bCs/>
                      <w:sz w:val="21"/>
                      <w:szCs w:val="21"/>
                      <w:u w:val="single"/>
                      <w:lang w:val="en-US" w:eastAsia="zh-CN"/>
                    </w:rPr>
                    <w:t>5</w:t>
                  </w:r>
                </w:p>
              </w:tc>
              <w:tc>
                <w:tcPr>
                  <w:tcW w:w="411" w:type="pct"/>
                  <w:tcBorders>
                    <w:top w:val="single" w:color="000000" w:sz="4" w:space="0"/>
                    <w:left w:val="single" w:color="000000" w:sz="4" w:space="0"/>
                    <w:bottom w:val="single" w:color="000000" w:sz="4" w:space="0"/>
                    <w:right w:val="nil"/>
                  </w:tcBorders>
                  <w:shd w:val="clear" w:color="auto" w:fill="auto"/>
                  <w:vAlign w:val="center"/>
                </w:tcPr>
                <w:p w14:paraId="41157341">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80</w:t>
                  </w:r>
                </w:p>
              </w:tc>
              <w:tc>
                <w:tcPr>
                  <w:tcW w:w="517" w:type="pct"/>
                  <w:tcBorders>
                    <w:top w:val="single" w:color="000000" w:sz="4" w:space="0"/>
                    <w:left w:val="single" w:color="000000" w:sz="4" w:space="0"/>
                    <w:bottom w:val="single" w:color="000000" w:sz="4" w:space="0"/>
                    <w:right w:val="nil"/>
                  </w:tcBorders>
                  <w:shd w:val="clear" w:color="auto" w:fill="auto"/>
                  <w:vAlign w:val="center"/>
                </w:tcPr>
                <w:p w14:paraId="09E0EA3F">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cs="Times New Roman"/>
                      <w:b/>
                      <w:bCs/>
                      <w:i w:val="0"/>
                      <w:iCs w:val="0"/>
                      <w:color w:val="000000"/>
                      <w:kern w:val="0"/>
                      <w:sz w:val="21"/>
                      <w:szCs w:val="21"/>
                      <w:u w:val="single"/>
                      <w:lang w:val="en-US" w:eastAsia="zh-CN" w:bidi="ar"/>
                    </w:rPr>
                    <w:t>昼间</w:t>
                  </w:r>
                </w:p>
              </w:tc>
              <w:tc>
                <w:tcPr>
                  <w:tcW w:w="397" w:type="pct"/>
                  <w:tcBorders>
                    <w:top w:val="single" w:color="000000" w:sz="4" w:space="0"/>
                    <w:left w:val="single" w:color="000000" w:sz="4" w:space="0"/>
                    <w:bottom w:val="single" w:color="000000" w:sz="4" w:space="0"/>
                    <w:right w:val="nil"/>
                  </w:tcBorders>
                  <w:shd w:val="clear" w:color="auto" w:fill="auto"/>
                  <w:vAlign w:val="center"/>
                </w:tcPr>
                <w:p w14:paraId="1B17C3D1">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b/>
                      <w:bCs/>
                      <w:szCs w:val="21"/>
                      <w:u w:val="single"/>
                    </w:rPr>
                    <w:t>20</w:t>
                  </w:r>
                </w:p>
              </w:tc>
              <w:tc>
                <w:tcPr>
                  <w:tcW w:w="406" w:type="pct"/>
                  <w:tcBorders>
                    <w:top w:val="single" w:color="000000" w:sz="4" w:space="0"/>
                    <w:left w:val="single" w:color="000000" w:sz="4" w:space="0"/>
                    <w:bottom w:val="single" w:color="000000" w:sz="4" w:space="0"/>
                    <w:right w:val="nil"/>
                  </w:tcBorders>
                  <w:shd w:val="clear" w:color="auto" w:fill="auto"/>
                  <w:vAlign w:val="center"/>
                </w:tcPr>
                <w:p w14:paraId="7693F4AC">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eastAsia="宋体"/>
                      <w:b/>
                      <w:bCs/>
                      <w:sz w:val="21"/>
                      <w:szCs w:val="21"/>
                      <w:u w:val="single"/>
                      <w:lang w:val="en-US" w:eastAsia="zh-CN"/>
                    </w:rPr>
                  </w:pPr>
                  <w:r>
                    <w:rPr>
                      <w:rFonts w:hint="eastAsia"/>
                      <w:b/>
                      <w:bCs/>
                      <w:sz w:val="21"/>
                      <w:szCs w:val="21"/>
                      <w:u w:val="single"/>
                      <w:lang w:val="en-US" w:eastAsia="zh-CN"/>
                    </w:rPr>
                    <w:t>60</w:t>
                  </w:r>
                </w:p>
              </w:tc>
              <w:tc>
                <w:tcPr>
                  <w:tcW w:w="524" w:type="pct"/>
                  <w:tcBorders>
                    <w:top w:val="single" w:color="000000" w:sz="4" w:space="0"/>
                    <w:left w:val="single" w:color="000000" w:sz="4" w:space="0"/>
                    <w:bottom w:val="single" w:color="000000" w:sz="4" w:space="0"/>
                    <w:right w:val="nil"/>
                  </w:tcBorders>
                  <w:shd w:val="clear" w:color="auto" w:fill="auto"/>
                  <w:vAlign w:val="center"/>
                </w:tcPr>
                <w:p w14:paraId="574C508C">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b/>
                      <w:bCs/>
                      <w:sz w:val="21"/>
                      <w:szCs w:val="21"/>
                      <w:u w:val="single"/>
                      <w:lang w:val="en-US" w:eastAsia="zh-CN"/>
                    </w:rPr>
                    <w:t>1</w:t>
                  </w:r>
                </w:p>
              </w:tc>
            </w:tr>
            <w:tr w14:paraId="5651D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4D0F8">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涡轮粉碎机</w:t>
                  </w:r>
                </w:p>
              </w:tc>
              <w:tc>
                <w:tcPr>
                  <w:tcW w:w="557" w:type="pct"/>
                  <w:tcBorders>
                    <w:top w:val="single" w:color="000000" w:sz="4" w:space="0"/>
                    <w:left w:val="single" w:color="000000" w:sz="4" w:space="0"/>
                    <w:bottom w:val="single" w:color="000000" w:sz="4" w:space="0"/>
                    <w:right w:val="nil"/>
                  </w:tcBorders>
                  <w:shd w:val="clear" w:color="auto" w:fill="auto"/>
                  <w:vAlign w:val="center"/>
                </w:tcPr>
                <w:p w14:paraId="6558520D">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85</w:t>
                  </w:r>
                </w:p>
              </w:tc>
              <w:tc>
                <w:tcPr>
                  <w:tcW w:w="793" w:type="pct"/>
                  <w:tcBorders>
                    <w:top w:val="single" w:color="000000" w:sz="4" w:space="0"/>
                    <w:left w:val="single" w:color="000000" w:sz="4" w:space="0"/>
                    <w:bottom w:val="single" w:color="000000" w:sz="4" w:space="0"/>
                    <w:right w:val="nil"/>
                  </w:tcBorders>
                  <w:shd w:val="clear" w:color="auto" w:fill="auto"/>
                  <w:vAlign w:val="center"/>
                </w:tcPr>
                <w:p w14:paraId="4C773CA6">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b/>
                      <w:bCs/>
                      <w:sz w:val="21"/>
                      <w:szCs w:val="21"/>
                      <w:u w:val="single"/>
                    </w:rPr>
                    <w:t>基础减振＋厂房隔声</w:t>
                  </w:r>
                </w:p>
              </w:tc>
              <w:tc>
                <w:tcPr>
                  <w:tcW w:w="502" w:type="pct"/>
                  <w:tcBorders>
                    <w:top w:val="single" w:color="000000" w:sz="4" w:space="0"/>
                    <w:left w:val="single" w:color="000000" w:sz="4" w:space="0"/>
                    <w:bottom w:val="single" w:color="000000" w:sz="4" w:space="0"/>
                    <w:right w:val="nil"/>
                  </w:tcBorders>
                  <w:shd w:val="clear" w:color="auto" w:fill="auto"/>
                  <w:vAlign w:val="center"/>
                </w:tcPr>
                <w:p w14:paraId="5959731C">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eastAsia="宋体"/>
                      <w:b/>
                      <w:bCs/>
                      <w:sz w:val="21"/>
                      <w:szCs w:val="21"/>
                      <w:u w:val="single"/>
                      <w:lang w:val="en-US" w:eastAsia="zh-CN"/>
                    </w:rPr>
                  </w:pPr>
                  <w:r>
                    <w:rPr>
                      <w:rFonts w:hint="eastAsia"/>
                      <w:b/>
                      <w:bCs/>
                      <w:sz w:val="21"/>
                      <w:szCs w:val="21"/>
                      <w:u w:val="single"/>
                      <w:lang w:val="en-US" w:eastAsia="zh-CN"/>
                    </w:rPr>
                    <w:t>5</w:t>
                  </w:r>
                </w:p>
              </w:tc>
              <w:tc>
                <w:tcPr>
                  <w:tcW w:w="411" w:type="pct"/>
                  <w:tcBorders>
                    <w:top w:val="single" w:color="000000" w:sz="4" w:space="0"/>
                    <w:left w:val="single" w:color="000000" w:sz="4" w:space="0"/>
                    <w:bottom w:val="single" w:color="000000" w:sz="4" w:space="0"/>
                    <w:right w:val="nil"/>
                  </w:tcBorders>
                  <w:shd w:val="clear" w:color="auto" w:fill="auto"/>
                  <w:vAlign w:val="center"/>
                </w:tcPr>
                <w:p w14:paraId="2F216F0A">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85</w:t>
                  </w:r>
                </w:p>
              </w:tc>
              <w:tc>
                <w:tcPr>
                  <w:tcW w:w="517" w:type="pct"/>
                  <w:tcBorders>
                    <w:top w:val="single" w:color="000000" w:sz="4" w:space="0"/>
                    <w:left w:val="single" w:color="000000" w:sz="4" w:space="0"/>
                    <w:bottom w:val="single" w:color="000000" w:sz="4" w:space="0"/>
                    <w:right w:val="nil"/>
                  </w:tcBorders>
                  <w:shd w:val="clear" w:color="auto" w:fill="auto"/>
                  <w:vAlign w:val="center"/>
                </w:tcPr>
                <w:p w14:paraId="2C083870">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cs="Times New Roman"/>
                      <w:b/>
                      <w:bCs/>
                      <w:i w:val="0"/>
                      <w:iCs w:val="0"/>
                      <w:color w:val="000000"/>
                      <w:kern w:val="0"/>
                      <w:sz w:val="21"/>
                      <w:szCs w:val="21"/>
                      <w:u w:val="single"/>
                      <w:lang w:val="en-US" w:eastAsia="zh-CN" w:bidi="ar"/>
                    </w:rPr>
                    <w:t>昼间</w:t>
                  </w:r>
                </w:p>
              </w:tc>
              <w:tc>
                <w:tcPr>
                  <w:tcW w:w="397" w:type="pct"/>
                  <w:tcBorders>
                    <w:top w:val="single" w:color="000000" w:sz="4" w:space="0"/>
                    <w:left w:val="single" w:color="000000" w:sz="4" w:space="0"/>
                    <w:bottom w:val="single" w:color="000000" w:sz="4" w:space="0"/>
                    <w:right w:val="nil"/>
                  </w:tcBorders>
                  <w:shd w:val="clear" w:color="auto" w:fill="auto"/>
                  <w:vAlign w:val="center"/>
                </w:tcPr>
                <w:p w14:paraId="30DDD522">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b/>
                      <w:bCs/>
                      <w:szCs w:val="21"/>
                      <w:u w:val="single"/>
                    </w:rPr>
                    <w:t>20</w:t>
                  </w:r>
                </w:p>
              </w:tc>
              <w:tc>
                <w:tcPr>
                  <w:tcW w:w="406" w:type="pct"/>
                  <w:tcBorders>
                    <w:top w:val="single" w:color="000000" w:sz="4" w:space="0"/>
                    <w:left w:val="single" w:color="000000" w:sz="4" w:space="0"/>
                    <w:bottom w:val="single" w:color="000000" w:sz="4" w:space="0"/>
                    <w:right w:val="nil"/>
                  </w:tcBorders>
                  <w:shd w:val="clear" w:color="auto" w:fill="auto"/>
                  <w:vAlign w:val="center"/>
                </w:tcPr>
                <w:p w14:paraId="47BE75D0">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eastAsia="宋体"/>
                      <w:b/>
                      <w:bCs/>
                      <w:sz w:val="21"/>
                      <w:szCs w:val="21"/>
                      <w:u w:val="single"/>
                      <w:lang w:val="en-US" w:eastAsia="zh-CN"/>
                    </w:rPr>
                  </w:pPr>
                  <w:r>
                    <w:rPr>
                      <w:rFonts w:hint="eastAsia"/>
                      <w:b/>
                      <w:bCs/>
                      <w:sz w:val="21"/>
                      <w:szCs w:val="21"/>
                      <w:u w:val="single"/>
                      <w:lang w:val="en-US" w:eastAsia="zh-CN"/>
                    </w:rPr>
                    <w:t>65</w:t>
                  </w:r>
                </w:p>
              </w:tc>
              <w:tc>
                <w:tcPr>
                  <w:tcW w:w="524" w:type="pct"/>
                  <w:tcBorders>
                    <w:top w:val="single" w:color="000000" w:sz="4" w:space="0"/>
                    <w:left w:val="single" w:color="000000" w:sz="4" w:space="0"/>
                    <w:bottom w:val="single" w:color="000000" w:sz="4" w:space="0"/>
                    <w:right w:val="nil"/>
                  </w:tcBorders>
                  <w:shd w:val="clear" w:color="auto" w:fill="auto"/>
                  <w:vAlign w:val="center"/>
                </w:tcPr>
                <w:p w14:paraId="04057A02">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b/>
                      <w:bCs/>
                      <w:sz w:val="21"/>
                      <w:szCs w:val="21"/>
                      <w:u w:val="single"/>
                      <w:lang w:val="en-US" w:eastAsia="zh-CN"/>
                    </w:rPr>
                    <w:t>1</w:t>
                  </w:r>
                </w:p>
              </w:tc>
            </w:tr>
            <w:tr w14:paraId="49A2A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BB7C2">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槽形混合机</w:t>
                  </w:r>
                </w:p>
              </w:tc>
              <w:tc>
                <w:tcPr>
                  <w:tcW w:w="557" w:type="pct"/>
                  <w:tcBorders>
                    <w:top w:val="single" w:color="000000" w:sz="4" w:space="0"/>
                    <w:left w:val="single" w:color="000000" w:sz="4" w:space="0"/>
                    <w:bottom w:val="single" w:color="000000" w:sz="4" w:space="0"/>
                    <w:right w:val="nil"/>
                  </w:tcBorders>
                  <w:shd w:val="clear" w:color="auto" w:fill="auto"/>
                  <w:vAlign w:val="center"/>
                </w:tcPr>
                <w:p w14:paraId="719F8380">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75</w:t>
                  </w:r>
                </w:p>
              </w:tc>
              <w:tc>
                <w:tcPr>
                  <w:tcW w:w="793" w:type="pct"/>
                  <w:tcBorders>
                    <w:top w:val="single" w:color="000000" w:sz="4" w:space="0"/>
                    <w:left w:val="single" w:color="000000" w:sz="4" w:space="0"/>
                    <w:bottom w:val="single" w:color="000000" w:sz="4" w:space="0"/>
                    <w:right w:val="nil"/>
                  </w:tcBorders>
                  <w:shd w:val="clear" w:color="auto" w:fill="auto"/>
                  <w:vAlign w:val="center"/>
                </w:tcPr>
                <w:p w14:paraId="6FF23572">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b/>
                      <w:bCs/>
                      <w:sz w:val="21"/>
                      <w:szCs w:val="21"/>
                      <w:u w:val="single"/>
                    </w:rPr>
                    <w:t>基础减振＋厂房隔声</w:t>
                  </w:r>
                </w:p>
              </w:tc>
              <w:tc>
                <w:tcPr>
                  <w:tcW w:w="502" w:type="pct"/>
                  <w:tcBorders>
                    <w:top w:val="single" w:color="000000" w:sz="4" w:space="0"/>
                    <w:left w:val="single" w:color="000000" w:sz="4" w:space="0"/>
                    <w:bottom w:val="single" w:color="000000" w:sz="4" w:space="0"/>
                    <w:right w:val="nil"/>
                  </w:tcBorders>
                  <w:shd w:val="clear" w:color="auto" w:fill="auto"/>
                  <w:vAlign w:val="center"/>
                </w:tcPr>
                <w:p w14:paraId="4B761FB7">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eastAsia="宋体"/>
                      <w:b/>
                      <w:bCs/>
                      <w:sz w:val="21"/>
                      <w:szCs w:val="21"/>
                      <w:u w:val="single"/>
                      <w:lang w:val="en-US" w:eastAsia="zh-CN"/>
                    </w:rPr>
                  </w:pPr>
                  <w:r>
                    <w:rPr>
                      <w:rFonts w:hint="eastAsia"/>
                      <w:b/>
                      <w:bCs/>
                      <w:sz w:val="21"/>
                      <w:szCs w:val="21"/>
                      <w:u w:val="single"/>
                      <w:lang w:val="en-US" w:eastAsia="zh-CN"/>
                    </w:rPr>
                    <w:t>5</w:t>
                  </w:r>
                </w:p>
              </w:tc>
              <w:tc>
                <w:tcPr>
                  <w:tcW w:w="411" w:type="pct"/>
                  <w:tcBorders>
                    <w:top w:val="single" w:color="000000" w:sz="4" w:space="0"/>
                    <w:left w:val="single" w:color="000000" w:sz="4" w:space="0"/>
                    <w:bottom w:val="single" w:color="000000" w:sz="4" w:space="0"/>
                    <w:right w:val="nil"/>
                  </w:tcBorders>
                  <w:shd w:val="clear" w:color="auto" w:fill="auto"/>
                  <w:vAlign w:val="center"/>
                </w:tcPr>
                <w:p w14:paraId="49F8B850">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75</w:t>
                  </w:r>
                </w:p>
              </w:tc>
              <w:tc>
                <w:tcPr>
                  <w:tcW w:w="517" w:type="pct"/>
                  <w:tcBorders>
                    <w:top w:val="single" w:color="000000" w:sz="4" w:space="0"/>
                    <w:left w:val="single" w:color="000000" w:sz="4" w:space="0"/>
                    <w:bottom w:val="single" w:color="000000" w:sz="4" w:space="0"/>
                    <w:right w:val="nil"/>
                  </w:tcBorders>
                  <w:shd w:val="clear" w:color="auto" w:fill="auto"/>
                  <w:vAlign w:val="center"/>
                </w:tcPr>
                <w:p w14:paraId="56BB0F25">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cs="Times New Roman"/>
                      <w:b/>
                      <w:bCs/>
                      <w:i w:val="0"/>
                      <w:iCs w:val="0"/>
                      <w:color w:val="000000"/>
                      <w:kern w:val="0"/>
                      <w:sz w:val="21"/>
                      <w:szCs w:val="21"/>
                      <w:u w:val="single"/>
                      <w:lang w:val="en-US" w:eastAsia="zh-CN" w:bidi="ar"/>
                    </w:rPr>
                    <w:t>昼间</w:t>
                  </w:r>
                </w:p>
              </w:tc>
              <w:tc>
                <w:tcPr>
                  <w:tcW w:w="397" w:type="pct"/>
                  <w:tcBorders>
                    <w:top w:val="single" w:color="000000" w:sz="4" w:space="0"/>
                    <w:left w:val="single" w:color="000000" w:sz="4" w:space="0"/>
                    <w:bottom w:val="single" w:color="000000" w:sz="4" w:space="0"/>
                    <w:right w:val="nil"/>
                  </w:tcBorders>
                  <w:shd w:val="clear" w:color="auto" w:fill="auto"/>
                  <w:vAlign w:val="center"/>
                </w:tcPr>
                <w:p w14:paraId="696E0142">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b/>
                      <w:bCs/>
                      <w:szCs w:val="21"/>
                      <w:u w:val="single"/>
                    </w:rPr>
                    <w:t>20</w:t>
                  </w:r>
                </w:p>
              </w:tc>
              <w:tc>
                <w:tcPr>
                  <w:tcW w:w="406" w:type="pct"/>
                  <w:tcBorders>
                    <w:top w:val="single" w:color="000000" w:sz="4" w:space="0"/>
                    <w:left w:val="single" w:color="000000" w:sz="4" w:space="0"/>
                    <w:bottom w:val="single" w:color="000000" w:sz="4" w:space="0"/>
                    <w:right w:val="nil"/>
                  </w:tcBorders>
                  <w:shd w:val="clear" w:color="auto" w:fill="auto"/>
                  <w:vAlign w:val="center"/>
                </w:tcPr>
                <w:p w14:paraId="26FD57D4">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eastAsia="宋体"/>
                      <w:b/>
                      <w:bCs/>
                      <w:sz w:val="21"/>
                      <w:szCs w:val="21"/>
                      <w:u w:val="single"/>
                      <w:lang w:val="en-US" w:eastAsia="zh-CN"/>
                    </w:rPr>
                  </w:pPr>
                  <w:r>
                    <w:rPr>
                      <w:rFonts w:hint="eastAsia"/>
                      <w:b/>
                      <w:bCs/>
                      <w:sz w:val="21"/>
                      <w:szCs w:val="21"/>
                      <w:u w:val="single"/>
                      <w:lang w:val="en-US" w:eastAsia="zh-CN"/>
                    </w:rPr>
                    <w:t>55</w:t>
                  </w:r>
                </w:p>
              </w:tc>
              <w:tc>
                <w:tcPr>
                  <w:tcW w:w="524" w:type="pct"/>
                  <w:tcBorders>
                    <w:top w:val="single" w:color="000000" w:sz="4" w:space="0"/>
                    <w:left w:val="single" w:color="000000" w:sz="4" w:space="0"/>
                    <w:bottom w:val="single" w:color="000000" w:sz="4" w:space="0"/>
                    <w:right w:val="nil"/>
                  </w:tcBorders>
                  <w:shd w:val="clear" w:color="auto" w:fill="auto"/>
                  <w:vAlign w:val="center"/>
                </w:tcPr>
                <w:p w14:paraId="750C7841">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b/>
                      <w:bCs/>
                      <w:sz w:val="21"/>
                      <w:szCs w:val="21"/>
                      <w:u w:val="single"/>
                      <w:lang w:val="en-US" w:eastAsia="zh-CN"/>
                    </w:rPr>
                    <w:t>1</w:t>
                  </w:r>
                </w:p>
              </w:tc>
            </w:tr>
            <w:tr w14:paraId="05BA7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EF340">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旋振筛</w:t>
                  </w:r>
                </w:p>
              </w:tc>
              <w:tc>
                <w:tcPr>
                  <w:tcW w:w="557" w:type="pct"/>
                  <w:tcBorders>
                    <w:top w:val="single" w:color="000000" w:sz="4" w:space="0"/>
                    <w:left w:val="single" w:color="000000" w:sz="4" w:space="0"/>
                    <w:bottom w:val="single" w:color="000000" w:sz="4" w:space="0"/>
                    <w:right w:val="nil"/>
                  </w:tcBorders>
                  <w:shd w:val="clear" w:color="auto" w:fill="auto"/>
                  <w:vAlign w:val="center"/>
                </w:tcPr>
                <w:p w14:paraId="2AFCD262">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80</w:t>
                  </w:r>
                </w:p>
              </w:tc>
              <w:tc>
                <w:tcPr>
                  <w:tcW w:w="793" w:type="pct"/>
                  <w:tcBorders>
                    <w:top w:val="single" w:color="000000" w:sz="4" w:space="0"/>
                    <w:left w:val="single" w:color="000000" w:sz="4" w:space="0"/>
                    <w:bottom w:val="single" w:color="000000" w:sz="4" w:space="0"/>
                    <w:right w:val="nil"/>
                  </w:tcBorders>
                  <w:shd w:val="clear" w:color="auto" w:fill="auto"/>
                  <w:vAlign w:val="center"/>
                </w:tcPr>
                <w:p w14:paraId="341E8B4D">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b/>
                      <w:bCs/>
                      <w:sz w:val="21"/>
                      <w:szCs w:val="21"/>
                      <w:u w:val="single"/>
                    </w:rPr>
                    <w:t>基础减振＋厂房隔声</w:t>
                  </w:r>
                </w:p>
              </w:tc>
              <w:tc>
                <w:tcPr>
                  <w:tcW w:w="502" w:type="pct"/>
                  <w:tcBorders>
                    <w:top w:val="single" w:color="000000" w:sz="4" w:space="0"/>
                    <w:left w:val="single" w:color="000000" w:sz="4" w:space="0"/>
                    <w:bottom w:val="single" w:color="000000" w:sz="4" w:space="0"/>
                    <w:right w:val="nil"/>
                  </w:tcBorders>
                  <w:shd w:val="clear" w:color="auto" w:fill="auto"/>
                  <w:vAlign w:val="center"/>
                </w:tcPr>
                <w:p w14:paraId="54FCDFC9">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eastAsia="宋体"/>
                      <w:b/>
                      <w:bCs/>
                      <w:sz w:val="21"/>
                      <w:szCs w:val="21"/>
                      <w:u w:val="single"/>
                      <w:lang w:val="en-US" w:eastAsia="zh-CN"/>
                    </w:rPr>
                  </w:pPr>
                  <w:r>
                    <w:rPr>
                      <w:rFonts w:hint="eastAsia"/>
                      <w:b/>
                      <w:bCs/>
                      <w:sz w:val="21"/>
                      <w:szCs w:val="21"/>
                      <w:u w:val="single"/>
                      <w:lang w:val="en-US" w:eastAsia="zh-CN"/>
                    </w:rPr>
                    <w:t>5</w:t>
                  </w:r>
                </w:p>
              </w:tc>
              <w:tc>
                <w:tcPr>
                  <w:tcW w:w="411" w:type="pct"/>
                  <w:tcBorders>
                    <w:top w:val="single" w:color="000000" w:sz="4" w:space="0"/>
                    <w:left w:val="single" w:color="000000" w:sz="4" w:space="0"/>
                    <w:bottom w:val="single" w:color="000000" w:sz="4" w:space="0"/>
                    <w:right w:val="nil"/>
                  </w:tcBorders>
                  <w:shd w:val="clear" w:color="auto" w:fill="auto"/>
                  <w:vAlign w:val="center"/>
                </w:tcPr>
                <w:p w14:paraId="3303F5DA">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80</w:t>
                  </w:r>
                </w:p>
              </w:tc>
              <w:tc>
                <w:tcPr>
                  <w:tcW w:w="517" w:type="pct"/>
                  <w:tcBorders>
                    <w:top w:val="single" w:color="000000" w:sz="4" w:space="0"/>
                    <w:left w:val="single" w:color="000000" w:sz="4" w:space="0"/>
                    <w:bottom w:val="single" w:color="000000" w:sz="4" w:space="0"/>
                    <w:right w:val="nil"/>
                  </w:tcBorders>
                  <w:shd w:val="clear" w:color="auto" w:fill="auto"/>
                  <w:vAlign w:val="center"/>
                </w:tcPr>
                <w:p w14:paraId="20CC9F22">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cs="Times New Roman"/>
                      <w:b/>
                      <w:bCs/>
                      <w:i w:val="0"/>
                      <w:iCs w:val="0"/>
                      <w:color w:val="000000"/>
                      <w:kern w:val="0"/>
                      <w:sz w:val="21"/>
                      <w:szCs w:val="21"/>
                      <w:u w:val="single"/>
                      <w:lang w:val="en-US" w:eastAsia="zh-CN" w:bidi="ar"/>
                    </w:rPr>
                    <w:t>昼间</w:t>
                  </w:r>
                </w:p>
              </w:tc>
              <w:tc>
                <w:tcPr>
                  <w:tcW w:w="397" w:type="pct"/>
                  <w:tcBorders>
                    <w:top w:val="single" w:color="000000" w:sz="4" w:space="0"/>
                    <w:left w:val="single" w:color="000000" w:sz="4" w:space="0"/>
                    <w:bottom w:val="single" w:color="000000" w:sz="4" w:space="0"/>
                    <w:right w:val="nil"/>
                  </w:tcBorders>
                  <w:shd w:val="clear" w:color="auto" w:fill="auto"/>
                  <w:vAlign w:val="center"/>
                </w:tcPr>
                <w:p w14:paraId="0DD03B9B">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b/>
                      <w:bCs/>
                      <w:szCs w:val="21"/>
                      <w:u w:val="single"/>
                    </w:rPr>
                    <w:t>20</w:t>
                  </w:r>
                </w:p>
              </w:tc>
              <w:tc>
                <w:tcPr>
                  <w:tcW w:w="406" w:type="pct"/>
                  <w:tcBorders>
                    <w:top w:val="single" w:color="000000" w:sz="4" w:space="0"/>
                    <w:left w:val="single" w:color="000000" w:sz="4" w:space="0"/>
                    <w:bottom w:val="single" w:color="000000" w:sz="4" w:space="0"/>
                    <w:right w:val="nil"/>
                  </w:tcBorders>
                  <w:shd w:val="clear" w:color="auto" w:fill="auto"/>
                  <w:vAlign w:val="center"/>
                </w:tcPr>
                <w:p w14:paraId="17D4F894">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eastAsia="宋体"/>
                      <w:b/>
                      <w:bCs/>
                      <w:sz w:val="21"/>
                      <w:szCs w:val="21"/>
                      <w:u w:val="single"/>
                      <w:lang w:val="en-US" w:eastAsia="zh-CN"/>
                    </w:rPr>
                  </w:pPr>
                  <w:r>
                    <w:rPr>
                      <w:rFonts w:hint="eastAsia"/>
                      <w:b/>
                      <w:bCs/>
                      <w:sz w:val="21"/>
                      <w:szCs w:val="21"/>
                      <w:u w:val="single"/>
                      <w:lang w:val="en-US" w:eastAsia="zh-CN"/>
                    </w:rPr>
                    <w:t>60</w:t>
                  </w:r>
                </w:p>
              </w:tc>
              <w:tc>
                <w:tcPr>
                  <w:tcW w:w="524" w:type="pct"/>
                  <w:tcBorders>
                    <w:top w:val="single" w:color="000000" w:sz="4" w:space="0"/>
                    <w:left w:val="single" w:color="000000" w:sz="4" w:space="0"/>
                    <w:bottom w:val="single" w:color="000000" w:sz="4" w:space="0"/>
                    <w:right w:val="nil"/>
                  </w:tcBorders>
                  <w:shd w:val="clear" w:color="auto" w:fill="auto"/>
                  <w:vAlign w:val="center"/>
                </w:tcPr>
                <w:p w14:paraId="1E60E2A9">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b/>
                      <w:bCs/>
                      <w:sz w:val="21"/>
                      <w:szCs w:val="21"/>
                      <w:u w:val="single"/>
                      <w:lang w:val="en-US" w:eastAsia="zh-CN"/>
                    </w:rPr>
                    <w:t>1</w:t>
                  </w:r>
                </w:p>
              </w:tc>
            </w:tr>
            <w:tr w14:paraId="3E961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2FBCD">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抛丸机</w:t>
                  </w:r>
                </w:p>
              </w:tc>
              <w:tc>
                <w:tcPr>
                  <w:tcW w:w="557" w:type="pct"/>
                  <w:tcBorders>
                    <w:top w:val="single" w:color="000000" w:sz="4" w:space="0"/>
                    <w:left w:val="single" w:color="000000" w:sz="4" w:space="0"/>
                    <w:bottom w:val="single" w:color="000000" w:sz="4" w:space="0"/>
                    <w:right w:val="nil"/>
                  </w:tcBorders>
                  <w:shd w:val="clear" w:color="auto" w:fill="auto"/>
                  <w:noWrap/>
                  <w:vAlign w:val="center"/>
                </w:tcPr>
                <w:p w14:paraId="13676552">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70</w:t>
                  </w:r>
                </w:p>
              </w:tc>
              <w:tc>
                <w:tcPr>
                  <w:tcW w:w="793" w:type="pct"/>
                  <w:tcBorders>
                    <w:top w:val="single" w:color="000000" w:sz="4" w:space="0"/>
                    <w:left w:val="single" w:color="000000" w:sz="4" w:space="0"/>
                    <w:bottom w:val="single" w:color="000000" w:sz="4" w:space="0"/>
                    <w:right w:val="nil"/>
                  </w:tcBorders>
                  <w:shd w:val="clear" w:color="auto" w:fill="auto"/>
                  <w:noWrap/>
                  <w:vAlign w:val="center"/>
                </w:tcPr>
                <w:p w14:paraId="43720F8F">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b/>
                      <w:bCs/>
                      <w:sz w:val="21"/>
                      <w:szCs w:val="21"/>
                      <w:u w:val="single"/>
                    </w:rPr>
                    <w:t>基础减振＋厂房隔声</w:t>
                  </w:r>
                </w:p>
              </w:tc>
              <w:tc>
                <w:tcPr>
                  <w:tcW w:w="502" w:type="pct"/>
                  <w:tcBorders>
                    <w:top w:val="single" w:color="000000" w:sz="4" w:space="0"/>
                    <w:left w:val="single" w:color="000000" w:sz="4" w:space="0"/>
                    <w:bottom w:val="single" w:color="000000" w:sz="4" w:space="0"/>
                    <w:right w:val="nil"/>
                  </w:tcBorders>
                  <w:shd w:val="clear" w:color="auto" w:fill="auto"/>
                  <w:noWrap/>
                  <w:vAlign w:val="center"/>
                </w:tcPr>
                <w:p w14:paraId="50A04527">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eastAsia="宋体"/>
                      <w:b/>
                      <w:bCs/>
                      <w:sz w:val="21"/>
                      <w:szCs w:val="21"/>
                      <w:u w:val="single"/>
                      <w:lang w:val="en-US" w:eastAsia="zh-CN"/>
                    </w:rPr>
                  </w:pPr>
                  <w:r>
                    <w:rPr>
                      <w:rFonts w:hint="eastAsia"/>
                      <w:b/>
                      <w:bCs/>
                      <w:sz w:val="21"/>
                      <w:szCs w:val="21"/>
                      <w:u w:val="single"/>
                      <w:lang w:val="en-US" w:eastAsia="zh-CN"/>
                    </w:rPr>
                    <w:t>5</w:t>
                  </w:r>
                </w:p>
              </w:tc>
              <w:tc>
                <w:tcPr>
                  <w:tcW w:w="411" w:type="pct"/>
                  <w:tcBorders>
                    <w:top w:val="single" w:color="000000" w:sz="4" w:space="0"/>
                    <w:left w:val="single" w:color="000000" w:sz="4" w:space="0"/>
                    <w:bottom w:val="single" w:color="000000" w:sz="4" w:space="0"/>
                    <w:right w:val="nil"/>
                  </w:tcBorders>
                  <w:shd w:val="clear" w:color="auto" w:fill="auto"/>
                  <w:noWrap/>
                  <w:vAlign w:val="center"/>
                </w:tcPr>
                <w:p w14:paraId="06BF8CF0">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70</w:t>
                  </w:r>
                </w:p>
              </w:tc>
              <w:tc>
                <w:tcPr>
                  <w:tcW w:w="517" w:type="pct"/>
                  <w:tcBorders>
                    <w:top w:val="single" w:color="000000" w:sz="4" w:space="0"/>
                    <w:left w:val="single" w:color="000000" w:sz="4" w:space="0"/>
                    <w:bottom w:val="single" w:color="000000" w:sz="4" w:space="0"/>
                    <w:right w:val="nil"/>
                  </w:tcBorders>
                  <w:shd w:val="clear" w:color="auto" w:fill="auto"/>
                  <w:noWrap/>
                  <w:vAlign w:val="center"/>
                </w:tcPr>
                <w:p w14:paraId="74551C62">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cs="Times New Roman"/>
                      <w:b/>
                      <w:bCs/>
                      <w:i w:val="0"/>
                      <w:iCs w:val="0"/>
                      <w:color w:val="000000"/>
                      <w:kern w:val="0"/>
                      <w:sz w:val="21"/>
                      <w:szCs w:val="21"/>
                      <w:u w:val="single"/>
                      <w:lang w:val="en-US" w:eastAsia="zh-CN" w:bidi="ar"/>
                    </w:rPr>
                    <w:t>昼间</w:t>
                  </w:r>
                </w:p>
              </w:tc>
              <w:tc>
                <w:tcPr>
                  <w:tcW w:w="397" w:type="pct"/>
                  <w:tcBorders>
                    <w:top w:val="single" w:color="000000" w:sz="4" w:space="0"/>
                    <w:left w:val="single" w:color="000000" w:sz="4" w:space="0"/>
                    <w:bottom w:val="single" w:color="000000" w:sz="4" w:space="0"/>
                    <w:right w:val="nil"/>
                  </w:tcBorders>
                  <w:shd w:val="clear" w:color="auto" w:fill="auto"/>
                  <w:noWrap/>
                  <w:vAlign w:val="center"/>
                </w:tcPr>
                <w:p w14:paraId="3519C622">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b/>
                      <w:bCs/>
                      <w:szCs w:val="21"/>
                      <w:u w:val="single"/>
                    </w:rPr>
                    <w:t>20</w:t>
                  </w:r>
                </w:p>
              </w:tc>
              <w:tc>
                <w:tcPr>
                  <w:tcW w:w="406" w:type="pct"/>
                  <w:tcBorders>
                    <w:top w:val="single" w:color="000000" w:sz="4" w:space="0"/>
                    <w:left w:val="single" w:color="000000" w:sz="4" w:space="0"/>
                    <w:bottom w:val="single" w:color="000000" w:sz="4" w:space="0"/>
                    <w:right w:val="nil"/>
                  </w:tcBorders>
                  <w:shd w:val="clear" w:color="auto" w:fill="auto"/>
                  <w:noWrap/>
                  <w:vAlign w:val="center"/>
                </w:tcPr>
                <w:p w14:paraId="4ECF19CD">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eastAsia="宋体"/>
                      <w:b/>
                      <w:bCs/>
                      <w:sz w:val="21"/>
                      <w:szCs w:val="21"/>
                      <w:u w:val="single"/>
                      <w:lang w:val="en-US" w:eastAsia="zh-CN"/>
                    </w:rPr>
                  </w:pPr>
                  <w:r>
                    <w:rPr>
                      <w:rFonts w:hint="eastAsia"/>
                      <w:b/>
                      <w:bCs/>
                      <w:sz w:val="21"/>
                      <w:szCs w:val="21"/>
                      <w:u w:val="single"/>
                      <w:lang w:val="en-US" w:eastAsia="zh-CN"/>
                    </w:rPr>
                    <w:t>50</w:t>
                  </w:r>
                </w:p>
              </w:tc>
              <w:tc>
                <w:tcPr>
                  <w:tcW w:w="524" w:type="pct"/>
                  <w:tcBorders>
                    <w:top w:val="single" w:color="000000" w:sz="4" w:space="0"/>
                    <w:left w:val="single" w:color="000000" w:sz="4" w:space="0"/>
                    <w:bottom w:val="single" w:color="000000" w:sz="4" w:space="0"/>
                    <w:right w:val="nil"/>
                  </w:tcBorders>
                  <w:shd w:val="clear" w:color="auto" w:fill="auto"/>
                  <w:noWrap/>
                  <w:vAlign w:val="center"/>
                </w:tcPr>
                <w:p w14:paraId="065DC753">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b/>
                      <w:bCs/>
                      <w:sz w:val="21"/>
                      <w:szCs w:val="21"/>
                      <w:u w:val="single"/>
                      <w:lang w:val="en-US" w:eastAsia="zh-CN"/>
                    </w:rPr>
                    <w:t>1</w:t>
                  </w:r>
                </w:p>
              </w:tc>
            </w:tr>
            <w:tr w14:paraId="3BC86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92692">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single"/>
                    </w:rPr>
                  </w:pPr>
                  <w:r>
                    <w:rPr>
                      <w:rFonts w:hint="default" w:ascii="Times New Roman" w:hAnsi="Times New Roman" w:eastAsia="宋体" w:cs="Times New Roman"/>
                      <w:b/>
                      <w:bCs/>
                      <w:i w:val="0"/>
                      <w:iCs w:val="0"/>
                      <w:color w:val="000000"/>
                      <w:kern w:val="0"/>
                      <w:sz w:val="21"/>
                      <w:szCs w:val="21"/>
                      <w:u w:val="single"/>
                      <w:lang w:val="en-US" w:eastAsia="zh-CN" w:bidi="ar"/>
                    </w:rPr>
                    <w:t>全自动硬胶囊充填机</w:t>
                  </w:r>
                </w:p>
              </w:tc>
              <w:tc>
                <w:tcPr>
                  <w:tcW w:w="557" w:type="pct"/>
                  <w:tcBorders>
                    <w:top w:val="single" w:color="000000" w:sz="4" w:space="0"/>
                    <w:left w:val="single" w:color="000000" w:sz="4" w:space="0"/>
                    <w:bottom w:val="single" w:color="000000" w:sz="4" w:space="0"/>
                    <w:right w:val="nil"/>
                  </w:tcBorders>
                  <w:shd w:val="clear" w:color="auto" w:fill="auto"/>
                  <w:noWrap/>
                  <w:vAlign w:val="center"/>
                </w:tcPr>
                <w:p w14:paraId="666B576D">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80</w:t>
                  </w:r>
                </w:p>
              </w:tc>
              <w:tc>
                <w:tcPr>
                  <w:tcW w:w="793" w:type="pct"/>
                  <w:tcBorders>
                    <w:top w:val="single" w:color="000000" w:sz="4" w:space="0"/>
                    <w:left w:val="single" w:color="000000" w:sz="4" w:space="0"/>
                    <w:bottom w:val="single" w:color="000000" w:sz="4" w:space="0"/>
                    <w:right w:val="nil"/>
                  </w:tcBorders>
                  <w:shd w:val="clear" w:color="auto" w:fill="auto"/>
                  <w:noWrap/>
                  <w:vAlign w:val="center"/>
                </w:tcPr>
                <w:p w14:paraId="363B8A05">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single"/>
                      <w:lang w:val="en-US" w:eastAsia="zh-CN" w:bidi="ar"/>
                    </w:rPr>
                  </w:pPr>
                  <w:r>
                    <w:rPr>
                      <w:rFonts w:hint="eastAsia"/>
                      <w:b/>
                      <w:bCs/>
                      <w:sz w:val="21"/>
                      <w:szCs w:val="21"/>
                      <w:u w:val="single"/>
                    </w:rPr>
                    <w:t>基础减振＋厂房隔声</w:t>
                  </w:r>
                </w:p>
              </w:tc>
              <w:tc>
                <w:tcPr>
                  <w:tcW w:w="502" w:type="pct"/>
                  <w:tcBorders>
                    <w:top w:val="single" w:color="000000" w:sz="4" w:space="0"/>
                    <w:left w:val="single" w:color="000000" w:sz="4" w:space="0"/>
                    <w:bottom w:val="single" w:color="000000" w:sz="4" w:space="0"/>
                    <w:right w:val="nil"/>
                  </w:tcBorders>
                  <w:shd w:val="clear" w:color="auto" w:fill="auto"/>
                  <w:noWrap/>
                  <w:vAlign w:val="center"/>
                </w:tcPr>
                <w:p w14:paraId="583F5D55">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eastAsia="宋体"/>
                      <w:b/>
                      <w:bCs/>
                      <w:sz w:val="21"/>
                      <w:szCs w:val="21"/>
                      <w:u w:val="single"/>
                      <w:lang w:val="en-US" w:eastAsia="zh-CN"/>
                    </w:rPr>
                  </w:pPr>
                  <w:r>
                    <w:rPr>
                      <w:rFonts w:hint="eastAsia"/>
                      <w:b/>
                      <w:bCs/>
                      <w:sz w:val="21"/>
                      <w:szCs w:val="21"/>
                      <w:u w:val="single"/>
                      <w:lang w:val="en-US" w:eastAsia="zh-CN"/>
                    </w:rPr>
                    <w:t>5</w:t>
                  </w:r>
                </w:p>
              </w:tc>
              <w:tc>
                <w:tcPr>
                  <w:tcW w:w="411" w:type="pct"/>
                  <w:tcBorders>
                    <w:top w:val="single" w:color="000000" w:sz="4" w:space="0"/>
                    <w:left w:val="single" w:color="000000" w:sz="4" w:space="0"/>
                    <w:bottom w:val="single" w:color="000000" w:sz="4" w:space="0"/>
                    <w:right w:val="nil"/>
                  </w:tcBorders>
                  <w:shd w:val="clear" w:color="auto" w:fill="auto"/>
                  <w:noWrap/>
                  <w:vAlign w:val="center"/>
                </w:tcPr>
                <w:p w14:paraId="3118BC43">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i w:val="0"/>
                      <w:iCs w:val="0"/>
                      <w:color w:val="000000"/>
                      <w:kern w:val="0"/>
                      <w:sz w:val="21"/>
                      <w:szCs w:val="21"/>
                      <w:u w:val="single"/>
                      <w:lang w:val="en-US" w:eastAsia="zh-CN" w:bidi="ar"/>
                    </w:rPr>
                  </w:pPr>
                  <w:r>
                    <w:rPr>
                      <w:rFonts w:hint="eastAsia" w:ascii="Times New Roman" w:hAnsi="Times New Roman" w:eastAsia="宋体" w:cs="Times New Roman"/>
                      <w:b/>
                      <w:bCs/>
                      <w:i w:val="0"/>
                      <w:iCs w:val="0"/>
                      <w:color w:val="000000"/>
                      <w:kern w:val="0"/>
                      <w:sz w:val="21"/>
                      <w:szCs w:val="21"/>
                      <w:u w:val="single"/>
                      <w:lang w:val="en-US" w:eastAsia="zh-CN" w:bidi="ar"/>
                    </w:rPr>
                    <w:t>80</w:t>
                  </w:r>
                </w:p>
              </w:tc>
              <w:tc>
                <w:tcPr>
                  <w:tcW w:w="517" w:type="pct"/>
                  <w:tcBorders>
                    <w:top w:val="single" w:color="000000" w:sz="4" w:space="0"/>
                    <w:left w:val="single" w:color="000000" w:sz="4" w:space="0"/>
                    <w:bottom w:val="single" w:color="000000" w:sz="4" w:space="0"/>
                    <w:right w:val="nil"/>
                  </w:tcBorders>
                  <w:shd w:val="clear" w:color="auto" w:fill="auto"/>
                  <w:noWrap/>
                  <w:vAlign w:val="center"/>
                </w:tcPr>
                <w:p w14:paraId="510809D6">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cs="Times New Roman"/>
                      <w:b/>
                      <w:bCs/>
                      <w:i w:val="0"/>
                      <w:iCs w:val="0"/>
                      <w:color w:val="000000"/>
                      <w:kern w:val="0"/>
                      <w:sz w:val="21"/>
                      <w:szCs w:val="21"/>
                      <w:u w:val="single"/>
                      <w:lang w:val="en-US" w:eastAsia="zh-CN" w:bidi="ar"/>
                    </w:rPr>
                    <w:t>昼间</w:t>
                  </w:r>
                </w:p>
              </w:tc>
              <w:tc>
                <w:tcPr>
                  <w:tcW w:w="397" w:type="pct"/>
                  <w:tcBorders>
                    <w:top w:val="single" w:color="000000" w:sz="4" w:space="0"/>
                    <w:left w:val="single" w:color="000000" w:sz="4" w:space="0"/>
                    <w:bottom w:val="single" w:color="000000" w:sz="4" w:space="0"/>
                    <w:right w:val="nil"/>
                  </w:tcBorders>
                  <w:shd w:val="clear" w:color="auto" w:fill="auto"/>
                  <w:noWrap/>
                  <w:vAlign w:val="center"/>
                </w:tcPr>
                <w:p w14:paraId="1D9E2178">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b/>
                      <w:bCs/>
                      <w:szCs w:val="21"/>
                      <w:u w:val="single"/>
                    </w:rPr>
                    <w:t>20</w:t>
                  </w:r>
                </w:p>
              </w:tc>
              <w:tc>
                <w:tcPr>
                  <w:tcW w:w="406" w:type="pct"/>
                  <w:tcBorders>
                    <w:top w:val="single" w:color="000000" w:sz="4" w:space="0"/>
                    <w:left w:val="single" w:color="000000" w:sz="4" w:space="0"/>
                    <w:bottom w:val="single" w:color="000000" w:sz="4" w:space="0"/>
                    <w:right w:val="nil"/>
                  </w:tcBorders>
                  <w:shd w:val="clear" w:color="auto" w:fill="auto"/>
                  <w:noWrap/>
                  <w:vAlign w:val="center"/>
                </w:tcPr>
                <w:p w14:paraId="014E3A8F">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default" w:eastAsia="宋体"/>
                      <w:b/>
                      <w:bCs/>
                      <w:sz w:val="21"/>
                      <w:szCs w:val="21"/>
                      <w:u w:val="single"/>
                      <w:lang w:val="en-US" w:eastAsia="zh-CN"/>
                    </w:rPr>
                  </w:pPr>
                  <w:r>
                    <w:rPr>
                      <w:rFonts w:hint="eastAsia"/>
                      <w:b/>
                      <w:bCs/>
                      <w:sz w:val="21"/>
                      <w:szCs w:val="21"/>
                      <w:u w:val="single"/>
                      <w:lang w:val="en-US" w:eastAsia="zh-CN"/>
                    </w:rPr>
                    <w:t>60</w:t>
                  </w:r>
                </w:p>
              </w:tc>
              <w:tc>
                <w:tcPr>
                  <w:tcW w:w="524" w:type="pct"/>
                  <w:tcBorders>
                    <w:top w:val="single" w:color="000000" w:sz="4" w:space="0"/>
                    <w:left w:val="single" w:color="000000" w:sz="4" w:space="0"/>
                    <w:bottom w:val="single" w:color="000000" w:sz="4" w:space="0"/>
                    <w:right w:val="nil"/>
                  </w:tcBorders>
                  <w:shd w:val="clear" w:color="auto" w:fill="auto"/>
                  <w:noWrap/>
                  <w:vAlign w:val="center"/>
                </w:tcPr>
                <w:p w14:paraId="0B0A3936">
                  <w:pPr>
                    <w:keepNext w:val="0"/>
                    <w:keepLines w:val="0"/>
                    <w:pageBreakBefore w:val="0"/>
                    <w:widowControl/>
                    <w:suppressLineNumbers w:val="0"/>
                    <w:kinsoku/>
                    <w:wordWrap w:val="0"/>
                    <w:overflowPunct/>
                    <w:topLinePunct w:val="0"/>
                    <w:autoSpaceDE/>
                    <w:autoSpaceDN/>
                    <w:bidi w:val="0"/>
                    <w:adjustRightInd/>
                    <w:snapToGrid/>
                    <w:spacing w:line="240" w:lineRule="auto"/>
                    <w:ind w:firstLine="0" w:firstLineChars="0"/>
                    <w:jc w:val="center"/>
                    <w:textAlignment w:val="center"/>
                    <w:rPr>
                      <w:rFonts w:hint="eastAsia"/>
                      <w:b/>
                      <w:bCs/>
                      <w:sz w:val="21"/>
                      <w:szCs w:val="21"/>
                      <w:u w:val="single"/>
                    </w:rPr>
                  </w:pPr>
                  <w:r>
                    <w:rPr>
                      <w:rFonts w:hint="eastAsia"/>
                      <w:b/>
                      <w:bCs/>
                      <w:sz w:val="21"/>
                      <w:szCs w:val="21"/>
                      <w:u w:val="single"/>
                      <w:lang w:val="en-US" w:eastAsia="zh-CN"/>
                    </w:rPr>
                    <w:t>1</w:t>
                  </w:r>
                </w:p>
              </w:tc>
            </w:tr>
          </w:tbl>
          <w:p w14:paraId="1C0A4D8D">
            <w:pPr>
              <w:keepNext w:val="0"/>
              <w:keepLines w:val="0"/>
              <w:pageBreakBefore w:val="0"/>
              <w:widowControl w:val="0"/>
              <w:kinsoku/>
              <w:wordWrap w:val="0"/>
              <w:overflowPunct/>
              <w:topLinePunct w:val="0"/>
              <w:autoSpaceDE/>
              <w:autoSpaceDN/>
              <w:bidi w:val="0"/>
              <w:adjustRightInd/>
              <w:snapToGrid/>
              <w:ind w:firstLine="0" w:firstLineChars="0"/>
              <w:textAlignment w:val="auto"/>
              <w:rPr>
                <w:b/>
                <w:color w:val="auto"/>
              </w:rPr>
            </w:pPr>
            <w:r>
              <w:rPr>
                <w:rFonts w:hint="eastAsia"/>
                <w:b/>
                <w:color w:val="auto"/>
                <w:lang w:val="en-US" w:eastAsia="zh-CN"/>
              </w:rPr>
              <w:t>2</w:t>
            </w:r>
            <w:r>
              <w:rPr>
                <w:b/>
                <w:color w:val="auto"/>
              </w:rPr>
              <w:t>.预测模式</w:t>
            </w:r>
          </w:p>
          <w:p w14:paraId="5E32E848">
            <w:pPr>
              <w:ind w:firstLine="480"/>
              <w:rPr>
                <w:color w:val="auto"/>
              </w:rPr>
            </w:pPr>
            <w:r>
              <w:rPr>
                <w:rFonts w:hint="eastAsia"/>
                <w:color w:val="auto"/>
              </w:rPr>
              <w:t>根据《环境影响评价技术导则—声环境》（HJ2.4-2021）的规定，项目厂界四周噪声贡献值评价标准执行《工业企业厂界环境噪声排放标准》（</w:t>
            </w:r>
            <w:r>
              <w:rPr>
                <w:color w:val="auto"/>
              </w:rPr>
              <w:t>GB12348-2008</w:t>
            </w:r>
            <w:r>
              <w:rPr>
                <w:rFonts w:hint="eastAsia"/>
                <w:color w:val="auto"/>
              </w:rPr>
              <w:t>）3类标准</w:t>
            </w:r>
            <w:r>
              <w:rPr>
                <w:rFonts w:hint="eastAsia"/>
                <w:color w:val="auto"/>
                <w:lang w:eastAsia="zh-CN"/>
              </w:rPr>
              <w:t>。</w:t>
            </w:r>
            <w:r>
              <w:rPr>
                <w:rFonts w:hint="eastAsia"/>
                <w:color w:val="auto"/>
              </w:rPr>
              <w:t>项目环评采用的模型为附录A（规范性附录）户外声传播的衰减和附录B（规范性附录）中“B.1工业噪声预测计算模型”。</w:t>
            </w:r>
          </w:p>
          <w:p w14:paraId="343D09C3">
            <w:pPr>
              <w:ind w:firstLine="480"/>
              <w:rPr>
                <w:color w:val="auto"/>
              </w:rPr>
            </w:pPr>
            <w:r>
              <w:rPr>
                <w:rFonts w:hint="eastAsia"/>
                <w:color w:val="auto"/>
              </w:rPr>
              <w:t>（1）室内声源</w:t>
            </w:r>
          </w:p>
          <w:p w14:paraId="176A5209">
            <w:pPr>
              <w:ind w:firstLine="480"/>
              <w:rPr>
                <w:color w:val="auto"/>
              </w:rPr>
            </w:pPr>
            <w:r>
              <w:rPr>
                <w:rFonts w:hint="eastAsia"/>
                <w:color w:val="auto"/>
              </w:rPr>
              <w:t>声源位于室内，室内声源可采用等效室外声源声功率级法进行计算。设靠近开口处（或窗户）室内、室外某倍频带的声压级分别为L</w:t>
            </w:r>
            <w:r>
              <w:rPr>
                <w:rFonts w:hint="eastAsia"/>
                <w:color w:val="auto"/>
                <w:vertAlign w:val="subscript"/>
              </w:rPr>
              <w:t>p1</w:t>
            </w:r>
            <w:r>
              <w:rPr>
                <w:rFonts w:hint="eastAsia"/>
                <w:color w:val="auto"/>
              </w:rPr>
              <w:t>和L</w:t>
            </w:r>
            <w:r>
              <w:rPr>
                <w:rFonts w:hint="eastAsia"/>
                <w:color w:val="auto"/>
                <w:vertAlign w:val="subscript"/>
              </w:rPr>
              <w:t>p2</w:t>
            </w:r>
            <w:r>
              <w:rPr>
                <w:rFonts w:hint="eastAsia"/>
                <w:color w:val="auto"/>
              </w:rPr>
              <w:t>。若声源所在室内声场为近似扩散声场，则室外的倍频带声压级可按下式近似求出:</w:t>
            </w:r>
          </w:p>
          <w:p w14:paraId="23B7CEFA">
            <w:pPr>
              <w:ind w:firstLine="480"/>
              <w:rPr>
                <w:color w:val="auto"/>
              </w:rPr>
            </w:pPr>
            <m:oMathPara>
              <m:oMath>
                <m:sSub>
                  <m:sSubPr>
                    <m:ctrlPr>
                      <w:rPr>
                        <w:rFonts w:ascii="Cambria Math" w:hAnsi="Cambria Math"/>
                        <w:i/>
                        <w:color w:val="auto"/>
                      </w:rPr>
                    </m:ctrlPr>
                  </m:sSubPr>
                  <m:e>
                    <m:r>
                      <m:rPr/>
                      <w:rPr>
                        <w:rFonts w:ascii="Cambria Math" w:hAnsi="Cambria Math"/>
                        <w:color w:val="auto"/>
                      </w:rPr>
                      <m:t>L</m:t>
                    </m:r>
                    <m:ctrlPr>
                      <w:rPr>
                        <w:rFonts w:ascii="Cambria Math" w:hAnsi="Cambria Math"/>
                        <w:i/>
                        <w:color w:val="auto"/>
                      </w:rPr>
                    </m:ctrlPr>
                  </m:e>
                  <m:sub>
                    <m:r>
                      <m:rPr/>
                      <w:rPr>
                        <w:rFonts w:hint="eastAsia" w:ascii="Cambria Math" w:hAnsi="Cambria Math"/>
                        <w:color w:val="auto"/>
                      </w:rPr>
                      <m:t>p</m:t>
                    </m:r>
                    <m:r>
                      <m:rPr/>
                      <w:rPr>
                        <w:rFonts w:ascii="Cambria Math" w:hAnsi="Cambria Math"/>
                        <w:color w:val="auto"/>
                      </w:rPr>
                      <m:t>2</m:t>
                    </m:r>
                    <m:ctrlPr>
                      <w:rPr>
                        <w:rFonts w:ascii="Cambria Math" w:hAnsi="Cambria Math"/>
                        <w:i/>
                        <w:color w:val="auto"/>
                      </w:rPr>
                    </m:ctrlPr>
                  </m:sub>
                </m:sSub>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L</m:t>
                    </m:r>
                    <m:ctrlPr>
                      <w:rPr>
                        <w:rFonts w:ascii="Cambria Math" w:hAnsi="Cambria Math"/>
                        <w:i/>
                        <w:color w:val="auto"/>
                      </w:rPr>
                    </m:ctrlPr>
                  </m:e>
                  <m:sub>
                    <m:r>
                      <m:rPr/>
                      <w:rPr>
                        <w:rFonts w:hint="eastAsia" w:ascii="Cambria Math" w:hAnsi="Cambria Math"/>
                        <w:color w:val="auto"/>
                      </w:rPr>
                      <m:t>p</m:t>
                    </m:r>
                    <m:r>
                      <m:rPr/>
                      <w:rPr>
                        <w:rFonts w:ascii="Cambria Math" w:hAnsi="Cambria Math"/>
                        <w:color w:val="auto"/>
                      </w:rPr>
                      <m:t>1</m:t>
                    </m:r>
                    <m:ctrlPr>
                      <w:rPr>
                        <w:rFonts w:ascii="Cambria Math" w:hAnsi="Cambria Math"/>
                        <w:i/>
                        <w:color w:val="auto"/>
                      </w:rPr>
                    </m:ctrlPr>
                  </m:sub>
                </m:sSub>
                <m:r>
                  <m:rPr/>
                  <w:rPr>
                    <w:rFonts w:ascii="Cambria Math" w:hAnsi="Cambria Math"/>
                    <w:color w:val="auto"/>
                  </w:rPr>
                  <m:t>−</m:t>
                </m:r>
                <m:r>
                  <m:rPr/>
                  <w:rPr>
                    <w:rFonts w:hint="eastAsia" w:ascii="Cambria Math" w:hAnsi="Cambria Math"/>
                    <w:color w:val="auto"/>
                  </w:rPr>
                  <m:t>（</m:t>
                </m:r>
                <m:r>
                  <m:rPr/>
                  <w:rPr>
                    <w:rFonts w:ascii="Cambria Math" w:hAnsi="Cambria Math"/>
                    <w:color w:val="auto"/>
                  </w:rPr>
                  <m:t>TL+6</m:t>
                </m:r>
                <m:r>
                  <m:rPr/>
                  <w:rPr>
                    <w:rFonts w:hint="eastAsia" w:ascii="Cambria Math" w:hAnsi="Cambria Math"/>
                    <w:color w:val="auto"/>
                  </w:rPr>
                  <m:t>）</m:t>
                </m:r>
              </m:oMath>
            </m:oMathPara>
          </w:p>
          <w:p w14:paraId="1944509C">
            <w:pPr>
              <w:ind w:firstLine="480"/>
              <w:rPr>
                <w:color w:val="auto"/>
              </w:rPr>
            </w:pPr>
            <w:r>
              <w:rPr>
                <w:rFonts w:hint="eastAsia"/>
                <w:color w:val="auto"/>
              </w:rPr>
              <w:t>式中：</w:t>
            </w:r>
            <w:r>
              <w:rPr>
                <w:rFonts w:hint="eastAsia"/>
                <w:i/>
                <w:iCs/>
                <w:color w:val="auto"/>
              </w:rPr>
              <w:t>L</w:t>
            </w:r>
            <w:r>
              <w:rPr>
                <w:rFonts w:hint="eastAsia"/>
                <w:i/>
                <w:iCs/>
                <w:color w:val="auto"/>
                <w:vertAlign w:val="subscript"/>
              </w:rPr>
              <w:t>p1</w:t>
            </w:r>
            <w:r>
              <w:rPr>
                <w:rFonts w:hint="eastAsia"/>
                <w:color w:val="auto"/>
              </w:rPr>
              <w:t>——靠近开口处（或窗户）室内某倍频带的声压级或A声级，dB；</w:t>
            </w:r>
          </w:p>
          <w:p w14:paraId="238214BD">
            <w:pPr>
              <w:ind w:firstLine="1104" w:firstLineChars="460"/>
              <w:rPr>
                <w:color w:val="auto"/>
              </w:rPr>
            </w:pPr>
            <w:r>
              <w:rPr>
                <w:i/>
                <w:iCs/>
                <w:color w:val="auto"/>
              </w:rPr>
              <w:t>L</w:t>
            </w:r>
            <w:r>
              <w:rPr>
                <w:rFonts w:hint="eastAsia"/>
                <w:i/>
                <w:iCs/>
                <w:color w:val="auto"/>
                <w:vertAlign w:val="subscript"/>
              </w:rPr>
              <w:t>p2</w:t>
            </w:r>
            <w:r>
              <w:rPr>
                <w:rFonts w:hint="eastAsia"/>
                <w:color w:val="auto"/>
              </w:rPr>
              <w:t>——靠近开口处（或窗户）室外某倍频带的声压级或A声级，dB；</w:t>
            </w:r>
          </w:p>
          <w:p w14:paraId="16C7630D">
            <w:pPr>
              <w:ind w:firstLine="1104" w:firstLineChars="460"/>
              <w:rPr>
                <w:color w:val="auto"/>
              </w:rPr>
            </w:pPr>
            <w:r>
              <w:rPr>
                <w:rFonts w:hint="eastAsia"/>
                <w:i/>
                <w:iCs/>
                <w:color w:val="auto"/>
              </w:rPr>
              <w:t>TL</w:t>
            </w:r>
            <w:r>
              <w:rPr>
                <w:rFonts w:hint="eastAsia"/>
                <w:color w:val="auto"/>
              </w:rPr>
              <w:t>——隔墙（或窗户）倍频带或A声级的隔声量，dB。</w:t>
            </w:r>
          </w:p>
          <w:p w14:paraId="63DC7F52">
            <w:pPr>
              <w:ind w:firstLine="480"/>
              <w:rPr>
                <w:color w:val="auto"/>
              </w:rPr>
            </w:pPr>
            <w:r>
              <w:rPr>
                <w:rFonts w:hint="eastAsia"/>
                <w:color w:val="auto"/>
              </w:rPr>
              <w:t>①计算某一室内声源靠近围护结构处产生的倍频带声压级或A声级：</w:t>
            </w:r>
          </w:p>
          <w:p w14:paraId="6D49FEB2">
            <w:pPr>
              <w:ind w:firstLine="480"/>
              <w:rPr>
                <w:color w:val="auto"/>
              </w:rPr>
            </w:pPr>
            <m:oMathPara>
              <m:oMath>
                <m:sSub>
                  <m:sSubPr>
                    <m:ctrlPr>
                      <w:rPr>
                        <w:rFonts w:ascii="Cambria Math" w:hAnsi="Cambria Math"/>
                        <w:i/>
                        <w:color w:val="auto"/>
                      </w:rPr>
                    </m:ctrlPr>
                  </m:sSubPr>
                  <m:e>
                    <m:r>
                      <m:rPr/>
                      <w:rPr>
                        <w:rFonts w:ascii="Cambria Math" w:hAnsi="Cambria Math"/>
                        <w:color w:val="auto"/>
                      </w:rPr>
                      <m:t>L</m:t>
                    </m:r>
                    <m:ctrlPr>
                      <w:rPr>
                        <w:rFonts w:ascii="Cambria Math" w:hAnsi="Cambria Math"/>
                        <w:i/>
                        <w:color w:val="auto"/>
                      </w:rPr>
                    </m:ctrlPr>
                  </m:e>
                  <m:sub>
                    <m:r>
                      <m:rPr/>
                      <w:rPr>
                        <w:rFonts w:hint="eastAsia" w:ascii="Cambria Math" w:hAnsi="Cambria Math"/>
                        <w:color w:val="auto"/>
                      </w:rPr>
                      <m:t>p</m:t>
                    </m:r>
                    <m:r>
                      <m:rPr/>
                      <w:rPr>
                        <w:rFonts w:ascii="Cambria Math" w:hAnsi="Cambria Math"/>
                        <w:color w:val="auto"/>
                      </w:rPr>
                      <m:t>1</m:t>
                    </m:r>
                    <m:ctrlPr>
                      <w:rPr>
                        <w:rFonts w:ascii="Cambria Math" w:hAnsi="Cambria Math"/>
                        <w:i/>
                        <w:color w:val="auto"/>
                      </w:rPr>
                    </m:ctrlPr>
                  </m:sub>
                </m:sSub>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L</m:t>
                    </m:r>
                    <m:ctrlPr>
                      <w:rPr>
                        <w:rFonts w:ascii="Cambria Math" w:hAnsi="Cambria Math"/>
                        <w:i/>
                        <w:color w:val="auto"/>
                      </w:rPr>
                    </m:ctrlPr>
                  </m:e>
                  <m:sub>
                    <m:r>
                      <m:rPr/>
                      <w:rPr>
                        <w:rFonts w:ascii="Cambria Math" w:hAnsi="Cambria Math"/>
                        <w:color w:val="auto"/>
                      </w:rPr>
                      <m:t>w</m:t>
                    </m:r>
                    <m:ctrlPr>
                      <w:rPr>
                        <w:rFonts w:ascii="Cambria Math" w:hAnsi="Cambria Math"/>
                        <w:i/>
                        <w:color w:val="auto"/>
                      </w:rPr>
                    </m:ctrlPr>
                  </m:sub>
                </m:sSub>
                <m:r>
                  <m:rPr/>
                  <w:rPr>
                    <w:rFonts w:ascii="Cambria Math" w:hAnsi="Cambria Math"/>
                    <w:color w:val="auto"/>
                  </w:rPr>
                  <m:t>+10lg</m:t>
                </m:r>
                <m:d>
                  <m:dPr>
                    <m:ctrlPr>
                      <w:rPr>
                        <w:rFonts w:ascii="Cambria Math" w:hAnsi="Cambria Math"/>
                        <w:i/>
                        <w:color w:val="auto"/>
                      </w:rPr>
                    </m:ctrlPr>
                  </m:dPr>
                  <m:e>
                    <m:f>
                      <m:fPr>
                        <m:ctrlPr>
                          <w:rPr>
                            <w:rFonts w:ascii="Cambria Math" w:hAnsi="Cambria Math"/>
                            <w:i/>
                            <w:color w:val="auto"/>
                          </w:rPr>
                        </m:ctrlPr>
                      </m:fPr>
                      <m:num>
                        <m:r>
                          <m:rPr/>
                          <w:rPr>
                            <w:rFonts w:ascii="Cambria Math" w:hAnsi="Cambria Math"/>
                            <w:color w:val="auto"/>
                          </w:rPr>
                          <m:t>Q</m:t>
                        </m:r>
                        <m:ctrlPr>
                          <w:rPr>
                            <w:rFonts w:ascii="Cambria Math" w:hAnsi="Cambria Math"/>
                            <w:i/>
                            <w:color w:val="auto"/>
                          </w:rPr>
                        </m:ctrlPr>
                      </m:num>
                      <m:den>
                        <m:sSup>
                          <m:sSupPr>
                            <m:ctrlPr>
                              <w:rPr>
                                <w:rFonts w:ascii="Cambria Math" w:hAnsi="Cambria Math"/>
                                <w:i/>
                                <w:color w:val="auto"/>
                              </w:rPr>
                            </m:ctrlPr>
                          </m:sSupPr>
                          <m:e>
                            <m:r>
                              <m:rPr/>
                              <w:rPr>
                                <w:rFonts w:ascii="Cambria Math" w:hAnsi="Cambria Math"/>
                                <w:color w:val="auto"/>
                              </w:rPr>
                              <m:t>4π</m:t>
                            </m:r>
                            <m:r>
                              <m:rPr/>
                              <w:rPr>
                                <w:rFonts w:hint="eastAsia" w:ascii="Cambria Math" w:hAnsi="Cambria Math"/>
                                <w:color w:val="auto"/>
                              </w:rPr>
                              <m:t>r</m:t>
                            </m:r>
                            <m:ctrlPr>
                              <w:rPr>
                                <w:rFonts w:ascii="Cambria Math" w:hAnsi="Cambria Math"/>
                                <w:i/>
                                <w:color w:val="auto"/>
                              </w:rPr>
                            </m:ctrlPr>
                          </m:e>
                          <m:sup>
                            <m:r>
                              <m:rPr/>
                              <w:rPr>
                                <w:rFonts w:ascii="Cambria Math" w:hAnsi="Cambria Math"/>
                                <w:color w:val="auto"/>
                              </w:rPr>
                              <m:t>2</m:t>
                            </m:r>
                            <m:ctrlPr>
                              <w:rPr>
                                <w:rFonts w:ascii="Cambria Math" w:hAnsi="Cambria Math"/>
                                <w:i/>
                                <w:color w:val="auto"/>
                              </w:rPr>
                            </m:ctrlPr>
                          </m:sup>
                        </m:sSup>
                        <m:ctrlPr>
                          <w:rPr>
                            <w:rFonts w:ascii="Cambria Math" w:hAnsi="Cambria Math"/>
                            <w:i/>
                            <w:color w:val="auto"/>
                          </w:rPr>
                        </m:ctrlPr>
                      </m:den>
                    </m:f>
                    <m:r>
                      <m:rPr/>
                      <w:rPr>
                        <w:rFonts w:ascii="Cambria Math" w:hAnsi="Cambria Math"/>
                        <w:color w:val="auto"/>
                      </w:rPr>
                      <m:t>+</m:t>
                    </m:r>
                    <m:f>
                      <m:fPr>
                        <m:ctrlPr>
                          <w:rPr>
                            <w:rFonts w:ascii="Cambria Math" w:hAnsi="Cambria Math"/>
                            <w:i/>
                            <w:color w:val="auto"/>
                          </w:rPr>
                        </m:ctrlPr>
                      </m:fPr>
                      <m:num>
                        <m:r>
                          <m:rPr/>
                          <w:rPr>
                            <w:rFonts w:ascii="Cambria Math" w:hAnsi="Cambria Math"/>
                            <w:color w:val="auto"/>
                          </w:rPr>
                          <m:t>4</m:t>
                        </m:r>
                        <m:ctrlPr>
                          <w:rPr>
                            <w:rFonts w:ascii="Cambria Math" w:hAnsi="Cambria Math"/>
                            <w:i/>
                            <w:color w:val="auto"/>
                          </w:rPr>
                        </m:ctrlPr>
                      </m:num>
                      <m:den>
                        <m:r>
                          <m:rPr/>
                          <w:rPr>
                            <w:rFonts w:ascii="Cambria Math" w:hAnsi="Cambria Math"/>
                            <w:color w:val="auto"/>
                          </w:rPr>
                          <m:t>R</m:t>
                        </m:r>
                        <m:ctrlPr>
                          <w:rPr>
                            <w:rFonts w:ascii="Cambria Math" w:hAnsi="Cambria Math"/>
                            <w:i/>
                            <w:color w:val="auto"/>
                          </w:rPr>
                        </m:ctrlPr>
                      </m:den>
                    </m:f>
                    <m:ctrlPr>
                      <w:rPr>
                        <w:rFonts w:ascii="Cambria Math" w:hAnsi="Cambria Math"/>
                        <w:i/>
                        <w:color w:val="auto"/>
                      </w:rPr>
                    </m:ctrlPr>
                  </m:e>
                </m:d>
              </m:oMath>
            </m:oMathPara>
          </w:p>
          <w:p w14:paraId="0626FD62">
            <w:pPr>
              <w:ind w:firstLine="480"/>
              <w:rPr>
                <w:color w:val="auto"/>
              </w:rPr>
            </w:pPr>
            <w:r>
              <w:rPr>
                <w:rFonts w:hint="eastAsia"/>
                <w:color w:val="auto"/>
              </w:rPr>
              <w:t>式中：</w:t>
            </w:r>
            <w:r>
              <w:rPr>
                <w:rFonts w:hint="eastAsia"/>
                <w:i/>
                <w:iCs/>
                <w:color w:val="auto"/>
              </w:rPr>
              <w:t>L</w:t>
            </w:r>
            <w:r>
              <w:rPr>
                <w:rFonts w:hint="eastAsia"/>
                <w:i/>
                <w:iCs/>
                <w:color w:val="auto"/>
                <w:vertAlign w:val="subscript"/>
              </w:rPr>
              <w:t>p1</w:t>
            </w:r>
            <w:r>
              <w:rPr>
                <w:rFonts w:hint="eastAsia"/>
                <w:color w:val="auto"/>
              </w:rPr>
              <w:t>——靠近开口处（或窗户）室内某倍频带的声压级或A声级，dB；</w:t>
            </w:r>
          </w:p>
          <w:p w14:paraId="33B448D2">
            <w:pPr>
              <w:ind w:firstLine="1104" w:firstLineChars="460"/>
              <w:rPr>
                <w:color w:val="auto"/>
              </w:rPr>
            </w:pPr>
            <w:r>
              <w:rPr>
                <w:i/>
                <w:iCs/>
                <w:color w:val="auto"/>
              </w:rPr>
              <w:t>L</w:t>
            </w:r>
            <w:r>
              <w:rPr>
                <w:rFonts w:hint="eastAsia"/>
                <w:i/>
                <w:iCs/>
                <w:color w:val="auto"/>
                <w:vertAlign w:val="subscript"/>
              </w:rPr>
              <w:t>w</w:t>
            </w:r>
            <w:r>
              <w:rPr>
                <w:rFonts w:hint="eastAsia"/>
                <w:color w:val="auto"/>
              </w:rPr>
              <w:t>——点声源声功率级（A计权或倍频带），dB；</w:t>
            </w:r>
          </w:p>
          <w:p w14:paraId="3D230150">
            <w:pPr>
              <w:ind w:firstLine="1108" w:firstLineChars="462"/>
              <w:rPr>
                <w:color w:val="auto"/>
              </w:rPr>
            </w:pPr>
            <w:r>
              <w:rPr>
                <w:rFonts w:hint="eastAsia"/>
                <w:i/>
                <w:iCs/>
                <w:color w:val="auto"/>
              </w:rPr>
              <w:t>Q</w:t>
            </w:r>
            <w:r>
              <w:rPr>
                <w:rFonts w:hint="eastAsia"/>
                <w:color w:val="auto"/>
              </w:rPr>
              <w:t>——指向性因数；通常对无指向性声源，当声源放在房间中心时，Q=1；当放在一面墙的中心时，Q=2；当放在两面墙夹角处时，Q=4；当放在三面墙夹角处时，Q=8；</w:t>
            </w:r>
          </w:p>
          <w:p w14:paraId="09A213CA">
            <w:pPr>
              <w:ind w:firstLine="1108" w:firstLineChars="462"/>
              <w:rPr>
                <w:color w:val="auto"/>
              </w:rPr>
            </w:pPr>
            <w:r>
              <w:rPr>
                <w:i/>
                <w:iCs/>
                <w:color w:val="auto"/>
              </w:rPr>
              <w:t>R</w:t>
            </w:r>
            <w:r>
              <w:rPr>
                <w:rFonts w:hint="eastAsia"/>
                <w:color w:val="auto"/>
              </w:rPr>
              <w:t>——房间常数；</w:t>
            </w:r>
            <w:r>
              <w:rPr>
                <w:color w:val="auto"/>
              </w:rPr>
              <w:t>R=Sα/</w:t>
            </w:r>
            <w:r>
              <w:rPr>
                <w:rFonts w:hint="eastAsia"/>
                <w:color w:val="auto"/>
              </w:rPr>
              <w:t>（1</w:t>
            </w:r>
            <w:r>
              <w:rPr>
                <w:color w:val="auto"/>
              </w:rPr>
              <w:t>-α</w:t>
            </w:r>
            <w:r>
              <w:rPr>
                <w:rFonts w:hint="eastAsia"/>
                <w:color w:val="auto"/>
              </w:rPr>
              <w:t>），</w:t>
            </w:r>
            <w:r>
              <w:rPr>
                <w:color w:val="auto"/>
              </w:rPr>
              <w:t>S</w:t>
            </w:r>
            <w:r>
              <w:rPr>
                <w:rFonts w:hint="eastAsia"/>
                <w:color w:val="auto"/>
              </w:rPr>
              <w:t>为房间内表面面积，</w:t>
            </w:r>
            <w:r>
              <w:rPr>
                <w:color w:val="auto"/>
              </w:rPr>
              <w:t>m</w:t>
            </w:r>
            <w:r>
              <w:rPr>
                <w:color w:val="auto"/>
                <w:vertAlign w:val="superscript"/>
              </w:rPr>
              <w:t>2</w:t>
            </w:r>
            <w:r>
              <w:rPr>
                <w:rFonts w:hint="eastAsia"/>
                <w:color w:val="auto"/>
              </w:rPr>
              <w:t>；</w:t>
            </w:r>
            <w:r>
              <w:rPr>
                <w:color w:val="auto"/>
              </w:rPr>
              <w:t>α</w:t>
            </w:r>
            <w:r>
              <w:rPr>
                <w:rFonts w:hint="eastAsia"/>
                <w:color w:val="auto"/>
              </w:rPr>
              <w:t>为平均吸声系数；</w:t>
            </w:r>
          </w:p>
          <w:p w14:paraId="7E800ABB">
            <w:pPr>
              <w:ind w:firstLine="1104" w:firstLineChars="460"/>
              <w:rPr>
                <w:color w:val="auto"/>
              </w:rPr>
            </w:pPr>
            <w:r>
              <w:rPr>
                <w:rFonts w:hint="eastAsia"/>
                <w:i/>
                <w:iCs/>
                <w:color w:val="auto"/>
              </w:rPr>
              <w:t>r</w:t>
            </w:r>
            <w:r>
              <w:rPr>
                <w:rFonts w:hint="eastAsia"/>
                <w:color w:val="auto"/>
              </w:rPr>
              <w:t>——声源到靠近围护结构某点处的距离，m。</w:t>
            </w:r>
          </w:p>
          <w:p w14:paraId="07AC9141">
            <w:pPr>
              <w:ind w:firstLine="480"/>
              <w:rPr>
                <w:color w:val="auto"/>
              </w:rPr>
            </w:pPr>
            <w:r>
              <w:rPr>
                <w:rFonts w:hint="eastAsia"/>
                <w:color w:val="auto"/>
              </w:rPr>
              <w:t>②计算出所有室内声源在围护结构处产生的i倍频带叠加声压级：</w:t>
            </w:r>
          </w:p>
          <w:p w14:paraId="5BD85A7D">
            <w:pPr>
              <w:ind w:firstLine="480"/>
              <w:rPr>
                <w:color w:val="auto"/>
              </w:rPr>
            </w:pPr>
            <m:oMathPara>
              <m:oMath>
                <m:sSub>
                  <m:sSubPr>
                    <m:ctrlPr>
                      <w:rPr>
                        <w:rFonts w:ascii="Cambria Math" w:hAnsi="Cambria Math"/>
                        <w:i/>
                        <w:color w:val="auto"/>
                      </w:rPr>
                    </m:ctrlPr>
                  </m:sSubPr>
                  <m:e>
                    <m:r>
                      <m:rPr/>
                      <w:rPr>
                        <w:rFonts w:ascii="Cambria Math" w:hAnsi="Cambria Math"/>
                        <w:color w:val="auto"/>
                      </w:rPr>
                      <m:t>L</m:t>
                    </m:r>
                    <m:ctrlPr>
                      <w:rPr>
                        <w:rFonts w:ascii="Cambria Math" w:hAnsi="Cambria Math"/>
                        <w:i/>
                        <w:color w:val="auto"/>
                      </w:rPr>
                    </m:ctrlPr>
                  </m:e>
                  <m:sub>
                    <m:r>
                      <m:rPr/>
                      <w:rPr>
                        <w:rFonts w:hint="eastAsia" w:ascii="Cambria Math" w:hAnsi="Cambria Math"/>
                        <w:color w:val="auto"/>
                      </w:rPr>
                      <m:t>p</m:t>
                    </m:r>
                    <m:r>
                      <m:rPr/>
                      <w:rPr>
                        <w:rFonts w:ascii="Cambria Math" w:hAnsi="Cambria Math"/>
                        <w:color w:val="auto"/>
                      </w:rPr>
                      <m:t>1i</m:t>
                    </m:r>
                    <m:ctrlPr>
                      <w:rPr>
                        <w:rFonts w:ascii="Cambria Math" w:hAnsi="Cambria Math"/>
                        <w:i/>
                        <w:color w:val="auto"/>
                      </w:rPr>
                    </m:ctrlPr>
                  </m:sub>
                </m:sSub>
                <m:r>
                  <m:rPr/>
                  <w:rPr>
                    <w:rFonts w:ascii="Cambria Math" w:hAnsi="Cambria Math"/>
                    <w:color w:val="auto"/>
                  </w:rPr>
                  <m:t>（T）=10lg</m:t>
                </m:r>
                <m:d>
                  <m:dPr>
                    <m:ctrlPr>
                      <w:rPr>
                        <w:rFonts w:ascii="Cambria Math" w:hAnsi="Cambria Math"/>
                        <w:i/>
                        <w:color w:val="auto"/>
                      </w:rPr>
                    </m:ctrlPr>
                  </m:dPr>
                  <m:e>
                    <m:nary>
                      <m:naryPr>
                        <m:chr m:val="∑"/>
                        <m:limLoc m:val="undOvr"/>
                        <m:ctrlPr>
                          <w:rPr>
                            <w:rFonts w:ascii="Cambria Math" w:hAnsi="Cambria Math"/>
                            <w:i/>
                            <w:color w:val="auto"/>
                          </w:rPr>
                        </m:ctrlPr>
                      </m:naryPr>
                      <m:sub>
                        <m:r>
                          <m:rPr/>
                          <w:rPr>
                            <w:rFonts w:ascii="Cambria Math" w:hAnsi="Cambria Math"/>
                            <w:color w:val="auto"/>
                          </w:rPr>
                          <m:t>j=1</m:t>
                        </m:r>
                        <m:ctrlPr>
                          <w:rPr>
                            <w:rFonts w:ascii="Cambria Math" w:hAnsi="Cambria Math"/>
                            <w:i/>
                            <w:color w:val="auto"/>
                          </w:rPr>
                        </m:ctrlPr>
                      </m:sub>
                      <m:sup>
                        <m:r>
                          <m:rPr/>
                          <w:rPr>
                            <w:rFonts w:ascii="Cambria Math" w:hAnsi="Cambria Math"/>
                            <w:color w:val="auto"/>
                          </w:rPr>
                          <m:t>N</m:t>
                        </m:r>
                        <m:ctrlPr>
                          <w:rPr>
                            <w:rFonts w:ascii="Cambria Math" w:hAnsi="Cambria Math"/>
                            <w:i/>
                            <w:color w:val="auto"/>
                          </w:rPr>
                        </m:ctrlPr>
                      </m:sup>
                      <m:e>
                        <m:sSup>
                          <m:sSupPr>
                            <m:ctrlPr>
                              <w:rPr>
                                <w:rFonts w:ascii="Cambria Math" w:hAnsi="Cambria Math"/>
                                <w:i/>
                                <w:color w:val="auto"/>
                              </w:rPr>
                            </m:ctrlPr>
                          </m:sSupPr>
                          <m:e>
                            <m:r>
                              <m:rPr/>
                              <w:rPr>
                                <w:rFonts w:ascii="Cambria Math" w:hAnsi="Cambria Math"/>
                                <w:color w:val="auto"/>
                              </w:rPr>
                              <m:t>10</m:t>
                            </m:r>
                            <m:ctrlPr>
                              <w:rPr>
                                <w:rFonts w:ascii="Cambria Math" w:hAnsi="Cambria Math"/>
                                <w:i/>
                                <w:color w:val="auto"/>
                              </w:rPr>
                            </m:ctrlPr>
                          </m:e>
                          <m:sup>
                            <m:sSub>
                              <m:sSubPr>
                                <m:ctrlPr>
                                  <w:rPr>
                                    <w:rFonts w:ascii="Cambria Math" w:hAnsi="Cambria Math"/>
                                    <w:i/>
                                    <w:color w:val="auto"/>
                                  </w:rPr>
                                </m:ctrlPr>
                              </m:sSubPr>
                              <m:e>
                                <m:r>
                                  <m:rPr/>
                                  <w:rPr>
                                    <w:rFonts w:ascii="Cambria Math" w:hAnsi="Cambria Math"/>
                                    <w:color w:val="auto"/>
                                  </w:rPr>
                                  <m:t>0.1L</m:t>
                                </m:r>
                                <m:ctrlPr>
                                  <w:rPr>
                                    <w:rFonts w:ascii="Cambria Math" w:hAnsi="Cambria Math"/>
                                    <w:i/>
                                    <w:color w:val="auto"/>
                                  </w:rPr>
                                </m:ctrlPr>
                              </m:e>
                              <m:sub>
                                <m:r>
                                  <m:rPr/>
                                  <w:rPr>
                                    <w:rFonts w:ascii="Cambria Math" w:hAnsi="Cambria Math"/>
                                    <w:color w:val="auto"/>
                                  </w:rPr>
                                  <m:t>p1ij</m:t>
                                </m:r>
                                <m:ctrlPr>
                                  <w:rPr>
                                    <w:rFonts w:ascii="Cambria Math" w:hAnsi="Cambria Math"/>
                                    <w:i/>
                                    <w:color w:val="auto"/>
                                  </w:rPr>
                                </m:ctrlPr>
                              </m:sub>
                            </m:sSub>
                            <m:ctrlPr>
                              <w:rPr>
                                <w:rFonts w:ascii="Cambria Math" w:hAnsi="Cambria Math"/>
                                <w:i/>
                                <w:color w:val="auto"/>
                              </w:rPr>
                            </m:ctrlPr>
                          </m:sup>
                        </m:sSup>
                        <m:ctrlPr>
                          <w:rPr>
                            <w:rFonts w:ascii="Cambria Math" w:hAnsi="Cambria Math"/>
                            <w:i/>
                            <w:color w:val="auto"/>
                          </w:rPr>
                        </m:ctrlPr>
                      </m:e>
                    </m:nary>
                    <m:ctrlPr>
                      <w:rPr>
                        <w:rFonts w:ascii="Cambria Math" w:hAnsi="Cambria Math"/>
                        <w:i/>
                        <w:color w:val="auto"/>
                      </w:rPr>
                    </m:ctrlPr>
                  </m:e>
                </m:d>
              </m:oMath>
            </m:oMathPara>
          </w:p>
          <w:p w14:paraId="31544085">
            <w:pPr>
              <w:ind w:firstLine="480"/>
              <w:rPr>
                <w:color w:val="auto"/>
              </w:rPr>
            </w:pPr>
            <w:r>
              <w:rPr>
                <w:rFonts w:hint="eastAsia"/>
                <w:color w:val="auto"/>
              </w:rPr>
              <w:t>式中：</w:t>
            </w:r>
            <w:r>
              <w:rPr>
                <w:rFonts w:hint="eastAsia"/>
                <w:i/>
                <w:iCs/>
                <w:color w:val="auto"/>
              </w:rPr>
              <w:t>L</w:t>
            </w:r>
            <w:r>
              <w:rPr>
                <w:i/>
                <w:iCs/>
                <w:color w:val="auto"/>
                <w:vertAlign w:val="subscript"/>
              </w:rPr>
              <w:t>p1i</w:t>
            </w:r>
            <w:r>
              <w:rPr>
                <w:i/>
                <w:iCs/>
                <w:color w:val="auto"/>
              </w:rPr>
              <w:t>（T）</w:t>
            </w:r>
            <w:r>
              <w:rPr>
                <w:rFonts w:hint="eastAsia"/>
                <w:color w:val="auto"/>
              </w:rPr>
              <w:t>——靠近围护结构处室内</w:t>
            </w:r>
            <w:r>
              <w:rPr>
                <w:color w:val="auto"/>
              </w:rPr>
              <w:t>N</w:t>
            </w:r>
            <w:r>
              <w:rPr>
                <w:rFonts w:hint="eastAsia"/>
                <w:color w:val="auto"/>
              </w:rPr>
              <w:t>个声源</w:t>
            </w:r>
            <w:r>
              <w:rPr>
                <w:color w:val="auto"/>
              </w:rPr>
              <w:t>i</w:t>
            </w:r>
            <w:r>
              <w:rPr>
                <w:rFonts w:hint="eastAsia"/>
                <w:color w:val="auto"/>
              </w:rPr>
              <w:t>倍频带的叠加声压级，</w:t>
            </w:r>
            <w:r>
              <w:rPr>
                <w:color w:val="auto"/>
              </w:rPr>
              <w:t>dB</w:t>
            </w:r>
            <w:r>
              <w:rPr>
                <w:rFonts w:hint="eastAsia"/>
                <w:color w:val="auto"/>
              </w:rPr>
              <w:t>；</w:t>
            </w:r>
          </w:p>
          <w:p w14:paraId="6A824AAC">
            <w:pPr>
              <w:ind w:firstLine="1101" w:firstLineChars="459"/>
              <w:rPr>
                <w:color w:val="auto"/>
              </w:rPr>
            </w:pPr>
            <w:r>
              <w:rPr>
                <w:rFonts w:hint="eastAsia"/>
                <w:i/>
                <w:iCs/>
                <w:color w:val="auto"/>
              </w:rPr>
              <w:t>L</w:t>
            </w:r>
            <w:r>
              <w:rPr>
                <w:i/>
                <w:iCs/>
                <w:color w:val="auto"/>
                <w:vertAlign w:val="subscript"/>
              </w:rPr>
              <w:t>p1ij</w:t>
            </w:r>
            <w:r>
              <w:rPr>
                <w:rFonts w:hint="eastAsia"/>
                <w:color w:val="auto"/>
              </w:rPr>
              <w:t>——室内j声源i倍频带的声压级，dB；</w:t>
            </w:r>
          </w:p>
          <w:p w14:paraId="579FC68B">
            <w:pPr>
              <w:ind w:firstLine="1101" w:firstLineChars="459"/>
              <w:rPr>
                <w:color w:val="auto"/>
              </w:rPr>
            </w:pPr>
            <w:r>
              <w:rPr>
                <w:rFonts w:hint="eastAsia"/>
                <w:i/>
                <w:iCs/>
                <w:color w:val="auto"/>
              </w:rPr>
              <w:t>N</w:t>
            </w:r>
            <w:r>
              <w:rPr>
                <w:rFonts w:hint="eastAsia"/>
                <w:color w:val="auto"/>
              </w:rPr>
              <w:t>——室内声源总数。</w:t>
            </w:r>
          </w:p>
          <w:p w14:paraId="201C8AF6">
            <w:pPr>
              <w:ind w:firstLine="480"/>
              <w:rPr>
                <w:color w:val="auto"/>
              </w:rPr>
            </w:pPr>
            <w:r>
              <w:rPr>
                <w:rFonts w:hint="eastAsia"/>
                <w:color w:val="auto"/>
              </w:rPr>
              <w:t>③将室外声源的声压级和透过面积换算成等效的室外声源，计算出中心位置位于透声面积（S）处的等效声源的倍频带声功率级：</w:t>
            </w:r>
          </w:p>
          <w:p w14:paraId="08FBCFFA">
            <w:pPr>
              <w:ind w:firstLine="480"/>
              <w:rPr>
                <w:color w:val="auto"/>
              </w:rPr>
            </w:pPr>
            <m:oMathPara>
              <m:oMath>
                <m:sSub>
                  <m:sSubPr>
                    <m:ctrlPr>
                      <w:rPr>
                        <w:rFonts w:ascii="Cambria Math" w:hAnsi="Cambria Math"/>
                        <w:i/>
                        <w:color w:val="auto"/>
                      </w:rPr>
                    </m:ctrlPr>
                  </m:sSubPr>
                  <m:e>
                    <m:r>
                      <m:rPr/>
                      <w:rPr>
                        <w:rFonts w:ascii="Cambria Math" w:hAnsi="Cambria Math"/>
                        <w:color w:val="auto"/>
                      </w:rPr>
                      <m:t>L</m:t>
                    </m:r>
                    <m:ctrlPr>
                      <w:rPr>
                        <w:rFonts w:ascii="Cambria Math" w:hAnsi="Cambria Math"/>
                        <w:i/>
                        <w:color w:val="auto"/>
                      </w:rPr>
                    </m:ctrlPr>
                  </m:e>
                  <m:sub>
                    <m:r>
                      <m:rPr/>
                      <w:rPr>
                        <w:rFonts w:ascii="Cambria Math" w:hAnsi="Cambria Math"/>
                        <w:color w:val="auto"/>
                      </w:rPr>
                      <m:t>w</m:t>
                    </m:r>
                    <m:ctrlPr>
                      <w:rPr>
                        <w:rFonts w:ascii="Cambria Math" w:hAnsi="Cambria Math"/>
                        <w:i/>
                        <w:color w:val="auto"/>
                      </w:rPr>
                    </m:ctrlPr>
                  </m:sub>
                </m:sSub>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L</m:t>
                    </m:r>
                    <m:ctrlPr>
                      <w:rPr>
                        <w:rFonts w:ascii="Cambria Math" w:hAnsi="Cambria Math"/>
                        <w:i/>
                        <w:color w:val="auto"/>
                      </w:rPr>
                    </m:ctrlPr>
                  </m:e>
                  <m:sub>
                    <m:r>
                      <m:rPr/>
                      <w:rPr>
                        <w:rFonts w:hint="eastAsia" w:ascii="Cambria Math" w:hAnsi="Cambria Math"/>
                        <w:color w:val="auto"/>
                      </w:rPr>
                      <m:t>p</m:t>
                    </m:r>
                    <m:r>
                      <m:rPr/>
                      <w:rPr>
                        <w:rFonts w:ascii="Cambria Math" w:hAnsi="Cambria Math"/>
                        <w:color w:val="auto"/>
                      </w:rPr>
                      <m:t>2</m:t>
                    </m:r>
                    <m:ctrlPr>
                      <w:rPr>
                        <w:rFonts w:ascii="Cambria Math" w:hAnsi="Cambria Math"/>
                        <w:i/>
                        <w:color w:val="auto"/>
                      </w:rPr>
                    </m:ctrlPr>
                  </m:sub>
                </m:sSub>
                <m:d>
                  <m:dPr>
                    <m:ctrlPr>
                      <w:rPr>
                        <w:rFonts w:ascii="Cambria Math" w:hAnsi="Cambria Math"/>
                        <w:i/>
                        <w:color w:val="auto"/>
                      </w:rPr>
                    </m:ctrlPr>
                  </m:dPr>
                  <m:e>
                    <m:r>
                      <m:rPr/>
                      <w:rPr>
                        <w:rFonts w:ascii="Cambria Math" w:hAnsi="Cambria Math"/>
                        <w:color w:val="auto"/>
                      </w:rPr>
                      <m:t>T</m:t>
                    </m:r>
                    <m:ctrlPr>
                      <w:rPr>
                        <w:rFonts w:ascii="Cambria Math" w:hAnsi="Cambria Math"/>
                        <w:i/>
                        <w:color w:val="auto"/>
                      </w:rPr>
                    </m:ctrlPr>
                  </m:e>
                </m:d>
                <m:r>
                  <m:rPr/>
                  <w:rPr>
                    <w:rFonts w:ascii="Cambria Math" w:hAnsi="Cambria Math"/>
                    <w:color w:val="auto"/>
                  </w:rPr>
                  <m:t>+10lgS</m:t>
                </m:r>
              </m:oMath>
            </m:oMathPara>
          </w:p>
          <w:p w14:paraId="240210D1">
            <w:pPr>
              <w:ind w:firstLine="480"/>
              <w:rPr>
                <w:color w:val="auto"/>
              </w:rPr>
            </w:pPr>
            <w:r>
              <w:rPr>
                <w:rFonts w:hint="eastAsia"/>
                <w:color w:val="auto"/>
              </w:rPr>
              <w:t>式中：</w:t>
            </w:r>
            <w:r>
              <w:rPr>
                <w:rFonts w:hint="eastAsia"/>
                <w:i/>
                <w:iCs/>
                <w:color w:val="auto"/>
              </w:rPr>
              <w:t>Lw</w:t>
            </w:r>
            <w:r>
              <w:rPr>
                <w:rFonts w:hint="eastAsia"/>
                <w:color w:val="auto"/>
              </w:rPr>
              <w:t>——中心位置位于透声面积（S）处的等效声源的倍频带声功率级，dB；</w:t>
            </w:r>
          </w:p>
          <w:p w14:paraId="088F4579">
            <w:pPr>
              <w:ind w:firstLine="1240" w:firstLineChars="517"/>
              <w:rPr>
                <w:color w:val="auto"/>
              </w:rPr>
            </w:pPr>
            <w:r>
              <w:rPr>
                <w:i/>
                <w:iCs/>
                <w:color w:val="auto"/>
              </w:rPr>
              <w:t>L</w:t>
            </w:r>
            <w:r>
              <w:rPr>
                <w:rFonts w:hint="eastAsia"/>
                <w:i/>
                <w:iCs/>
                <w:color w:val="auto"/>
              </w:rPr>
              <w:t>p2（T）</w:t>
            </w:r>
            <w:r>
              <w:rPr>
                <w:rFonts w:hint="eastAsia"/>
                <w:color w:val="auto"/>
              </w:rPr>
              <w:t>——靠近围护结构处室外声源的声压级，dB；</w:t>
            </w:r>
          </w:p>
          <w:p w14:paraId="244FCBAE">
            <w:pPr>
              <w:ind w:firstLine="1240" w:firstLineChars="517"/>
              <w:rPr>
                <w:color w:val="auto"/>
              </w:rPr>
            </w:pPr>
            <w:r>
              <w:rPr>
                <w:rFonts w:hint="eastAsia"/>
                <w:i/>
                <w:iCs/>
                <w:color w:val="auto"/>
              </w:rPr>
              <w:t>S</w:t>
            </w:r>
            <w:r>
              <w:rPr>
                <w:rFonts w:hint="eastAsia"/>
                <w:color w:val="auto"/>
              </w:rPr>
              <w:t>——透声面积，m</w:t>
            </w:r>
            <w:r>
              <w:rPr>
                <w:rFonts w:hint="eastAsia"/>
                <w:color w:val="auto"/>
                <w:vertAlign w:val="superscript"/>
              </w:rPr>
              <w:t>2</w:t>
            </w:r>
            <w:r>
              <w:rPr>
                <w:rFonts w:hint="eastAsia"/>
                <w:color w:val="auto"/>
              </w:rPr>
              <w:t>。</w:t>
            </w:r>
          </w:p>
          <w:p w14:paraId="255C5704">
            <w:pPr>
              <w:ind w:firstLine="480"/>
              <w:rPr>
                <w:color w:val="auto"/>
              </w:rPr>
            </w:pPr>
            <w:r>
              <w:rPr>
                <w:rFonts w:hint="eastAsia"/>
                <w:color w:val="auto"/>
              </w:rPr>
              <w:t>然后按室外声源预测方法计算预测点处的A声级</w:t>
            </w:r>
          </w:p>
          <w:p w14:paraId="0A55D7A6">
            <w:pPr>
              <w:ind w:firstLine="480"/>
              <w:rPr>
                <w:color w:val="auto"/>
              </w:rPr>
            </w:pPr>
            <w:r>
              <w:rPr>
                <w:rFonts w:hint="eastAsia"/>
                <w:color w:val="auto"/>
              </w:rPr>
              <w:t>（2）室外声源</w:t>
            </w:r>
          </w:p>
          <w:p w14:paraId="2AFBA8B1">
            <w:pPr>
              <w:ind w:firstLine="480"/>
              <w:rPr>
                <w:color w:val="auto"/>
              </w:rPr>
            </w:pPr>
            <w:r>
              <w:rPr>
                <w:rFonts w:hint="eastAsia"/>
                <w:color w:val="auto"/>
              </w:rPr>
              <w:t>在环境影响评价中，应根据声源声功率级或参考位置处的声压级、户外声传播衰减，计算预测点的声级。</w:t>
            </w:r>
          </w:p>
          <w:p w14:paraId="790241EE">
            <w:pPr>
              <w:autoSpaceDE w:val="0"/>
              <w:autoSpaceDN w:val="0"/>
              <w:ind w:firstLine="480"/>
              <w:rPr>
                <w:color w:val="auto"/>
                <w:kern w:val="0"/>
              </w:rPr>
            </w:pPr>
            <m:oMathPara>
              <m:oMath>
                <m:sSub>
                  <m:sSubPr>
                    <m:ctrlPr>
                      <w:rPr>
                        <w:rFonts w:ascii="Cambria Math" w:hAnsi="Cambria Math"/>
                        <w:i/>
                        <w:color w:val="auto"/>
                      </w:rPr>
                    </m:ctrlPr>
                  </m:sSubPr>
                  <m:e>
                    <m:r>
                      <m:rPr/>
                      <w:rPr>
                        <w:rFonts w:ascii="Cambria Math" w:hAnsi="Cambria Math"/>
                        <w:color w:val="auto"/>
                      </w:rPr>
                      <m:t>L</m:t>
                    </m:r>
                    <m:ctrlPr>
                      <w:rPr>
                        <w:rFonts w:ascii="Cambria Math" w:hAnsi="Cambria Math"/>
                        <w:i/>
                        <w:color w:val="auto"/>
                      </w:rPr>
                    </m:ctrlPr>
                  </m:e>
                  <m:sub>
                    <m:r>
                      <m:rPr/>
                      <w:rPr>
                        <w:rFonts w:hint="eastAsia" w:ascii="Cambria Math" w:hAnsi="Cambria Math"/>
                        <w:color w:val="auto"/>
                      </w:rPr>
                      <m:t>p</m:t>
                    </m:r>
                    <m:ctrlPr>
                      <w:rPr>
                        <w:rFonts w:ascii="Cambria Math" w:hAnsi="Cambria Math"/>
                        <w:i/>
                        <w:color w:val="auto"/>
                      </w:rPr>
                    </m:ctrlPr>
                  </m:sub>
                </m:sSub>
                <m:d>
                  <m:dPr>
                    <m:begChr m:val="（"/>
                    <m:endChr m:val="）"/>
                    <m:ctrlPr>
                      <w:rPr>
                        <w:rFonts w:ascii="Cambria Math" w:hAnsi="Cambria Math"/>
                        <w:i/>
                        <w:color w:val="auto"/>
                      </w:rPr>
                    </m:ctrlPr>
                  </m:dPr>
                  <m:e>
                    <m:r>
                      <m:rPr/>
                      <w:rPr>
                        <w:rFonts w:hint="eastAsia" w:ascii="Cambria Math" w:hAnsi="Cambria Math"/>
                        <w:color w:val="auto"/>
                      </w:rPr>
                      <m:t>r</m:t>
                    </m:r>
                    <m:ctrlPr>
                      <w:rPr>
                        <w:rFonts w:ascii="Cambria Math" w:hAnsi="Cambria Math"/>
                        <w:i/>
                        <w:color w:val="auto"/>
                      </w:rPr>
                    </m:ctrlPr>
                  </m:e>
                </m:d>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L</m:t>
                    </m:r>
                    <m:ctrlPr>
                      <w:rPr>
                        <w:rFonts w:ascii="Cambria Math" w:hAnsi="Cambria Math"/>
                        <w:i/>
                        <w:color w:val="auto"/>
                      </w:rPr>
                    </m:ctrlPr>
                  </m:e>
                  <m:sub>
                    <m:r>
                      <m:rPr/>
                      <w:rPr>
                        <w:rFonts w:hint="eastAsia" w:ascii="Cambria Math" w:hAnsi="Cambria Math"/>
                        <w:color w:val="auto"/>
                      </w:rPr>
                      <m:t>p</m:t>
                    </m:r>
                    <m:ctrlPr>
                      <w:rPr>
                        <w:rFonts w:ascii="Cambria Math" w:hAnsi="Cambria Math"/>
                        <w:i/>
                        <w:color w:val="auto"/>
                      </w:rPr>
                    </m:ctrlPr>
                  </m:sub>
                </m:sSub>
                <m:d>
                  <m:dPr>
                    <m:ctrlPr>
                      <w:rPr>
                        <w:rFonts w:ascii="Cambria Math" w:hAnsi="Cambria Math"/>
                        <w:i/>
                        <w:color w:val="auto"/>
                      </w:rPr>
                    </m:ctrlPr>
                  </m:dPr>
                  <m:e>
                    <m:r>
                      <m:rPr/>
                      <w:rPr>
                        <w:rFonts w:ascii="Cambria Math" w:hAnsi="Cambria Math"/>
                        <w:color w:val="auto"/>
                      </w:rPr>
                      <m:t>r0</m:t>
                    </m:r>
                    <m:ctrlPr>
                      <w:rPr>
                        <w:rFonts w:ascii="Cambria Math" w:hAnsi="Cambria Math"/>
                        <w:i/>
                        <w:color w:val="auto"/>
                      </w:rPr>
                    </m:ctrlPr>
                  </m:e>
                </m:d>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D</m:t>
                    </m:r>
                    <m:ctrlPr>
                      <w:rPr>
                        <w:rFonts w:ascii="Cambria Math" w:hAnsi="Cambria Math"/>
                        <w:i/>
                        <w:color w:val="auto"/>
                      </w:rPr>
                    </m:ctrlPr>
                  </m:e>
                  <m:sub>
                    <m:r>
                      <m:rPr/>
                      <w:rPr>
                        <w:rFonts w:ascii="Cambria Math" w:hAnsi="Cambria Math"/>
                        <w:color w:val="auto"/>
                      </w:rPr>
                      <m:t>c</m:t>
                    </m:r>
                    <m:ctrlPr>
                      <w:rPr>
                        <w:rFonts w:ascii="Cambria Math" w:hAnsi="Cambria Math"/>
                        <w:i/>
                        <w:color w:val="auto"/>
                      </w:rPr>
                    </m:ctrlPr>
                  </m:sub>
                </m:sSub>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A</m:t>
                    </m:r>
                    <m:ctrlPr>
                      <w:rPr>
                        <w:rFonts w:ascii="Cambria Math" w:hAnsi="Cambria Math"/>
                        <w:i/>
                        <w:color w:val="auto"/>
                      </w:rPr>
                    </m:ctrlPr>
                  </m:e>
                  <m:sub>
                    <m:r>
                      <m:rPr/>
                      <w:rPr>
                        <w:rFonts w:ascii="Cambria Math" w:hAnsi="Cambria Math"/>
                        <w:color w:val="auto"/>
                      </w:rPr>
                      <m:t>div</m:t>
                    </m:r>
                    <m:ctrlPr>
                      <w:rPr>
                        <w:rFonts w:ascii="Cambria Math" w:hAnsi="Cambria Math"/>
                        <w:i/>
                        <w:color w:val="auto"/>
                      </w:rPr>
                    </m:ctrlPr>
                  </m:sub>
                </m:sSub>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A</m:t>
                    </m:r>
                    <m:ctrlPr>
                      <w:rPr>
                        <w:rFonts w:ascii="Cambria Math" w:hAnsi="Cambria Math"/>
                        <w:i/>
                        <w:color w:val="auto"/>
                      </w:rPr>
                    </m:ctrlPr>
                  </m:e>
                  <m:sub>
                    <m:r>
                      <m:rPr/>
                      <w:rPr>
                        <w:rFonts w:ascii="Cambria Math" w:hAnsi="Cambria Math"/>
                        <w:color w:val="auto"/>
                      </w:rPr>
                      <m:t>atm</m:t>
                    </m:r>
                    <m:ctrlPr>
                      <w:rPr>
                        <w:rFonts w:ascii="Cambria Math" w:hAnsi="Cambria Math"/>
                        <w:i/>
                        <w:color w:val="auto"/>
                      </w:rPr>
                    </m:ctrlPr>
                  </m:sub>
                </m:sSub>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A</m:t>
                    </m:r>
                    <m:ctrlPr>
                      <w:rPr>
                        <w:rFonts w:ascii="Cambria Math" w:hAnsi="Cambria Math"/>
                        <w:i/>
                        <w:color w:val="auto"/>
                      </w:rPr>
                    </m:ctrlPr>
                  </m:e>
                  <m:sub>
                    <m:r>
                      <m:rPr/>
                      <w:rPr>
                        <w:rFonts w:ascii="Cambria Math" w:hAnsi="Cambria Math"/>
                        <w:color w:val="auto"/>
                      </w:rPr>
                      <m:t>gr</m:t>
                    </m:r>
                    <m:ctrlPr>
                      <w:rPr>
                        <w:rFonts w:ascii="Cambria Math" w:hAnsi="Cambria Math"/>
                        <w:i/>
                        <w:color w:val="auto"/>
                      </w:rPr>
                    </m:ctrlPr>
                  </m:sub>
                </m:sSub>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A</m:t>
                    </m:r>
                    <m:ctrlPr>
                      <w:rPr>
                        <w:rFonts w:ascii="Cambria Math" w:hAnsi="Cambria Math"/>
                        <w:i/>
                        <w:color w:val="auto"/>
                      </w:rPr>
                    </m:ctrlPr>
                  </m:e>
                  <m:sub>
                    <m:r>
                      <m:rPr/>
                      <w:rPr>
                        <w:rFonts w:ascii="Cambria Math" w:hAnsi="Cambria Math"/>
                        <w:color w:val="auto"/>
                      </w:rPr>
                      <m:t>bar</m:t>
                    </m:r>
                    <m:ctrlPr>
                      <w:rPr>
                        <w:rFonts w:ascii="Cambria Math" w:hAnsi="Cambria Math"/>
                        <w:i/>
                        <w:color w:val="auto"/>
                      </w:rPr>
                    </m:ctrlPr>
                  </m:sub>
                </m:sSub>
                <m:r>
                  <m:rPr/>
                  <w:rPr>
                    <w:rFonts w:ascii="Cambria Math" w:hAnsi="Cambria Math"/>
                    <w:color w:val="auto"/>
                  </w:rPr>
                  <m:t>+</m:t>
                </m:r>
                <m:sSub>
                  <m:sSubPr>
                    <m:ctrlPr>
                      <w:rPr>
                        <w:rFonts w:ascii="Cambria Math" w:hAnsi="Cambria Math"/>
                        <w:i/>
                        <w:color w:val="auto"/>
                      </w:rPr>
                    </m:ctrlPr>
                  </m:sSubPr>
                  <m:e>
                    <m:r>
                      <m:rPr/>
                      <w:rPr>
                        <w:rFonts w:ascii="Cambria Math" w:hAnsi="Cambria Math"/>
                        <w:color w:val="auto"/>
                      </w:rPr>
                      <m:t>A</m:t>
                    </m:r>
                    <m:ctrlPr>
                      <w:rPr>
                        <w:rFonts w:ascii="Cambria Math" w:hAnsi="Cambria Math"/>
                        <w:i/>
                        <w:color w:val="auto"/>
                      </w:rPr>
                    </m:ctrlPr>
                  </m:e>
                  <m:sub>
                    <m:r>
                      <m:rPr/>
                      <w:rPr>
                        <w:rFonts w:ascii="Cambria Math" w:hAnsi="Cambria Math"/>
                        <w:color w:val="auto"/>
                      </w:rPr>
                      <m:t>misc</m:t>
                    </m:r>
                    <m:ctrlPr>
                      <w:rPr>
                        <w:rFonts w:ascii="Cambria Math" w:hAnsi="Cambria Math"/>
                        <w:i/>
                        <w:color w:val="auto"/>
                      </w:rPr>
                    </m:ctrlPr>
                  </m:sub>
                </m:sSub>
                <m:r>
                  <m:rPr/>
                  <w:rPr>
                    <w:rFonts w:ascii="Cambria Math" w:hAnsi="Cambria Math"/>
                    <w:color w:val="auto"/>
                  </w:rPr>
                  <m:t>）</m:t>
                </m:r>
              </m:oMath>
            </m:oMathPara>
          </w:p>
          <w:p w14:paraId="5356AECC">
            <w:pPr>
              <w:autoSpaceDE w:val="0"/>
              <w:autoSpaceDN w:val="0"/>
              <w:ind w:firstLine="480"/>
              <w:rPr>
                <w:color w:val="auto"/>
                <w:kern w:val="0"/>
              </w:rPr>
            </w:pPr>
            <w:r>
              <w:rPr>
                <w:rFonts w:hint="eastAsia"/>
                <w:color w:val="auto"/>
                <w:kern w:val="0"/>
              </w:rPr>
              <w:t>式中：</w:t>
            </w:r>
            <w:r>
              <w:rPr>
                <w:rFonts w:hint="eastAsia"/>
                <w:i/>
                <w:iCs/>
                <w:color w:val="auto"/>
                <w:kern w:val="0"/>
              </w:rPr>
              <w:t>L</w:t>
            </w:r>
            <w:r>
              <w:rPr>
                <w:rFonts w:hint="eastAsia"/>
                <w:i/>
                <w:iCs/>
                <w:color w:val="auto"/>
                <w:kern w:val="0"/>
                <w:vertAlign w:val="subscript"/>
              </w:rPr>
              <w:t>p（r）</w:t>
            </w:r>
            <w:r>
              <w:rPr>
                <w:rFonts w:hint="eastAsia"/>
                <w:color w:val="auto"/>
                <w:kern w:val="0"/>
              </w:rPr>
              <w:t>——预测点处声压级，dB；</w:t>
            </w:r>
          </w:p>
          <w:p w14:paraId="049908CB">
            <w:pPr>
              <w:autoSpaceDE w:val="0"/>
              <w:autoSpaceDN w:val="0"/>
              <w:ind w:firstLine="1248" w:firstLineChars="520"/>
              <w:rPr>
                <w:color w:val="auto"/>
                <w:kern w:val="0"/>
              </w:rPr>
            </w:pPr>
            <w:r>
              <w:rPr>
                <w:i/>
                <w:iCs/>
                <w:color w:val="auto"/>
                <w:kern w:val="0"/>
              </w:rPr>
              <w:t>L</w:t>
            </w:r>
            <w:r>
              <w:rPr>
                <w:rFonts w:hint="eastAsia"/>
                <w:i/>
                <w:iCs/>
                <w:color w:val="auto"/>
                <w:kern w:val="0"/>
                <w:vertAlign w:val="subscript"/>
              </w:rPr>
              <w:t>p（r0）</w:t>
            </w:r>
            <w:r>
              <w:rPr>
                <w:rFonts w:hint="eastAsia"/>
                <w:color w:val="auto"/>
                <w:kern w:val="0"/>
              </w:rPr>
              <w:t>——参考位置r0处的声压级，dB；</w:t>
            </w:r>
          </w:p>
          <w:p w14:paraId="18E823F9">
            <w:pPr>
              <w:autoSpaceDE w:val="0"/>
              <w:autoSpaceDN w:val="0"/>
              <w:ind w:firstLine="1248" w:firstLineChars="520"/>
              <w:rPr>
                <w:color w:val="auto"/>
                <w:kern w:val="0"/>
              </w:rPr>
            </w:pPr>
            <w:r>
              <w:rPr>
                <w:rFonts w:hint="eastAsia"/>
                <w:i/>
                <w:iCs/>
                <w:color w:val="auto"/>
                <w:kern w:val="0"/>
              </w:rPr>
              <w:t>Dc</w:t>
            </w:r>
            <w:r>
              <w:rPr>
                <w:rFonts w:hint="eastAsia"/>
                <w:color w:val="auto"/>
                <w:kern w:val="0"/>
              </w:rPr>
              <w:t>——指向性校正，它描述点声源的等效连续声压级与产生声功率级Lw的全向点声源在规定方向的声级的偏差程度，dB；</w:t>
            </w:r>
          </w:p>
          <w:p w14:paraId="20CEC31E">
            <w:pPr>
              <w:autoSpaceDE w:val="0"/>
              <w:autoSpaceDN w:val="0"/>
              <w:ind w:firstLine="1248" w:firstLineChars="520"/>
              <w:rPr>
                <w:color w:val="auto"/>
                <w:kern w:val="0"/>
              </w:rPr>
            </w:pPr>
            <w:r>
              <w:rPr>
                <w:rFonts w:hint="eastAsia"/>
                <w:i/>
                <w:iCs/>
                <w:color w:val="auto"/>
                <w:kern w:val="0"/>
              </w:rPr>
              <w:t>A</w:t>
            </w:r>
            <w:r>
              <w:rPr>
                <w:rFonts w:hint="eastAsia"/>
                <w:i/>
                <w:iCs/>
                <w:color w:val="auto"/>
                <w:kern w:val="0"/>
                <w:vertAlign w:val="subscript"/>
              </w:rPr>
              <w:t>div</w:t>
            </w:r>
            <w:r>
              <w:rPr>
                <w:rFonts w:hint="eastAsia"/>
                <w:color w:val="auto"/>
                <w:kern w:val="0"/>
              </w:rPr>
              <w:t>——几何发散引起的衰减，dB；</w:t>
            </w:r>
          </w:p>
          <w:p w14:paraId="2428CC32">
            <w:pPr>
              <w:autoSpaceDE w:val="0"/>
              <w:autoSpaceDN w:val="0"/>
              <w:ind w:firstLine="1248" w:firstLineChars="520"/>
              <w:rPr>
                <w:color w:val="auto"/>
                <w:kern w:val="0"/>
              </w:rPr>
            </w:pPr>
            <w:r>
              <w:rPr>
                <w:rFonts w:hint="eastAsia"/>
                <w:i/>
                <w:iCs/>
                <w:color w:val="auto"/>
                <w:kern w:val="0"/>
              </w:rPr>
              <w:t>A</w:t>
            </w:r>
            <w:r>
              <w:rPr>
                <w:rFonts w:hint="eastAsia"/>
                <w:i/>
                <w:iCs/>
                <w:color w:val="auto"/>
                <w:kern w:val="0"/>
                <w:vertAlign w:val="subscript"/>
              </w:rPr>
              <w:t>atm</w:t>
            </w:r>
            <w:r>
              <w:rPr>
                <w:rFonts w:hint="eastAsia"/>
                <w:color w:val="auto"/>
                <w:kern w:val="0"/>
              </w:rPr>
              <w:t>——大气吸收引起的衰减，dB；</w:t>
            </w:r>
          </w:p>
          <w:p w14:paraId="5F05AEC0">
            <w:pPr>
              <w:autoSpaceDE w:val="0"/>
              <w:autoSpaceDN w:val="0"/>
              <w:ind w:firstLine="1248" w:firstLineChars="520"/>
              <w:rPr>
                <w:color w:val="auto"/>
                <w:kern w:val="0"/>
              </w:rPr>
            </w:pPr>
            <w:r>
              <w:rPr>
                <w:i/>
                <w:iCs/>
                <w:color w:val="auto"/>
                <w:kern w:val="0"/>
              </w:rPr>
              <w:t>A</w:t>
            </w:r>
            <w:r>
              <w:rPr>
                <w:rFonts w:hint="eastAsia"/>
                <w:i/>
                <w:iCs/>
                <w:color w:val="auto"/>
                <w:kern w:val="0"/>
                <w:vertAlign w:val="subscript"/>
              </w:rPr>
              <w:t>gr</w:t>
            </w:r>
            <w:r>
              <w:rPr>
                <w:rFonts w:hint="eastAsia"/>
                <w:color w:val="auto"/>
                <w:kern w:val="0"/>
              </w:rPr>
              <w:t>——地面效应引起的衰减，dB；</w:t>
            </w:r>
          </w:p>
          <w:p w14:paraId="3EB31E53">
            <w:pPr>
              <w:autoSpaceDE w:val="0"/>
              <w:autoSpaceDN w:val="0"/>
              <w:ind w:firstLine="1248" w:firstLineChars="520"/>
              <w:rPr>
                <w:color w:val="auto"/>
                <w:kern w:val="0"/>
              </w:rPr>
            </w:pPr>
            <w:r>
              <w:rPr>
                <w:rFonts w:hint="eastAsia"/>
                <w:i/>
                <w:iCs/>
                <w:color w:val="auto"/>
                <w:kern w:val="0"/>
              </w:rPr>
              <w:t>A</w:t>
            </w:r>
            <w:r>
              <w:rPr>
                <w:rFonts w:hint="eastAsia"/>
                <w:i/>
                <w:iCs/>
                <w:color w:val="auto"/>
                <w:kern w:val="0"/>
                <w:vertAlign w:val="subscript"/>
              </w:rPr>
              <w:t>bar</w:t>
            </w:r>
            <w:r>
              <w:rPr>
                <w:rFonts w:hint="eastAsia"/>
                <w:color w:val="auto"/>
                <w:kern w:val="0"/>
              </w:rPr>
              <w:t>——障碍物屏蔽引起的衰减，dB；</w:t>
            </w:r>
          </w:p>
          <w:p w14:paraId="283BB0D9">
            <w:pPr>
              <w:autoSpaceDE w:val="0"/>
              <w:autoSpaceDN w:val="0"/>
              <w:ind w:firstLine="1248" w:firstLineChars="520"/>
              <w:rPr>
                <w:color w:val="auto"/>
                <w:kern w:val="0"/>
              </w:rPr>
            </w:pPr>
            <w:r>
              <w:rPr>
                <w:rFonts w:hint="eastAsia"/>
                <w:i/>
                <w:iCs/>
                <w:color w:val="auto"/>
                <w:kern w:val="0"/>
              </w:rPr>
              <w:t>A</w:t>
            </w:r>
            <w:r>
              <w:rPr>
                <w:rFonts w:hint="eastAsia"/>
                <w:i/>
                <w:iCs/>
                <w:color w:val="auto"/>
                <w:kern w:val="0"/>
                <w:vertAlign w:val="subscript"/>
              </w:rPr>
              <w:t>misc</w:t>
            </w:r>
            <w:r>
              <w:rPr>
                <w:rFonts w:hint="eastAsia"/>
                <w:color w:val="auto"/>
                <w:kern w:val="0"/>
              </w:rPr>
              <w:t>——其他多方面效应引起的衰减，dB。</w:t>
            </w:r>
          </w:p>
          <w:p w14:paraId="315DADB0">
            <w:pPr>
              <w:autoSpaceDE w:val="0"/>
              <w:autoSpaceDN w:val="0"/>
              <w:ind w:firstLine="480"/>
              <w:rPr>
                <w:color w:val="auto"/>
                <w:kern w:val="0"/>
              </w:rPr>
            </w:pPr>
            <w:r>
              <w:rPr>
                <w:rFonts w:hint="eastAsia"/>
                <w:color w:val="auto"/>
                <w:kern w:val="0"/>
              </w:rPr>
              <w:t>（3）预测值计算：</w:t>
            </w:r>
          </w:p>
          <w:p w14:paraId="7B366A56">
            <w:pPr>
              <w:ind w:firstLine="480"/>
              <w:rPr>
                <w:color w:val="auto"/>
              </w:rPr>
            </w:pPr>
            <w:r>
              <w:rPr>
                <w:rFonts w:hint="eastAsia"/>
                <w:color w:val="auto"/>
              </w:rPr>
              <w:t>点声源的几何发散衰减为：Adiv＝20lg（r/r0）；其它各种因素（包括声屏障、遮挡物、空气吸收、地面效应）引起的衰减计算可详见导则。</w:t>
            </w:r>
          </w:p>
          <w:p w14:paraId="77B0C53A">
            <w:pPr>
              <w:ind w:firstLine="480"/>
              <w:rPr>
                <w:color w:val="auto"/>
              </w:rPr>
            </w:pPr>
            <w:r>
              <w:rPr>
                <w:rFonts w:hint="eastAsia"/>
                <w:color w:val="auto"/>
              </w:rPr>
              <w:t>建设项目声源对预测点产生的贡献值（</w:t>
            </w:r>
            <w:r>
              <w:rPr>
                <w:rFonts w:hint="eastAsia"/>
                <w:i/>
                <w:iCs/>
                <w:color w:val="auto"/>
              </w:rPr>
              <w:t>L</w:t>
            </w:r>
            <w:r>
              <w:rPr>
                <w:rFonts w:hint="eastAsia"/>
                <w:i/>
                <w:iCs/>
                <w:color w:val="auto"/>
                <w:vertAlign w:val="subscript"/>
              </w:rPr>
              <w:t>eqg</w:t>
            </w:r>
            <w:r>
              <w:rPr>
                <w:rFonts w:hint="eastAsia"/>
                <w:color w:val="auto"/>
              </w:rPr>
              <w:t>）为：</w:t>
            </w:r>
          </w:p>
          <w:p w14:paraId="68BFC543">
            <w:pPr>
              <w:autoSpaceDE w:val="0"/>
              <w:autoSpaceDN w:val="0"/>
              <w:ind w:firstLine="480"/>
              <w:rPr>
                <w:color w:val="auto"/>
                <w:kern w:val="0"/>
              </w:rPr>
            </w:pPr>
            <m:oMathPara>
              <m:oMath>
                <m:sSub>
                  <m:sSubPr>
                    <m:ctrlPr>
                      <w:rPr>
                        <w:rFonts w:ascii="Cambria Math" w:hAnsi="Cambria Math"/>
                        <w:i/>
                        <w:color w:val="auto"/>
                      </w:rPr>
                    </m:ctrlPr>
                  </m:sSubPr>
                  <m:e>
                    <m:r>
                      <m:rPr/>
                      <w:rPr>
                        <w:rFonts w:ascii="Cambria Math" w:hAnsi="Cambria Math"/>
                        <w:color w:val="auto"/>
                      </w:rPr>
                      <m:t>L</m:t>
                    </m:r>
                    <m:ctrlPr>
                      <w:rPr>
                        <w:rFonts w:ascii="Cambria Math" w:hAnsi="Cambria Math"/>
                        <w:i/>
                        <w:color w:val="auto"/>
                      </w:rPr>
                    </m:ctrlPr>
                  </m:e>
                  <m:sub>
                    <m:r>
                      <m:rPr/>
                      <w:rPr>
                        <w:rFonts w:hint="eastAsia" w:ascii="Cambria Math" w:hAnsi="Cambria Math"/>
                        <w:color w:val="auto"/>
                      </w:rPr>
                      <m:t>eqg</m:t>
                    </m:r>
                    <m:ctrlPr>
                      <w:rPr>
                        <w:rFonts w:ascii="Cambria Math" w:hAnsi="Cambria Math"/>
                        <w:i/>
                        <w:color w:val="auto"/>
                      </w:rPr>
                    </m:ctrlPr>
                  </m:sub>
                </m:sSub>
                <m:r>
                  <m:rPr/>
                  <w:rPr>
                    <w:rFonts w:ascii="Cambria Math" w:hAnsi="Cambria Math"/>
                    <w:color w:val="auto"/>
                  </w:rPr>
                  <m:t>=10lg</m:t>
                </m:r>
                <m:d>
                  <m:dPr>
                    <m:begChr m:val="["/>
                    <m:endChr m:val="]"/>
                    <m:ctrlPr>
                      <w:rPr>
                        <w:rFonts w:ascii="Cambria Math" w:hAnsi="Cambria Math"/>
                        <w:i/>
                        <w:color w:val="auto"/>
                      </w:rPr>
                    </m:ctrlPr>
                  </m:dPr>
                  <m:e>
                    <m:f>
                      <m:fPr>
                        <m:ctrlPr>
                          <w:rPr>
                            <w:rFonts w:ascii="Cambria Math" w:hAnsi="Cambria Math"/>
                            <w:i/>
                            <w:color w:val="auto"/>
                          </w:rPr>
                        </m:ctrlPr>
                      </m:fPr>
                      <m:num>
                        <m:r>
                          <m:rPr/>
                          <w:rPr>
                            <w:rFonts w:ascii="Cambria Math" w:hAnsi="Cambria Math"/>
                            <w:color w:val="auto"/>
                          </w:rPr>
                          <m:t>1</m:t>
                        </m:r>
                        <m:ctrlPr>
                          <w:rPr>
                            <w:rFonts w:ascii="Cambria Math" w:hAnsi="Cambria Math"/>
                            <w:i/>
                            <w:color w:val="auto"/>
                          </w:rPr>
                        </m:ctrlPr>
                      </m:num>
                      <m:den>
                        <m:r>
                          <m:rPr/>
                          <w:rPr>
                            <w:rFonts w:ascii="Cambria Math" w:hAnsi="Cambria Math"/>
                            <w:color w:val="auto"/>
                          </w:rPr>
                          <m:t>T</m:t>
                        </m:r>
                        <m:ctrlPr>
                          <w:rPr>
                            <w:rFonts w:ascii="Cambria Math" w:hAnsi="Cambria Math"/>
                            <w:i/>
                            <w:color w:val="auto"/>
                          </w:rPr>
                        </m:ctrlPr>
                      </m:den>
                    </m:f>
                    <m:d>
                      <m:dPr>
                        <m:ctrlPr>
                          <w:rPr>
                            <w:rFonts w:ascii="Cambria Math" w:hAnsi="Cambria Math"/>
                            <w:i/>
                            <w:color w:val="auto"/>
                          </w:rPr>
                        </m:ctrlPr>
                      </m:dPr>
                      <m:e>
                        <m:nary>
                          <m:naryPr>
                            <m:chr m:val="∑"/>
                            <m:limLoc m:val="undOvr"/>
                            <m:ctrlPr>
                              <w:rPr>
                                <w:rFonts w:ascii="Cambria Math" w:hAnsi="Cambria Math"/>
                                <w:i/>
                                <w:color w:val="auto"/>
                              </w:rPr>
                            </m:ctrlPr>
                          </m:naryPr>
                          <m:sub>
                            <m:r>
                              <m:rPr/>
                              <w:rPr>
                                <w:rFonts w:hint="eastAsia" w:ascii="Cambria Math" w:hAnsi="Cambria Math"/>
                                <w:color w:val="auto"/>
                              </w:rPr>
                              <m:t>i</m:t>
                            </m:r>
                            <m:r>
                              <m:rPr/>
                              <w:rPr>
                                <w:rFonts w:ascii="Cambria Math" w:hAnsi="Cambria Math"/>
                                <w:color w:val="auto"/>
                              </w:rPr>
                              <m:t>=1</m:t>
                            </m:r>
                            <m:ctrlPr>
                              <w:rPr>
                                <w:rFonts w:ascii="Cambria Math" w:hAnsi="Cambria Math"/>
                                <w:i/>
                                <w:color w:val="auto"/>
                              </w:rPr>
                            </m:ctrlPr>
                          </m:sub>
                          <m:sup>
                            <m:r>
                              <m:rPr/>
                              <w:rPr>
                                <w:rFonts w:ascii="Cambria Math" w:hAnsi="Cambria Math"/>
                                <w:color w:val="auto"/>
                              </w:rPr>
                              <m:t>N</m:t>
                            </m:r>
                            <m:ctrlPr>
                              <w:rPr>
                                <w:rFonts w:ascii="Cambria Math" w:hAnsi="Cambria Math"/>
                                <w:i/>
                                <w:color w:val="auto"/>
                              </w:rPr>
                            </m:ctrlPr>
                          </m:sup>
                          <m:e>
                            <m:sSup>
                              <m:sSupPr>
                                <m:ctrlPr>
                                  <w:rPr>
                                    <w:rFonts w:ascii="Cambria Math" w:hAnsi="Cambria Math"/>
                                    <w:i/>
                                    <w:color w:val="auto"/>
                                  </w:rPr>
                                </m:ctrlPr>
                              </m:sSupPr>
                              <m:e>
                                <m:sSub>
                                  <m:sSubPr>
                                    <m:ctrlPr>
                                      <w:rPr>
                                        <w:rFonts w:ascii="Cambria Math" w:hAnsi="Cambria Math"/>
                                        <w:i/>
                                        <w:color w:val="auto"/>
                                      </w:rPr>
                                    </m:ctrlPr>
                                  </m:sSubPr>
                                  <m:e>
                                    <m:r>
                                      <m:rPr/>
                                      <w:rPr>
                                        <w:rFonts w:ascii="Cambria Math" w:hAnsi="Cambria Math"/>
                                        <w:color w:val="auto"/>
                                      </w:rPr>
                                      <m:t>t</m:t>
                                    </m:r>
                                    <m:ctrlPr>
                                      <w:rPr>
                                        <w:rFonts w:ascii="Cambria Math" w:hAnsi="Cambria Math"/>
                                        <w:i/>
                                        <w:color w:val="auto"/>
                                      </w:rPr>
                                    </m:ctrlPr>
                                  </m:e>
                                  <m:sub>
                                    <m:r>
                                      <m:rPr/>
                                      <w:rPr>
                                        <w:rFonts w:ascii="Cambria Math" w:hAnsi="Cambria Math"/>
                                        <w:color w:val="auto"/>
                                      </w:rPr>
                                      <m:t>i</m:t>
                                    </m:r>
                                    <m:ctrlPr>
                                      <w:rPr>
                                        <w:rFonts w:ascii="Cambria Math" w:hAnsi="Cambria Math"/>
                                        <w:i/>
                                        <w:color w:val="auto"/>
                                      </w:rPr>
                                    </m:ctrlPr>
                                  </m:sub>
                                </m:sSub>
                                <m:r>
                                  <m:rPr/>
                                  <w:rPr>
                                    <w:rFonts w:ascii="Cambria Math" w:hAnsi="Cambria Math"/>
                                    <w:color w:val="auto"/>
                                  </w:rPr>
                                  <m:t>10</m:t>
                                </m:r>
                                <m:ctrlPr>
                                  <w:rPr>
                                    <w:rFonts w:ascii="Cambria Math" w:hAnsi="Cambria Math"/>
                                    <w:i/>
                                    <w:color w:val="auto"/>
                                  </w:rPr>
                                </m:ctrlPr>
                              </m:e>
                              <m:sup>
                                <m:sSub>
                                  <m:sSubPr>
                                    <m:ctrlPr>
                                      <w:rPr>
                                        <w:rFonts w:ascii="Cambria Math" w:hAnsi="Cambria Math"/>
                                        <w:i/>
                                        <w:color w:val="auto"/>
                                      </w:rPr>
                                    </m:ctrlPr>
                                  </m:sSubPr>
                                  <m:e>
                                    <m:r>
                                      <m:rPr/>
                                      <w:rPr>
                                        <w:rFonts w:ascii="Cambria Math" w:hAnsi="Cambria Math"/>
                                        <w:color w:val="auto"/>
                                      </w:rPr>
                                      <m:t>0.1L</m:t>
                                    </m:r>
                                    <m:ctrlPr>
                                      <w:rPr>
                                        <w:rFonts w:ascii="Cambria Math" w:hAnsi="Cambria Math"/>
                                        <w:i/>
                                        <w:color w:val="auto"/>
                                      </w:rPr>
                                    </m:ctrlPr>
                                  </m:e>
                                  <m:sub>
                                    <m:r>
                                      <m:rPr/>
                                      <w:rPr>
                                        <w:rFonts w:ascii="Cambria Math" w:hAnsi="Cambria Math"/>
                                        <w:color w:val="auto"/>
                                      </w:rPr>
                                      <m:t>Ai</m:t>
                                    </m:r>
                                    <m:ctrlPr>
                                      <w:rPr>
                                        <w:rFonts w:ascii="Cambria Math" w:hAnsi="Cambria Math"/>
                                        <w:i/>
                                        <w:color w:val="auto"/>
                                      </w:rPr>
                                    </m:ctrlPr>
                                  </m:sub>
                                </m:sSub>
                                <m:ctrlPr>
                                  <w:rPr>
                                    <w:rFonts w:ascii="Cambria Math" w:hAnsi="Cambria Math"/>
                                    <w:i/>
                                    <w:color w:val="auto"/>
                                  </w:rPr>
                                </m:ctrlPr>
                              </m:sup>
                            </m:sSup>
                            <m:ctrlPr>
                              <w:rPr>
                                <w:rFonts w:ascii="Cambria Math" w:hAnsi="Cambria Math"/>
                                <w:i/>
                                <w:color w:val="auto"/>
                              </w:rPr>
                            </m:ctrlPr>
                          </m:e>
                        </m:nary>
                        <m:r>
                          <m:rPr/>
                          <w:rPr>
                            <w:rFonts w:ascii="Cambria Math" w:hAnsi="Cambria Math"/>
                            <w:color w:val="auto"/>
                          </w:rPr>
                          <m:t>+</m:t>
                        </m:r>
                        <m:nary>
                          <m:naryPr>
                            <m:chr m:val="∑"/>
                            <m:limLoc m:val="undOvr"/>
                            <m:ctrlPr>
                              <w:rPr>
                                <w:rFonts w:ascii="Cambria Math" w:hAnsi="Cambria Math"/>
                                <w:i/>
                                <w:color w:val="auto"/>
                              </w:rPr>
                            </m:ctrlPr>
                          </m:naryPr>
                          <m:sub>
                            <m:r>
                              <m:rPr/>
                              <w:rPr>
                                <w:rFonts w:ascii="Cambria Math" w:hAnsi="Cambria Math"/>
                                <w:color w:val="auto"/>
                              </w:rPr>
                              <m:t>j=1</m:t>
                            </m:r>
                            <m:ctrlPr>
                              <w:rPr>
                                <w:rFonts w:ascii="Cambria Math" w:hAnsi="Cambria Math"/>
                                <w:i/>
                                <w:color w:val="auto"/>
                              </w:rPr>
                            </m:ctrlPr>
                          </m:sub>
                          <m:sup>
                            <m:r>
                              <m:rPr/>
                              <w:rPr>
                                <w:rFonts w:ascii="Cambria Math" w:hAnsi="Cambria Math"/>
                                <w:color w:val="auto"/>
                              </w:rPr>
                              <m:t>M</m:t>
                            </m:r>
                            <m:ctrlPr>
                              <w:rPr>
                                <w:rFonts w:ascii="Cambria Math" w:hAnsi="Cambria Math"/>
                                <w:i/>
                                <w:color w:val="auto"/>
                              </w:rPr>
                            </m:ctrlPr>
                          </m:sup>
                          <m:e>
                            <m:sSub>
                              <m:sSubPr>
                                <m:ctrlPr>
                                  <w:rPr>
                                    <w:rFonts w:ascii="Cambria Math" w:hAnsi="Cambria Math"/>
                                    <w:i/>
                                    <w:color w:val="auto"/>
                                  </w:rPr>
                                </m:ctrlPr>
                              </m:sSubPr>
                              <m:e>
                                <m:r>
                                  <m:rPr/>
                                  <w:rPr>
                                    <w:rFonts w:ascii="Cambria Math" w:hAnsi="Cambria Math"/>
                                    <w:color w:val="auto"/>
                                  </w:rPr>
                                  <m:t>t</m:t>
                                </m:r>
                                <m:ctrlPr>
                                  <w:rPr>
                                    <w:rFonts w:ascii="Cambria Math" w:hAnsi="Cambria Math"/>
                                    <w:i/>
                                    <w:color w:val="auto"/>
                                  </w:rPr>
                                </m:ctrlPr>
                              </m:e>
                              <m:sub>
                                <m:r>
                                  <m:rPr/>
                                  <w:rPr>
                                    <w:rFonts w:ascii="Cambria Math" w:hAnsi="Cambria Math"/>
                                    <w:color w:val="auto"/>
                                  </w:rPr>
                                  <m:t>j</m:t>
                                </m:r>
                                <m:ctrlPr>
                                  <w:rPr>
                                    <w:rFonts w:ascii="Cambria Math" w:hAnsi="Cambria Math"/>
                                    <w:i/>
                                    <w:color w:val="auto"/>
                                  </w:rPr>
                                </m:ctrlPr>
                              </m:sub>
                            </m:sSub>
                            <m:sSup>
                              <m:sSupPr>
                                <m:ctrlPr>
                                  <w:rPr>
                                    <w:rFonts w:ascii="Cambria Math" w:hAnsi="Cambria Math"/>
                                    <w:i/>
                                    <w:color w:val="auto"/>
                                  </w:rPr>
                                </m:ctrlPr>
                              </m:sSupPr>
                              <m:e>
                                <m:r>
                                  <m:rPr/>
                                  <w:rPr>
                                    <w:rFonts w:ascii="Cambria Math" w:hAnsi="Cambria Math"/>
                                    <w:color w:val="auto"/>
                                  </w:rPr>
                                  <m:t>10</m:t>
                                </m:r>
                                <m:ctrlPr>
                                  <w:rPr>
                                    <w:rFonts w:ascii="Cambria Math" w:hAnsi="Cambria Math"/>
                                    <w:i/>
                                    <w:color w:val="auto"/>
                                  </w:rPr>
                                </m:ctrlPr>
                              </m:e>
                              <m:sup>
                                <m:sSub>
                                  <m:sSubPr>
                                    <m:ctrlPr>
                                      <w:rPr>
                                        <w:rFonts w:ascii="Cambria Math" w:hAnsi="Cambria Math"/>
                                        <w:i/>
                                        <w:color w:val="auto"/>
                                      </w:rPr>
                                    </m:ctrlPr>
                                  </m:sSubPr>
                                  <m:e>
                                    <m:r>
                                      <m:rPr/>
                                      <w:rPr>
                                        <w:rFonts w:ascii="Cambria Math" w:hAnsi="Cambria Math"/>
                                        <w:color w:val="auto"/>
                                      </w:rPr>
                                      <m:t>0.1L</m:t>
                                    </m:r>
                                    <m:ctrlPr>
                                      <w:rPr>
                                        <w:rFonts w:ascii="Cambria Math" w:hAnsi="Cambria Math"/>
                                        <w:i/>
                                        <w:color w:val="auto"/>
                                      </w:rPr>
                                    </m:ctrlPr>
                                  </m:e>
                                  <m:sub>
                                    <m:r>
                                      <m:rPr/>
                                      <w:rPr>
                                        <w:rFonts w:ascii="Cambria Math" w:hAnsi="Cambria Math"/>
                                        <w:color w:val="auto"/>
                                      </w:rPr>
                                      <m:t>Aj</m:t>
                                    </m:r>
                                    <m:ctrlPr>
                                      <w:rPr>
                                        <w:rFonts w:ascii="Cambria Math" w:hAnsi="Cambria Math"/>
                                        <w:i/>
                                        <w:color w:val="auto"/>
                                      </w:rPr>
                                    </m:ctrlPr>
                                  </m:sub>
                                </m:sSub>
                                <m:ctrlPr>
                                  <w:rPr>
                                    <w:rFonts w:ascii="Cambria Math" w:hAnsi="Cambria Math"/>
                                    <w:i/>
                                    <w:color w:val="auto"/>
                                  </w:rPr>
                                </m:ctrlPr>
                              </m:sup>
                            </m:sSup>
                            <m:ctrlPr>
                              <w:rPr>
                                <w:rFonts w:ascii="Cambria Math" w:hAnsi="Cambria Math"/>
                                <w:i/>
                                <w:color w:val="auto"/>
                              </w:rPr>
                            </m:ctrlPr>
                          </m:e>
                        </m:nary>
                        <m:ctrlPr>
                          <w:rPr>
                            <w:rFonts w:ascii="Cambria Math" w:hAnsi="Cambria Math"/>
                            <w:i/>
                            <w:color w:val="auto"/>
                          </w:rPr>
                        </m:ctrlPr>
                      </m:e>
                    </m:d>
                    <m:ctrlPr>
                      <w:rPr>
                        <w:rFonts w:ascii="Cambria Math" w:hAnsi="Cambria Math"/>
                        <w:i/>
                        <w:color w:val="auto"/>
                      </w:rPr>
                    </m:ctrlPr>
                  </m:e>
                </m:d>
              </m:oMath>
            </m:oMathPara>
          </w:p>
          <w:p w14:paraId="2B3F4801">
            <w:pPr>
              <w:autoSpaceDE w:val="0"/>
              <w:autoSpaceDN w:val="0"/>
              <w:ind w:firstLine="480"/>
              <w:rPr>
                <w:color w:val="auto"/>
                <w:kern w:val="0"/>
              </w:rPr>
            </w:pPr>
            <w:r>
              <w:rPr>
                <w:rFonts w:hint="eastAsia"/>
                <w:color w:val="auto"/>
                <w:kern w:val="0"/>
              </w:rPr>
              <w:t>式中：</w:t>
            </w:r>
            <w:r>
              <w:rPr>
                <w:rFonts w:hint="eastAsia"/>
                <w:i/>
                <w:iCs/>
                <w:color w:val="auto"/>
                <w:kern w:val="0"/>
              </w:rPr>
              <w:t>L</w:t>
            </w:r>
            <w:r>
              <w:rPr>
                <w:rFonts w:hint="eastAsia"/>
                <w:i/>
                <w:iCs/>
                <w:color w:val="auto"/>
                <w:kern w:val="0"/>
                <w:vertAlign w:val="subscript"/>
              </w:rPr>
              <w:t>eqg</w:t>
            </w:r>
            <w:r>
              <w:rPr>
                <w:rFonts w:hint="eastAsia"/>
                <w:color w:val="auto"/>
                <w:kern w:val="0"/>
              </w:rPr>
              <w:t>——建设项目声源在预测点产生的噪声贡献值，dB；</w:t>
            </w:r>
          </w:p>
          <w:p w14:paraId="376AB4FE">
            <w:pPr>
              <w:autoSpaceDE w:val="0"/>
              <w:autoSpaceDN w:val="0"/>
              <w:ind w:firstLine="1250" w:firstLineChars="521"/>
              <w:rPr>
                <w:color w:val="auto"/>
                <w:kern w:val="0"/>
              </w:rPr>
            </w:pPr>
            <w:r>
              <w:rPr>
                <w:rFonts w:hint="eastAsia"/>
                <w:i/>
                <w:iCs/>
                <w:color w:val="auto"/>
                <w:kern w:val="0"/>
              </w:rPr>
              <w:t>T</w:t>
            </w:r>
            <w:r>
              <w:rPr>
                <w:rFonts w:hint="eastAsia"/>
                <w:color w:val="auto"/>
                <w:kern w:val="0"/>
              </w:rPr>
              <w:t>——用于计算等效声级的时间，s；</w:t>
            </w:r>
          </w:p>
          <w:p w14:paraId="12FF4F78">
            <w:pPr>
              <w:autoSpaceDE w:val="0"/>
              <w:autoSpaceDN w:val="0"/>
              <w:ind w:firstLine="1250" w:firstLineChars="521"/>
              <w:rPr>
                <w:color w:val="auto"/>
                <w:kern w:val="0"/>
              </w:rPr>
            </w:pPr>
            <w:r>
              <w:rPr>
                <w:rFonts w:hint="eastAsia"/>
                <w:i/>
                <w:iCs/>
                <w:color w:val="auto"/>
                <w:kern w:val="0"/>
              </w:rPr>
              <w:t>N</w:t>
            </w:r>
            <w:r>
              <w:rPr>
                <w:rFonts w:hint="eastAsia"/>
                <w:color w:val="auto"/>
                <w:kern w:val="0"/>
              </w:rPr>
              <w:t>——室外声源个数；</w:t>
            </w:r>
          </w:p>
          <w:p w14:paraId="67FDD1B8">
            <w:pPr>
              <w:autoSpaceDE w:val="0"/>
              <w:autoSpaceDN w:val="0"/>
              <w:ind w:firstLine="1250" w:firstLineChars="521"/>
              <w:rPr>
                <w:color w:val="auto"/>
                <w:kern w:val="0"/>
              </w:rPr>
            </w:pPr>
            <w:r>
              <w:rPr>
                <w:rFonts w:hint="eastAsia"/>
                <w:i/>
                <w:iCs/>
                <w:color w:val="auto"/>
                <w:kern w:val="0"/>
              </w:rPr>
              <w:t>t</w:t>
            </w:r>
            <w:r>
              <w:rPr>
                <w:rFonts w:hint="eastAsia"/>
                <w:i/>
                <w:iCs/>
                <w:color w:val="auto"/>
                <w:kern w:val="0"/>
                <w:vertAlign w:val="subscript"/>
              </w:rPr>
              <w:t>i</w:t>
            </w:r>
            <w:r>
              <w:rPr>
                <w:rFonts w:hint="eastAsia"/>
                <w:color w:val="auto"/>
                <w:kern w:val="0"/>
              </w:rPr>
              <w:t>——在T时间内i声源工作时间，s；</w:t>
            </w:r>
          </w:p>
          <w:p w14:paraId="758476AE">
            <w:pPr>
              <w:autoSpaceDE w:val="0"/>
              <w:autoSpaceDN w:val="0"/>
              <w:ind w:firstLine="1250" w:firstLineChars="521"/>
              <w:rPr>
                <w:color w:val="auto"/>
                <w:kern w:val="0"/>
              </w:rPr>
            </w:pPr>
            <w:r>
              <w:rPr>
                <w:rFonts w:hint="eastAsia"/>
                <w:i/>
                <w:iCs/>
                <w:color w:val="auto"/>
                <w:kern w:val="0"/>
              </w:rPr>
              <w:t>M</w:t>
            </w:r>
            <w:r>
              <w:rPr>
                <w:rFonts w:hint="eastAsia"/>
                <w:color w:val="auto"/>
                <w:kern w:val="0"/>
              </w:rPr>
              <w:t>——等效室外声源个数；</w:t>
            </w:r>
          </w:p>
          <w:p w14:paraId="3039C1FA">
            <w:pPr>
              <w:autoSpaceDE w:val="0"/>
              <w:autoSpaceDN w:val="0"/>
              <w:ind w:firstLine="1250" w:firstLineChars="521"/>
              <w:rPr>
                <w:color w:val="auto"/>
                <w:kern w:val="0"/>
              </w:rPr>
            </w:pPr>
            <w:r>
              <w:rPr>
                <w:rFonts w:hint="eastAsia"/>
                <w:i/>
                <w:iCs/>
                <w:color w:val="auto"/>
                <w:kern w:val="0"/>
              </w:rPr>
              <w:t>t</w:t>
            </w:r>
            <w:r>
              <w:rPr>
                <w:rFonts w:hint="eastAsia"/>
                <w:i/>
                <w:iCs/>
                <w:color w:val="auto"/>
                <w:kern w:val="0"/>
                <w:vertAlign w:val="subscript"/>
              </w:rPr>
              <w:t>j</w:t>
            </w:r>
            <w:r>
              <w:rPr>
                <w:rFonts w:hint="eastAsia"/>
                <w:color w:val="auto"/>
                <w:kern w:val="0"/>
              </w:rPr>
              <w:t>——在T时间内j声源工作时间，s。</w:t>
            </w:r>
          </w:p>
          <w:p w14:paraId="7A8896A3">
            <w:pPr>
              <w:keepNext w:val="0"/>
              <w:keepLines w:val="0"/>
              <w:pageBreakBefore w:val="0"/>
              <w:widowControl w:val="0"/>
              <w:kinsoku/>
              <w:wordWrap w:val="0"/>
              <w:overflowPunct/>
              <w:topLinePunct w:val="0"/>
              <w:autoSpaceDE/>
              <w:autoSpaceDN/>
              <w:bidi w:val="0"/>
              <w:adjustRightInd/>
              <w:snapToGrid/>
              <w:ind w:firstLine="0" w:firstLineChars="0"/>
              <w:textAlignment w:val="auto"/>
              <w:rPr>
                <w:b/>
                <w:color w:val="auto"/>
              </w:rPr>
            </w:pPr>
            <w:r>
              <w:rPr>
                <w:rFonts w:hint="eastAsia"/>
                <w:b/>
                <w:color w:val="auto"/>
                <w:lang w:val="en-US" w:eastAsia="zh-CN"/>
              </w:rPr>
              <w:t>3</w:t>
            </w:r>
            <w:r>
              <w:rPr>
                <w:rFonts w:hint="eastAsia"/>
                <w:b/>
                <w:color w:val="auto"/>
              </w:rPr>
              <w:t>.</w:t>
            </w:r>
            <w:r>
              <w:rPr>
                <w:b/>
                <w:color w:val="auto"/>
              </w:rPr>
              <w:t>预测结果与评价</w:t>
            </w:r>
          </w:p>
          <w:p w14:paraId="548CE79E">
            <w:pPr>
              <w:ind w:firstLine="480"/>
              <w:rPr>
                <w:bCs/>
                <w:color w:val="auto"/>
                <w:kern w:val="0"/>
                <w:szCs w:val="22"/>
              </w:rPr>
            </w:pPr>
            <w:r>
              <w:rPr>
                <w:rFonts w:hint="eastAsia"/>
                <w:color w:val="auto"/>
                <w:lang w:val="en-US" w:eastAsia="zh-CN"/>
              </w:rPr>
              <w:t>本项目声环境评价范围内无噪声敏感点，故不再分析项目实施后噪声对敏感点的影响，以东、西、南、北厂界作为评价点，预测分析本项目昼间及夜间噪声源对四周厂界的声级贡献值，分析说明本项目对厂界的影响。</w:t>
            </w:r>
            <w:r>
              <w:rPr>
                <w:rFonts w:hint="eastAsia"/>
                <w:color w:val="auto"/>
              </w:rPr>
              <w:t>根据本项目平面布置图，选用点源衰减模式和噪声合成模式进行预测，</w:t>
            </w:r>
            <w:r>
              <w:rPr>
                <w:rFonts w:hint="eastAsia"/>
                <w:bCs/>
                <w:color w:val="auto"/>
              </w:rPr>
              <w:t>预测结果见下表。</w:t>
            </w:r>
          </w:p>
          <w:p w14:paraId="4B5B756D">
            <w:pPr>
              <w:keepNext w:val="0"/>
              <w:keepLines w:val="0"/>
              <w:pageBreakBefore w:val="0"/>
              <w:widowControl w:val="0"/>
              <w:numPr>
                <w:ilvl w:val="0"/>
                <w:numId w:val="9"/>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lang w:val="zh-CN"/>
              </w:rPr>
            </w:pPr>
            <w:r>
              <w:rPr>
                <w:rFonts w:hint="eastAsia" w:ascii="Times New Roman" w:hAnsi="Times New Roman" w:eastAsia="宋体" w:cs="Times New Roman"/>
                <w:b/>
                <w:bCs/>
                <w:color w:val="auto"/>
                <w:sz w:val="21"/>
                <w:szCs w:val="21"/>
                <w:lang w:val="zh-CN"/>
              </w:rPr>
              <w:t>厂界噪声值预测表  单位：dB（A）</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06"/>
              <w:gridCol w:w="1359"/>
              <w:gridCol w:w="2408"/>
              <w:gridCol w:w="1847"/>
              <w:gridCol w:w="1057"/>
            </w:tblGrid>
            <w:tr w14:paraId="6044E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70" w:type="pct"/>
                  <w:vAlign w:val="center"/>
                </w:tcPr>
                <w:p w14:paraId="05F23E30">
                  <w:pPr>
                    <w:spacing w:line="240" w:lineRule="auto"/>
                    <w:ind w:firstLine="0" w:firstLineChars="0"/>
                    <w:jc w:val="center"/>
                    <w:rPr>
                      <w:color w:val="auto"/>
                      <w:sz w:val="21"/>
                      <w:szCs w:val="21"/>
                      <w:u w:val="none"/>
                    </w:rPr>
                  </w:pPr>
                  <w:r>
                    <w:rPr>
                      <w:color w:val="auto"/>
                      <w:sz w:val="21"/>
                      <w:szCs w:val="21"/>
                      <w:u w:val="none"/>
                    </w:rPr>
                    <w:t>预测方位</w:t>
                  </w:r>
                </w:p>
              </w:tc>
              <w:tc>
                <w:tcPr>
                  <w:tcW w:w="841" w:type="pct"/>
                  <w:vAlign w:val="center"/>
                </w:tcPr>
                <w:p w14:paraId="087DD598">
                  <w:pPr>
                    <w:spacing w:line="240" w:lineRule="auto"/>
                    <w:ind w:firstLine="0" w:firstLineChars="0"/>
                    <w:jc w:val="center"/>
                    <w:rPr>
                      <w:color w:val="auto"/>
                      <w:sz w:val="21"/>
                      <w:szCs w:val="21"/>
                      <w:u w:val="none"/>
                    </w:rPr>
                  </w:pPr>
                  <w:r>
                    <w:rPr>
                      <w:color w:val="auto"/>
                      <w:sz w:val="21"/>
                      <w:szCs w:val="21"/>
                      <w:u w:val="none"/>
                    </w:rPr>
                    <w:t>时段</w:t>
                  </w:r>
                </w:p>
              </w:tc>
              <w:tc>
                <w:tcPr>
                  <w:tcW w:w="1490" w:type="pct"/>
                  <w:vAlign w:val="center"/>
                </w:tcPr>
                <w:p w14:paraId="5ACB2840">
                  <w:pPr>
                    <w:spacing w:line="240" w:lineRule="auto"/>
                    <w:ind w:firstLine="0" w:firstLineChars="0"/>
                    <w:jc w:val="center"/>
                    <w:rPr>
                      <w:color w:val="auto"/>
                      <w:sz w:val="21"/>
                      <w:szCs w:val="21"/>
                      <w:u w:val="none"/>
                    </w:rPr>
                  </w:pPr>
                  <w:r>
                    <w:rPr>
                      <w:rFonts w:hint="eastAsia"/>
                      <w:color w:val="auto"/>
                      <w:sz w:val="21"/>
                      <w:szCs w:val="21"/>
                      <w:u w:val="none"/>
                      <w:lang w:val="en-US" w:eastAsia="zh-CN"/>
                    </w:rPr>
                    <w:t>预测</w:t>
                  </w:r>
                  <w:r>
                    <w:rPr>
                      <w:rFonts w:hint="eastAsia"/>
                      <w:color w:val="auto"/>
                      <w:sz w:val="21"/>
                      <w:szCs w:val="21"/>
                      <w:u w:val="none"/>
                    </w:rPr>
                    <w:t>值</w:t>
                  </w:r>
                  <w:r>
                    <w:rPr>
                      <w:color w:val="auto"/>
                      <w:sz w:val="21"/>
                      <w:szCs w:val="21"/>
                      <w:u w:val="none"/>
                    </w:rPr>
                    <w:t>（dB（A））</w:t>
                  </w:r>
                </w:p>
              </w:tc>
              <w:tc>
                <w:tcPr>
                  <w:tcW w:w="1143" w:type="pct"/>
                  <w:vAlign w:val="center"/>
                </w:tcPr>
                <w:p w14:paraId="54C7F9A4">
                  <w:pPr>
                    <w:spacing w:line="240" w:lineRule="auto"/>
                    <w:ind w:firstLine="0" w:firstLineChars="0"/>
                    <w:jc w:val="center"/>
                    <w:rPr>
                      <w:color w:val="auto"/>
                      <w:sz w:val="21"/>
                      <w:szCs w:val="21"/>
                      <w:u w:val="none"/>
                    </w:rPr>
                  </w:pPr>
                  <w:r>
                    <w:rPr>
                      <w:color w:val="auto"/>
                      <w:sz w:val="21"/>
                      <w:szCs w:val="21"/>
                      <w:u w:val="none"/>
                    </w:rPr>
                    <w:t>标准限值（dB（A））</w:t>
                  </w:r>
                </w:p>
              </w:tc>
              <w:tc>
                <w:tcPr>
                  <w:tcW w:w="654" w:type="pct"/>
                  <w:vAlign w:val="center"/>
                </w:tcPr>
                <w:p w14:paraId="7D42CD7D">
                  <w:pPr>
                    <w:spacing w:line="240" w:lineRule="auto"/>
                    <w:ind w:firstLine="0" w:firstLineChars="0"/>
                    <w:jc w:val="center"/>
                    <w:rPr>
                      <w:color w:val="auto"/>
                      <w:sz w:val="21"/>
                      <w:szCs w:val="21"/>
                      <w:u w:val="none"/>
                    </w:rPr>
                  </w:pPr>
                  <w:r>
                    <w:rPr>
                      <w:color w:val="auto"/>
                      <w:sz w:val="21"/>
                      <w:szCs w:val="21"/>
                      <w:u w:val="none"/>
                    </w:rPr>
                    <w:t>达标情况</w:t>
                  </w:r>
                </w:p>
              </w:tc>
            </w:tr>
            <w:tr w14:paraId="4CC82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870" w:type="pct"/>
                  <w:shd w:val="clear" w:color="auto" w:fill="FFFFFF"/>
                  <w:vAlign w:val="center"/>
                </w:tcPr>
                <w:p w14:paraId="138BC1B5">
                  <w:pPr>
                    <w:spacing w:line="240" w:lineRule="auto"/>
                    <w:ind w:firstLine="0" w:firstLineChars="0"/>
                    <w:jc w:val="center"/>
                    <w:rPr>
                      <w:color w:val="auto"/>
                      <w:sz w:val="21"/>
                      <w:szCs w:val="21"/>
                      <w:u w:val="none"/>
                    </w:rPr>
                  </w:pPr>
                  <w:r>
                    <w:rPr>
                      <w:rFonts w:hint="eastAsia"/>
                      <w:color w:val="auto"/>
                      <w:sz w:val="21"/>
                      <w:szCs w:val="21"/>
                      <w:u w:val="none"/>
                    </w:rPr>
                    <w:t>东厂界</w:t>
                  </w:r>
                </w:p>
              </w:tc>
              <w:tc>
                <w:tcPr>
                  <w:tcW w:w="841" w:type="pct"/>
                  <w:shd w:val="clear" w:color="auto" w:fill="FFFFFF"/>
                  <w:vAlign w:val="center"/>
                </w:tcPr>
                <w:p w14:paraId="06A0433B">
                  <w:pPr>
                    <w:spacing w:line="240" w:lineRule="auto"/>
                    <w:ind w:firstLine="0" w:firstLineChars="0"/>
                    <w:jc w:val="center"/>
                    <w:rPr>
                      <w:color w:val="auto"/>
                      <w:sz w:val="21"/>
                      <w:szCs w:val="21"/>
                      <w:u w:val="none"/>
                    </w:rPr>
                  </w:pPr>
                  <w:r>
                    <w:rPr>
                      <w:color w:val="auto"/>
                      <w:sz w:val="21"/>
                      <w:szCs w:val="21"/>
                      <w:u w:val="none"/>
                    </w:rPr>
                    <w:t>昼间</w:t>
                  </w:r>
                </w:p>
              </w:tc>
              <w:tc>
                <w:tcPr>
                  <w:tcW w:w="1490" w:type="pct"/>
                  <w:shd w:val="clear" w:color="auto" w:fill="FFFFFF"/>
                  <w:vAlign w:val="center"/>
                </w:tcPr>
                <w:p w14:paraId="06D4420B">
                  <w:pPr>
                    <w:spacing w:line="240" w:lineRule="auto"/>
                    <w:ind w:firstLine="0" w:firstLineChars="0"/>
                    <w:jc w:val="center"/>
                    <w:rPr>
                      <w:rFonts w:hint="default" w:eastAsia="宋体"/>
                      <w:color w:val="auto"/>
                      <w:sz w:val="21"/>
                      <w:szCs w:val="21"/>
                      <w:u w:val="none"/>
                      <w:lang w:val="en-US" w:eastAsia="zh-CN"/>
                    </w:rPr>
                  </w:pPr>
                  <w:r>
                    <w:rPr>
                      <w:rFonts w:hint="eastAsia"/>
                      <w:color w:val="auto"/>
                      <w:sz w:val="21"/>
                      <w:szCs w:val="21"/>
                      <w:u w:val="none"/>
                      <w:lang w:val="en-US" w:eastAsia="zh-CN"/>
                    </w:rPr>
                    <w:t>55.2</w:t>
                  </w:r>
                </w:p>
              </w:tc>
              <w:tc>
                <w:tcPr>
                  <w:tcW w:w="1143" w:type="pct"/>
                  <w:shd w:val="clear" w:color="auto" w:fill="FFFFFF"/>
                  <w:vAlign w:val="center"/>
                </w:tcPr>
                <w:p w14:paraId="4DB732FE">
                  <w:pPr>
                    <w:spacing w:line="240" w:lineRule="auto"/>
                    <w:ind w:firstLine="0" w:firstLineChars="0"/>
                    <w:jc w:val="center"/>
                    <w:rPr>
                      <w:color w:val="auto"/>
                      <w:sz w:val="21"/>
                      <w:szCs w:val="21"/>
                      <w:u w:val="none"/>
                    </w:rPr>
                  </w:pPr>
                  <w:r>
                    <w:rPr>
                      <w:rFonts w:hint="eastAsia"/>
                      <w:color w:val="auto"/>
                      <w:sz w:val="21"/>
                      <w:szCs w:val="21"/>
                      <w:u w:val="none"/>
                    </w:rPr>
                    <w:t>65</w:t>
                  </w:r>
                </w:p>
              </w:tc>
              <w:tc>
                <w:tcPr>
                  <w:tcW w:w="654" w:type="pct"/>
                  <w:shd w:val="clear" w:color="auto" w:fill="FFFFFF"/>
                  <w:vAlign w:val="center"/>
                </w:tcPr>
                <w:p w14:paraId="533FDD24">
                  <w:pPr>
                    <w:spacing w:line="240" w:lineRule="auto"/>
                    <w:ind w:firstLine="0" w:firstLineChars="0"/>
                    <w:jc w:val="center"/>
                    <w:rPr>
                      <w:color w:val="auto"/>
                      <w:sz w:val="21"/>
                      <w:szCs w:val="21"/>
                      <w:u w:val="none"/>
                    </w:rPr>
                  </w:pPr>
                  <w:r>
                    <w:rPr>
                      <w:color w:val="auto"/>
                      <w:sz w:val="21"/>
                      <w:szCs w:val="21"/>
                      <w:u w:val="none"/>
                    </w:rPr>
                    <w:t>达标</w:t>
                  </w:r>
                </w:p>
              </w:tc>
            </w:tr>
            <w:tr w14:paraId="7F427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870" w:type="pct"/>
                  <w:shd w:val="clear" w:color="auto" w:fill="FFFFFF"/>
                  <w:vAlign w:val="center"/>
                </w:tcPr>
                <w:p w14:paraId="7F2E21C0">
                  <w:pPr>
                    <w:spacing w:line="240" w:lineRule="auto"/>
                    <w:ind w:firstLine="0" w:firstLineChars="0"/>
                    <w:jc w:val="center"/>
                    <w:rPr>
                      <w:color w:val="auto"/>
                      <w:sz w:val="21"/>
                      <w:szCs w:val="21"/>
                      <w:u w:val="none"/>
                    </w:rPr>
                  </w:pPr>
                  <w:r>
                    <w:rPr>
                      <w:color w:val="auto"/>
                      <w:sz w:val="21"/>
                      <w:szCs w:val="21"/>
                      <w:u w:val="none"/>
                    </w:rPr>
                    <w:t>南厂界</w:t>
                  </w:r>
                </w:p>
              </w:tc>
              <w:tc>
                <w:tcPr>
                  <w:tcW w:w="841" w:type="pct"/>
                  <w:shd w:val="clear" w:color="auto" w:fill="FFFFFF"/>
                  <w:vAlign w:val="center"/>
                </w:tcPr>
                <w:p w14:paraId="78917627">
                  <w:pPr>
                    <w:spacing w:line="240" w:lineRule="auto"/>
                    <w:ind w:firstLine="0" w:firstLineChars="0"/>
                    <w:jc w:val="center"/>
                    <w:rPr>
                      <w:color w:val="auto"/>
                      <w:sz w:val="21"/>
                      <w:szCs w:val="21"/>
                      <w:u w:val="none"/>
                    </w:rPr>
                  </w:pPr>
                  <w:r>
                    <w:rPr>
                      <w:color w:val="auto"/>
                      <w:sz w:val="21"/>
                      <w:szCs w:val="21"/>
                      <w:u w:val="none"/>
                    </w:rPr>
                    <w:t>昼间</w:t>
                  </w:r>
                </w:p>
              </w:tc>
              <w:tc>
                <w:tcPr>
                  <w:tcW w:w="1490" w:type="pct"/>
                  <w:shd w:val="clear" w:color="auto" w:fill="FFFFFF"/>
                  <w:vAlign w:val="center"/>
                </w:tcPr>
                <w:p w14:paraId="3526CEF2">
                  <w:pPr>
                    <w:spacing w:line="240" w:lineRule="auto"/>
                    <w:ind w:firstLine="0" w:firstLineChars="0"/>
                    <w:jc w:val="center"/>
                    <w:rPr>
                      <w:rFonts w:hint="default" w:eastAsia="宋体"/>
                      <w:color w:val="auto"/>
                      <w:sz w:val="21"/>
                      <w:szCs w:val="21"/>
                      <w:u w:val="none"/>
                      <w:lang w:val="en-US" w:eastAsia="zh-CN"/>
                    </w:rPr>
                  </w:pPr>
                  <w:r>
                    <w:rPr>
                      <w:rFonts w:hint="eastAsia"/>
                      <w:color w:val="auto"/>
                      <w:sz w:val="21"/>
                      <w:szCs w:val="21"/>
                      <w:u w:val="none"/>
                      <w:lang w:val="en-US" w:eastAsia="zh-CN"/>
                    </w:rPr>
                    <w:t>53.1</w:t>
                  </w:r>
                </w:p>
              </w:tc>
              <w:tc>
                <w:tcPr>
                  <w:tcW w:w="1143" w:type="pct"/>
                  <w:shd w:val="clear" w:color="auto" w:fill="FFFFFF"/>
                  <w:vAlign w:val="center"/>
                </w:tcPr>
                <w:p w14:paraId="5AF14887">
                  <w:pPr>
                    <w:spacing w:line="240" w:lineRule="auto"/>
                    <w:ind w:firstLine="0" w:firstLineChars="0"/>
                    <w:jc w:val="center"/>
                    <w:rPr>
                      <w:color w:val="auto"/>
                      <w:sz w:val="21"/>
                      <w:szCs w:val="21"/>
                      <w:u w:val="none"/>
                    </w:rPr>
                  </w:pPr>
                  <w:r>
                    <w:rPr>
                      <w:rFonts w:hint="eastAsia"/>
                      <w:color w:val="auto"/>
                      <w:sz w:val="21"/>
                      <w:szCs w:val="21"/>
                      <w:u w:val="none"/>
                    </w:rPr>
                    <w:t>65</w:t>
                  </w:r>
                </w:p>
              </w:tc>
              <w:tc>
                <w:tcPr>
                  <w:tcW w:w="654" w:type="pct"/>
                  <w:shd w:val="clear" w:color="auto" w:fill="FFFFFF"/>
                  <w:vAlign w:val="center"/>
                </w:tcPr>
                <w:p w14:paraId="4EBF03CC">
                  <w:pPr>
                    <w:spacing w:line="240" w:lineRule="auto"/>
                    <w:ind w:firstLine="0" w:firstLineChars="0"/>
                    <w:jc w:val="center"/>
                    <w:rPr>
                      <w:color w:val="auto"/>
                      <w:sz w:val="21"/>
                      <w:szCs w:val="21"/>
                      <w:u w:val="none"/>
                    </w:rPr>
                  </w:pPr>
                  <w:r>
                    <w:rPr>
                      <w:color w:val="auto"/>
                      <w:sz w:val="21"/>
                      <w:szCs w:val="21"/>
                      <w:u w:val="none"/>
                    </w:rPr>
                    <w:t>达标</w:t>
                  </w:r>
                </w:p>
              </w:tc>
            </w:tr>
            <w:tr w14:paraId="4E5C7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870" w:type="pct"/>
                  <w:shd w:val="clear" w:color="auto" w:fill="FFFFFF"/>
                  <w:vAlign w:val="center"/>
                </w:tcPr>
                <w:p w14:paraId="59035459">
                  <w:pPr>
                    <w:spacing w:line="240" w:lineRule="auto"/>
                    <w:ind w:firstLine="0" w:firstLineChars="0"/>
                    <w:jc w:val="center"/>
                    <w:rPr>
                      <w:color w:val="auto"/>
                      <w:sz w:val="21"/>
                      <w:szCs w:val="21"/>
                      <w:u w:val="none"/>
                    </w:rPr>
                  </w:pPr>
                  <w:r>
                    <w:rPr>
                      <w:color w:val="auto"/>
                      <w:sz w:val="21"/>
                      <w:szCs w:val="21"/>
                      <w:u w:val="none"/>
                    </w:rPr>
                    <w:t>西厂界</w:t>
                  </w:r>
                </w:p>
              </w:tc>
              <w:tc>
                <w:tcPr>
                  <w:tcW w:w="841" w:type="pct"/>
                  <w:shd w:val="clear" w:color="auto" w:fill="FFFFFF"/>
                  <w:vAlign w:val="center"/>
                </w:tcPr>
                <w:p w14:paraId="788F9799">
                  <w:pPr>
                    <w:spacing w:line="240" w:lineRule="auto"/>
                    <w:ind w:firstLine="0" w:firstLineChars="0"/>
                    <w:jc w:val="center"/>
                    <w:rPr>
                      <w:color w:val="auto"/>
                      <w:sz w:val="21"/>
                      <w:szCs w:val="21"/>
                      <w:u w:val="none"/>
                    </w:rPr>
                  </w:pPr>
                  <w:r>
                    <w:rPr>
                      <w:color w:val="auto"/>
                      <w:sz w:val="21"/>
                      <w:szCs w:val="21"/>
                      <w:u w:val="none"/>
                    </w:rPr>
                    <w:t>昼间</w:t>
                  </w:r>
                </w:p>
              </w:tc>
              <w:tc>
                <w:tcPr>
                  <w:tcW w:w="1490" w:type="pct"/>
                  <w:shd w:val="clear" w:color="auto" w:fill="FFFFFF"/>
                  <w:vAlign w:val="center"/>
                </w:tcPr>
                <w:p w14:paraId="7D6211E4">
                  <w:pPr>
                    <w:spacing w:line="240" w:lineRule="auto"/>
                    <w:ind w:firstLine="0" w:firstLineChars="0"/>
                    <w:jc w:val="center"/>
                    <w:rPr>
                      <w:rFonts w:hint="default" w:eastAsia="宋体"/>
                      <w:color w:val="auto"/>
                      <w:sz w:val="21"/>
                      <w:szCs w:val="21"/>
                      <w:u w:val="none"/>
                      <w:lang w:val="en-US" w:eastAsia="zh-CN"/>
                    </w:rPr>
                  </w:pPr>
                  <w:r>
                    <w:rPr>
                      <w:rFonts w:hint="eastAsia"/>
                      <w:color w:val="auto"/>
                      <w:sz w:val="21"/>
                      <w:szCs w:val="21"/>
                      <w:u w:val="none"/>
                      <w:lang w:val="en-US" w:eastAsia="zh-CN"/>
                    </w:rPr>
                    <w:t>58.3</w:t>
                  </w:r>
                </w:p>
              </w:tc>
              <w:tc>
                <w:tcPr>
                  <w:tcW w:w="1143" w:type="pct"/>
                  <w:shd w:val="clear" w:color="auto" w:fill="FFFFFF"/>
                  <w:vAlign w:val="center"/>
                </w:tcPr>
                <w:p w14:paraId="0B0BAEDD">
                  <w:pPr>
                    <w:spacing w:line="240" w:lineRule="auto"/>
                    <w:ind w:firstLine="0" w:firstLineChars="0"/>
                    <w:jc w:val="center"/>
                    <w:rPr>
                      <w:color w:val="auto"/>
                      <w:sz w:val="21"/>
                      <w:szCs w:val="21"/>
                      <w:u w:val="none"/>
                    </w:rPr>
                  </w:pPr>
                  <w:r>
                    <w:rPr>
                      <w:rFonts w:hint="eastAsia"/>
                      <w:color w:val="auto"/>
                      <w:sz w:val="21"/>
                      <w:szCs w:val="21"/>
                      <w:u w:val="none"/>
                    </w:rPr>
                    <w:t>65</w:t>
                  </w:r>
                </w:p>
              </w:tc>
              <w:tc>
                <w:tcPr>
                  <w:tcW w:w="654" w:type="pct"/>
                  <w:shd w:val="clear" w:color="auto" w:fill="FFFFFF"/>
                  <w:vAlign w:val="center"/>
                </w:tcPr>
                <w:p w14:paraId="14964A89">
                  <w:pPr>
                    <w:spacing w:line="240" w:lineRule="auto"/>
                    <w:ind w:firstLine="0" w:firstLineChars="0"/>
                    <w:jc w:val="center"/>
                    <w:rPr>
                      <w:color w:val="auto"/>
                      <w:sz w:val="21"/>
                      <w:szCs w:val="21"/>
                      <w:u w:val="none"/>
                    </w:rPr>
                  </w:pPr>
                  <w:r>
                    <w:rPr>
                      <w:color w:val="auto"/>
                      <w:sz w:val="21"/>
                      <w:szCs w:val="21"/>
                      <w:u w:val="none"/>
                    </w:rPr>
                    <w:t>达标</w:t>
                  </w:r>
                </w:p>
              </w:tc>
            </w:tr>
            <w:tr w14:paraId="0401F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870" w:type="pct"/>
                  <w:shd w:val="clear" w:color="auto" w:fill="FFFFFF"/>
                  <w:vAlign w:val="center"/>
                </w:tcPr>
                <w:p w14:paraId="341582DE">
                  <w:pPr>
                    <w:spacing w:line="240" w:lineRule="auto"/>
                    <w:ind w:firstLine="0" w:firstLineChars="0"/>
                    <w:jc w:val="center"/>
                    <w:rPr>
                      <w:color w:val="auto"/>
                      <w:sz w:val="21"/>
                      <w:szCs w:val="21"/>
                      <w:u w:val="none"/>
                    </w:rPr>
                  </w:pPr>
                  <w:r>
                    <w:rPr>
                      <w:color w:val="auto"/>
                      <w:sz w:val="21"/>
                      <w:szCs w:val="21"/>
                      <w:u w:val="none"/>
                    </w:rPr>
                    <w:t>北厂界</w:t>
                  </w:r>
                </w:p>
              </w:tc>
              <w:tc>
                <w:tcPr>
                  <w:tcW w:w="841" w:type="pct"/>
                  <w:shd w:val="clear" w:color="auto" w:fill="FFFFFF"/>
                  <w:vAlign w:val="center"/>
                </w:tcPr>
                <w:p w14:paraId="3835C81A">
                  <w:pPr>
                    <w:spacing w:line="240" w:lineRule="auto"/>
                    <w:ind w:firstLine="0" w:firstLineChars="0"/>
                    <w:jc w:val="center"/>
                    <w:rPr>
                      <w:color w:val="auto"/>
                      <w:sz w:val="21"/>
                      <w:szCs w:val="21"/>
                      <w:u w:val="none"/>
                    </w:rPr>
                  </w:pPr>
                  <w:r>
                    <w:rPr>
                      <w:color w:val="auto"/>
                      <w:sz w:val="21"/>
                      <w:szCs w:val="21"/>
                      <w:u w:val="none"/>
                    </w:rPr>
                    <w:t>昼间</w:t>
                  </w:r>
                </w:p>
              </w:tc>
              <w:tc>
                <w:tcPr>
                  <w:tcW w:w="1490" w:type="pct"/>
                  <w:shd w:val="clear" w:color="auto" w:fill="FFFFFF"/>
                  <w:vAlign w:val="center"/>
                </w:tcPr>
                <w:p w14:paraId="3B8EC035">
                  <w:pPr>
                    <w:spacing w:line="240" w:lineRule="auto"/>
                    <w:ind w:firstLine="0" w:firstLineChars="0"/>
                    <w:jc w:val="center"/>
                    <w:rPr>
                      <w:rFonts w:hint="default" w:eastAsia="宋体"/>
                      <w:color w:val="auto"/>
                      <w:sz w:val="21"/>
                      <w:szCs w:val="21"/>
                      <w:u w:val="none"/>
                      <w:lang w:val="en-US" w:eastAsia="zh-CN"/>
                    </w:rPr>
                  </w:pPr>
                  <w:r>
                    <w:rPr>
                      <w:rFonts w:hint="eastAsia"/>
                      <w:color w:val="auto"/>
                      <w:sz w:val="21"/>
                      <w:szCs w:val="21"/>
                      <w:u w:val="none"/>
                      <w:lang w:val="en-US" w:eastAsia="zh-CN"/>
                    </w:rPr>
                    <w:t>57.6</w:t>
                  </w:r>
                </w:p>
              </w:tc>
              <w:tc>
                <w:tcPr>
                  <w:tcW w:w="1143" w:type="pct"/>
                  <w:shd w:val="clear" w:color="auto" w:fill="FFFFFF"/>
                  <w:vAlign w:val="center"/>
                </w:tcPr>
                <w:p w14:paraId="12044DB7">
                  <w:pPr>
                    <w:spacing w:line="240" w:lineRule="auto"/>
                    <w:ind w:firstLine="0" w:firstLineChars="0"/>
                    <w:jc w:val="center"/>
                    <w:rPr>
                      <w:color w:val="auto"/>
                      <w:sz w:val="21"/>
                      <w:szCs w:val="21"/>
                      <w:u w:val="none"/>
                    </w:rPr>
                  </w:pPr>
                  <w:r>
                    <w:rPr>
                      <w:rFonts w:hint="eastAsia"/>
                      <w:color w:val="auto"/>
                      <w:sz w:val="21"/>
                      <w:szCs w:val="21"/>
                      <w:u w:val="none"/>
                    </w:rPr>
                    <w:t>65</w:t>
                  </w:r>
                </w:p>
              </w:tc>
              <w:tc>
                <w:tcPr>
                  <w:tcW w:w="654" w:type="pct"/>
                  <w:shd w:val="clear" w:color="auto" w:fill="FFFFFF"/>
                  <w:vAlign w:val="center"/>
                </w:tcPr>
                <w:p w14:paraId="7ACD50E9">
                  <w:pPr>
                    <w:spacing w:line="240" w:lineRule="auto"/>
                    <w:ind w:firstLine="0" w:firstLineChars="0"/>
                    <w:jc w:val="center"/>
                    <w:rPr>
                      <w:color w:val="auto"/>
                      <w:sz w:val="21"/>
                      <w:szCs w:val="21"/>
                      <w:u w:val="none"/>
                    </w:rPr>
                  </w:pPr>
                  <w:r>
                    <w:rPr>
                      <w:color w:val="auto"/>
                      <w:sz w:val="21"/>
                      <w:szCs w:val="21"/>
                      <w:u w:val="none"/>
                    </w:rPr>
                    <w:t>达标</w:t>
                  </w:r>
                </w:p>
              </w:tc>
            </w:tr>
          </w:tbl>
          <w:p w14:paraId="4F1AEF01">
            <w:pPr>
              <w:ind w:firstLine="480"/>
              <w:rPr>
                <w:color w:val="auto"/>
                <w:u w:val="none"/>
              </w:rPr>
            </w:pPr>
            <w:r>
              <w:rPr>
                <w:rFonts w:hint="eastAsia"/>
                <w:color w:val="auto"/>
                <w:u w:val="none"/>
              </w:rPr>
              <w:t>本项目将高噪声设备设于车间内。经分析和预测，通过采取墙体隔声、基础减振等噪声防治措施后，再经过有效的距离衰减之后，厂界噪声</w:t>
            </w:r>
            <w:r>
              <w:rPr>
                <w:rFonts w:hint="eastAsia"/>
                <w:color w:val="auto"/>
                <w:u w:val="none"/>
                <w:lang w:val="en-US" w:eastAsia="zh-CN"/>
              </w:rPr>
              <w:t>预测值</w:t>
            </w:r>
            <w:r>
              <w:rPr>
                <w:rFonts w:hint="eastAsia"/>
                <w:color w:val="auto"/>
                <w:u w:val="none"/>
              </w:rPr>
              <w:t>满足《工业企业厂界环境噪声排放标准》（</w:t>
            </w:r>
            <w:r>
              <w:rPr>
                <w:color w:val="auto"/>
                <w:u w:val="none"/>
              </w:rPr>
              <w:t>GB12348-2008</w:t>
            </w:r>
            <w:r>
              <w:rPr>
                <w:rFonts w:hint="eastAsia"/>
                <w:color w:val="auto"/>
                <w:u w:val="none"/>
              </w:rPr>
              <w:t>）中3类标准限值。因此，本项目运营后对周围声环境影响较小，在可接受范围内。</w:t>
            </w:r>
          </w:p>
          <w:p w14:paraId="05702970">
            <w:pPr>
              <w:keepNext w:val="0"/>
              <w:keepLines w:val="0"/>
              <w:pageBreakBefore w:val="0"/>
              <w:widowControl w:val="0"/>
              <w:kinsoku/>
              <w:wordWrap w:val="0"/>
              <w:overflowPunct/>
              <w:topLinePunct w:val="0"/>
              <w:autoSpaceDE/>
              <w:autoSpaceDN/>
              <w:bidi w:val="0"/>
              <w:adjustRightInd/>
              <w:snapToGrid/>
              <w:ind w:firstLine="0" w:firstLineChars="0"/>
              <w:textAlignment w:val="auto"/>
              <w:rPr>
                <w:b/>
                <w:bCs/>
                <w:color w:val="auto"/>
              </w:rPr>
            </w:pPr>
            <w:r>
              <w:rPr>
                <w:rFonts w:hint="eastAsia"/>
                <w:b/>
                <w:bCs/>
                <w:color w:val="auto"/>
                <w:lang w:val="en-US" w:eastAsia="zh-CN"/>
              </w:rPr>
              <w:t>4</w:t>
            </w:r>
            <w:r>
              <w:rPr>
                <w:b/>
                <w:bCs/>
                <w:color w:val="auto"/>
              </w:rPr>
              <w:t>.</w:t>
            </w:r>
            <w:r>
              <w:rPr>
                <w:rFonts w:hint="eastAsia"/>
                <w:b/>
                <w:bCs/>
                <w:color w:val="auto"/>
              </w:rPr>
              <w:t>噪声</w:t>
            </w:r>
            <w:r>
              <w:rPr>
                <w:b/>
                <w:bCs/>
                <w:color w:val="auto"/>
              </w:rPr>
              <w:t>监测</w:t>
            </w:r>
            <w:r>
              <w:rPr>
                <w:rFonts w:hint="eastAsia"/>
                <w:b/>
                <w:bCs/>
                <w:color w:val="auto"/>
              </w:rPr>
              <w:t>计划</w:t>
            </w:r>
          </w:p>
          <w:p w14:paraId="75C6136B">
            <w:pPr>
              <w:ind w:firstLine="480"/>
              <w:rPr>
                <w:color w:val="auto"/>
              </w:rPr>
            </w:pPr>
            <w:r>
              <w:rPr>
                <w:color w:val="auto"/>
              </w:rPr>
              <w:t>根据《</w:t>
            </w:r>
            <w:r>
              <w:rPr>
                <w:rFonts w:hint="eastAsia"/>
                <w:color w:val="auto"/>
              </w:rPr>
              <w:t>排污许可证申请与核发技术规范 工业噪声</w:t>
            </w:r>
            <w:r>
              <w:rPr>
                <w:color w:val="auto"/>
              </w:rPr>
              <w:t>》（</w:t>
            </w:r>
            <w:r>
              <w:rPr>
                <w:rFonts w:hint="eastAsia"/>
                <w:color w:val="auto"/>
              </w:rPr>
              <w:t>HJ 1301-2023</w:t>
            </w:r>
            <w:r>
              <w:rPr>
                <w:color w:val="auto"/>
              </w:rPr>
              <w:t>），具体监测项目、频率见下表。</w:t>
            </w:r>
          </w:p>
          <w:p w14:paraId="273313B3">
            <w:pPr>
              <w:keepNext w:val="0"/>
              <w:keepLines w:val="0"/>
              <w:pageBreakBefore w:val="0"/>
              <w:widowControl w:val="0"/>
              <w:numPr>
                <w:ilvl w:val="0"/>
                <w:numId w:val="9"/>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lang w:val="zh-CN"/>
              </w:rPr>
            </w:pPr>
            <w:r>
              <w:rPr>
                <w:rFonts w:hint="eastAsia" w:ascii="Times New Roman" w:hAnsi="Times New Roman" w:eastAsia="宋体" w:cs="Times New Roman"/>
                <w:b/>
                <w:bCs/>
                <w:color w:val="auto"/>
                <w:sz w:val="21"/>
                <w:szCs w:val="21"/>
                <w:lang w:val="zh-CN"/>
              </w:rPr>
              <w:t>本项目噪声污染物监测一览表</w:t>
            </w:r>
          </w:p>
          <w:tbl>
            <w:tblPr>
              <w:tblStyle w:val="20"/>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22"/>
              <w:gridCol w:w="2293"/>
              <w:gridCol w:w="2757"/>
              <w:gridCol w:w="1827"/>
            </w:tblGrid>
            <w:tr w14:paraId="5627E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1" w:type="pct"/>
                  <w:tcBorders>
                    <w:top w:val="single" w:color="auto" w:sz="4" w:space="0"/>
                    <w:left w:val="single" w:color="auto" w:sz="4" w:space="0"/>
                    <w:bottom w:val="single" w:color="auto" w:sz="4" w:space="0"/>
                    <w:right w:val="single" w:color="auto" w:sz="4" w:space="0"/>
                  </w:tcBorders>
                  <w:vAlign w:val="center"/>
                </w:tcPr>
                <w:p w14:paraId="5289ADB2">
                  <w:pPr>
                    <w:spacing w:line="240" w:lineRule="auto"/>
                    <w:ind w:firstLine="0" w:firstLineChars="0"/>
                    <w:jc w:val="center"/>
                    <w:rPr>
                      <w:color w:val="auto"/>
                      <w:sz w:val="21"/>
                      <w:szCs w:val="21"/>
                    </w:rPr>
                  </w:pPr>
                  <w:r>
                    <w:rPr>
                      <w:color w:val="auto"/>
                      <w:sz w:val="21"/>
                      <w:szCs w:val="21"/>
                    </w:rPr>
                    <w:t>项目名称</w:t>
                  </w:r>
                </w:p>
              </w:tc>
              <w:tc>
                <w:tcPr>
                  <w:tcW w:w="1433" w:type="pct"/>
                  <w:tcBorders>
                    <w:top w:val="single" w:color="auto" w:sz="4" w:space="0"/>
                    <w:left w:val="single" w:color="auto" w:sz="4" w:space="0"/>
                    <w:bottom w:val="single" w:color="auto" w:sz="4" w:space="0"/>
                    <w:right w:val="single" w:color="auto" w:sz="4" w:space="0"/>
                  </w:tcBorders>
                  <w:vAlign w:val="center"/>
                </w:tcPr>
                <w:p w14:paraId="69C6405B">
                  <w:pPr>
                    <w:spacing w:line="240" w:lineRule="auto"/>
                    <w:ind w:firstLine="0" w:firstLineChars="0"/>
                    <w:jc w:val="center"/>
                    <w:rPr>
                      <w:color w:val="auto"/>
                      <w:sz w:val="21"/>
                      <w:szCs w:val="21"/>
                    </w:rPr>
                  </w:pPr>
                  <w:r>
                    <w:rPr>
                      <w:color w:val="auto"/>
                      <w:sz w:val="21"/>
                      <w:szCs w:val="21"/>
                    </w:rPr>
                    <w:t>监测点位</w:t>
                  </w:r>
                </w:p>
              </w:tc>
              <w:tc>
                <w:tcPr>
                  <w:tcW w:w="1723" w:type="pct"/>
                  <w:tcBorders>
                    <w:top w:val="single" w:color="auto" w:sz="4" w:space="0"/>
                    <w:left w:val="single" w:color="auto" w:sz="4" w:space="0"/>
                    <w:bottom w:val="single" w:color="auto" w:sz="4" w:space="0"/>
                    <w:right w:val="single" w:color="auto" w:sz="4" w:space="0"/>
                  </w:tcBorders>
                  <w:vAlign w:val="center"/>
                </w:tcPr>
                <w:p w14:paraId="4357EA44">
                  <w:pPr>
                    <w:spacing w:line="240" w:lineRule="auto"/>
                    <w:ind w:firstLine="0" w:firstLineChars="0"/>
                    <w:jc w:val="center"/>
                    <w:rPr>
                      <w:color w:val="auto"/>
                      <w:sz w:val="21"/>
                      <w:szCs w:val="21"/>
                    </w:rPr>
                  </w:pPr>
                  <w:r>
                    <w:rPr>
                      <w:color w:val="auto"/>
                      <w:sz w:val="21"/>
                      <w:szCs w:val="21"/>
                    </w:rPr>
                    <w:t>监测频次</w:t>
                  </w:r>
                </w:p>
              </w:tc>
              <w:tc>
                <w:tcPr>
                  <w:tcW w:w="1141" w:type="pct"/>
                  <w:tcBorders>
                    <w:top w:val="single" w:color="auto" w:sz="4" w:space="0"/>
                    <w:left w:val="single" w:color="auto" w:sz="4" w:space="0"/>
                    <w:bottom w:val="single" w:color="auto" w:sz="4" w:space="0"/>
                    <w:right w:val="single" w:color="auto" w:sz="4" w:space="0"/>
                  </w:tcBorders>
                  <w:vAlign w:val="center"/>
                </w:tcPr>
                <w:p w14:paraId="1620A709">
                  <w:pPr>
                    <w:spacing w:line="240" w:lineRule="auto"/>
                    <w:ind w:firstLine="0" w:firstLineChars="0"/>
                    <w:jc w:val="center"/>
                    <w:rPr>
                      <w:color w:val="auto"/>
                      <w:sz w:val="21"/>
                      <w:szCs w:val="21"/>
                    </w:rPr>
                  </w:pPr>
                  <w:r>
                    <w:rPr>
                      <w:color w:val="auto"/>
                      <w:sz w:val="21"/>
                      <w:szCs w:val="21"/>
                    </w:rPr>
                    <w:t>监测项目</w:t>
                  </w:r>
                </w:p>
              </w:tc>
            </w:tr>
            <w:tr w14:paraId="48066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1" w:type="pct"/>
                  <w:tcBorders>
                    <w:top w:val="single" w:color="auto" w:sz="4" w:space="0"/>
                    <w:left w:val="single" w:color="auto" w:sz="4" w:space="0"/>
                    <w:right w:val="single" w:color="auto" w:sz="4" w:space="0"/>
                  </w:tcBorders>
                  <w:vAlign w:val="center"/>
                </w:tcPr>
                <w:p w14:paraId="37C70195">
                  <w:pPr>
                    <w:spacing w:line="240" w:lineRule="auto"/>
                    <w:ind w:firstLine="0" w:firstLineChars="0"/>
                    <w:jc w:val="center"/>
                    <w:rPr>
                      <w:color w:val="auto"/>
                      <w:sz w:val="21"/>
                      <w:szCs w:val="21"/>
                    </w:rPr>
                  </w:pPr>
                  <w:r>
                    <w:rPr>
                      <w:color w:val="auto"/>
                      <w:sz w:val="21"/>
                      <w:szCs w:val="21"/>
                    </w:rPr>
                    <w:t>噪声</w:t>
                  </w:r>
                </w:p>
              </w:tc>
              <w:tc>
                <w:tcPr>
                  <w:tcW w:w="1433" w:type="pct"/>
                  <w:tcBorders>
                    <w:top w:val="single" w:color="auto" w:sz="4" w:space="0"/>
                    <w:left w:val="single" w:color="auto" w:sz="4" w:space="0"/>
                    <w:bottom w:val="single" w:color="auto" w:sz="4" w:space="0"/>
                    <w:right w:val="single" w:color="auto" w:sz="4" w:space="0"/>
                  </w:tcBorders>
                  <w:vAlign w:val="center"/>
                </w:tcPr>
                <w:p w14:paraId="56E56272">
                  <w:pPr>
                    <w:spacing w:line="240" w:lineRule="auto"/>
                    <w:ind w:firstLine="0" w:firstLineChars="0"/>
                    <w:jc w:val="center"/>
                    <w:rPr>
                      <w:color w:val="auto"/>
                      <w:sz w:val="21"/>
                      <w:szCs w:val="21"/>
                    </w:rPr>
                  </w:pPr>
                  <w:r>
                    <w:rPr>
                      <w:color w:val="auto"/>
                      <w:sz w:val="21"/>
                      <w:szCs w:val="21"/>
                    </w:rPr>
                    <w:t>厂界</w:t>
                  </w:r>
                </w:p>
              </w:tc>
              <w:tc>
                <w:tcPr>
                  <w:tcW w:w="1723" w:type="pct"/>
                  <w:tcBorders>
                    <w:top w:val="single" w:color="auto" w:sz="4" w:space="0"/>
                    <w:left w:val="single" w:color="auto" w:sz="4" w:space="0"/>
                    <w:bottom w:val="single" w:color="auto" w:sz="4" w:space="0"/>
                    <w:right w:val="single" w:color="auto" w:sz="4" w:space="0"/>
                  </w:tcBorders>
                  <w:vAlign w:val="center"/>
                </w:tcPr>
                <w:p w14:paraId="7E3B6292">
                  <w:pPr>
                    <w:spacing w:line="240" w:lineRule="auto"/>
                    <w:ind w:firstLine="0" w:firstLineChars="0"/>
                    <w:jc w:val="center"/>
                    <w:rPr>
                      <w:color w:val="auto"/>
                      <w:sz w:val="21"/>
                      <w:szCs w:val="21"/>
                    </w:rPr>
                  </w:pPr>
                  <w:r>
                    <w:rPr>
                      <w:color w:val="auto"/>
                      <w:sz w:val="21"/>
                      <w:szCs w:val="21"/>
                    </w:rPr>
                    <w:t>1次</w:t>
                  </w:r>
                  <w:r>
                    <w:rPr>
                      <w:rFonts w:hint="eastAsia"/>
                      <w:color w:val="auto"/>
                      <w:sz w:val="21"/>
                      <w:szCs w:val="21"/>
                    </w:rPr>
                    <w:t>/季度</w:t>
                  </w:r>
                </w:p>
              </w:tc>
              <w:tc>
                <w:tcPr>
                  <w:tcW w:w="1141" w:type="pct"/>
                  <w:tcBorders>
                    <w:top w:val="single" w:color="auto" w:sz="4" w:space="0"/>
                    <w:left w:val="single" w:color="auto" w:sz="4" w:space="0"/>
                    <w:bottom w:val="single" w:color="auto" w:sz="4" w:space="0"/>
                    <w:right w:val="single" w:color="auto" w:sz="4" w:space="0"/>
                  </w:tcBorders>
                  <w:vAlign w:val="center"/>
                </w:tcPr>
                <w:p w14:paraId="21E88B66">
                  <w:pPr>
                    <w:spacing w:line="240" w:lineRule="auto"/>
                    <w:ind w:firstLine="0" w:firstLineChars="0"/>
                    <w:jc w:val="center"/>
                    <w:rPr>
                      <w:color w:val="auto"/>
                      <w:sz w:val="21"/>
                      <w:szCs w:val="21"/>
                    </w:rPr>
                  </w:pPr>
                  <w:r>
                    <w:rPr>
                      <w:rFonts w:hint="eastAsia"/>
                      <w:color w:val="auto"/>
                      <w:sz w:val="21"/>
                      <w:szCs w:val="21"/>
                    </w:rPr>
                    <w:t>等效连续</w:t>
                  </w:r>
                  <w:r>
                    <w:rPr>
                      <w:rFonts w:hint="eastAsia"/>
                      <w:color w:val="auto"/>
                      <w:sz w:val="21"/>
                      <w:szCs w:val="21"/>
                      <w:lang w:val="en-US" w:eastAsia="zh-CN"/>
                    </w:rPr>
                    <w:t>A</w:t>
                  </w:r>
                  <w:r>
                    <w:rPr>
                      <w:rFonts w:hint="eastAsia"/>
                      <w:color w:val="auto"/>
                      <w:sz w:val="21"/>
                      <w:szCs w:val="21"/>
                    </w:rPr>
                    <w:t>声级</w:t>
                  </w:r>
                </w:p>
              </w:tc>
            </w:tr>
          </w:tbl>
          <w:p w14:paraId="6584C9E1">
            <w:pPr>
              <w:keepNext w:val="0"/>
              <w:keepLines w:val="0"/>
              <w:pageBreakBefore w:val="0"/>
              <w:widowControl w:val="0"/>
              <w:tabs>
                <w:tab w:val="left" w:pos="6720"/>
              </w:tabs>
              <w:kinsoku/>
              <w:wordWrap w:val="0"/>
              <w:overflowPunct/>
              <w:topLinePunct w:val="0"/>
              <w:autoSpaceDE/>
              <w:autoSpaceDN/>
              <w:bidi w:val="0"/>
              <w:adjustRightInd/>
              <w:snapToGrid/>
              <w:ind w:firstLine="0" w:firstLineChars="0"/>
              <w:textAlignment w:val="auto"/>
              <w:rPr>
                <w:b/>
                <w:color w:val="auto"/>
              </w:rPr>
            </w:pPr>
            <w:r>
              <w:rPr>
                <w:rFonts w:hint="eastAsia"/>
                <w:b/>
                <w:color w:val="auto"/>
              </w:rPr>
              <w:t>四</w:t>
            </w:r>
            <w:r>
              <w:rPr>
                <w:b/>
                <w:color w:val="auto"/>
              </w:rPr>
              <w:t>、固体废物环境影响分析</w:t>
            </w:r>
          </w:p>
          <w:p w14:paraId="5A735188">
            <w:pPr>
              <w:keepNext w:val="0"/>
              <w:keepLines w:val="0"/>
              <w:pageBreakBefore w:val="0"/>
              <w:widowControl w:val="0"/>
              <w:kinsoku/>
              <w:wordWrap w:val="0"/>
              <w:overflowPunct/>
              <w:topLinePunct w:val="0"/>
              <w:autoSpaceDE/>
              <w:autoSpaceDN/>
              <w:bidi w:val="0"/>
              <w:adjustRightInd/>
              <w:snapToGrid/>
              <w:ind w:firstLine="0" w:firstLineChars="0"/>
              <w:textAlignment w:val="auto"/>
              <w:rPr>
                <w:rFonts w:hint="default" w:eastAsia="宋体"/>
                <w:b/>
                <w:color w:val="auto"/>
                <w:lang w:val="en-US" w:eastAsia="zh-CN"/>
              </w:rPr>
            </w:pPr>
            <w:r>
              <w:rPr>
                <w:rFonts w:hint="eastAsia"/>
                <w:b/>
                <w:color w:val="auto"/>
                <w:lang w:val="en-US" w:eastAsia="zh-CN"/>
              </w:rPr>
              <w:t>1</w:t>
            </w:r>
            <w:r>
              <w:rPr>
                <w:rFonts w:hint="eastAsia"/>
                <w:b/>
                <w:color w:val="auto"/>
              </w:rPr>
              <w:t>.</w:t>
            </w:r>
            <w:r>
              <w:rPr>
                <w:rFonts w:hint="eastAsia"/>
                <w:b/>
                <w:color w:val="auto"/>
                <w:lang w:val="en-US" w:eastAsia="zh-CN"/>
              </w:rPr>
              <w:t>固体废物产排情况</w:t>
            </w:r>
          </w:p>
          <w:p w14:paraId="3D4EE73B">
            <w:pPr>
              <w:ind w:firstLine="480"/>
              <w:rPr>
                <w:rFonts w:hint="eastAsia"/>
                <w:color w:val="auto"/>
                <w:u w:val="none"/>
                <w:lang w:val="zh-CN"/>
              </w:rPr>
            </w:pPr>
            <w:r>
              <w:rPr>
                <w:rFonts w:hint="eastAsia"/>
                <w:color w:val="auto"/>
                <w:u w:val="none"/>
                <w:lang w:val="zh-CN"/>
              </w:rPr>
              <w:t>本项目固废包括在中药材前处理过程中产生的药材废弃物、除尘器收集的粉尘、药渣、废包装材料、厂内污水处理产生的污泥、生活垃圾、实验室废物和恶臭及异味处理产生的废活性炭。</w:t>
            </w:r>
          </w:p>
          <w:p w14:paraId="0F5F6626">
            <w:pPr>
              <w:ind w:firstLine="480"/>
              <w:rPr>
                <w:rFonts w:hint="eastAsia" w:eastAsia="宋体"/>
                <w:b/>
                <w:bCs/>
                <w:color w:val="auto"/>
                <w:u w:val="none"/>
                <w:lang w:val="en-US" w:eastAsia="zh-CN"/>
              </w:rPr>
            </w:pPr>
            <w:r>
              <w:rPr>
                <w:rFonts w:hint="eastAsia"/>
                <w:b/>
                <w:bCs/>
                <w:color w:val="auto"/>
                <w:u w:val="none"/>
                <w:lang w:val="zh-CN"/>
              </w:rPr>
              <w:t>（</w:t>
            </w:r>
            <w:r>
              <w:rPr>
                <w:rFonts w:hint="eastAsia"/>
                <w:b/>
                <w:bCs/>
                <w:color w:val="auto"/>
                <w:u w:val="none"/>
                <w:lang w:val="en-US" w:eastAsia="zh-CN"/>
              </w:rPr>
              <w:t>1</w:t>
            </w:r>
            <w:r>
              <w:rPr>
                <w:rFonts w:hint="eastAsia"/>
                <w:b/>
                <w:bCs/>
                <w:color w:val="auto"/>
                <w:u w:val="none"/>
                <w:lang w:val="zh-CN"/>
              </w:rPr>
              <w:t>）</w:t>
            </w:r>
            <w:r>
              <w:rPr>
                <w:rFonts w:hint="eastAsia"/>
                <w:b/>
                <w:bCs/>
                <w:color w:val="auto"/>
                <w:u w:val="none"/>
                <w:lang w:val="en-US" w:eastAsia="zh-CN"/>
              </w:rPr>
              <w:t>一般固废</w:t>
            </w:r>
          </w:p>
          <w:p w14:paraId="288004B6">
            <w:pPr>
              <w:ind w:firstLine="480"/>
              <w:rPr>
                <w:rFonts w:hint="default" w:eastAsia="宋体"/>
                <w:color w:val="auto"/>
                <w:u w:val="none"/>
                <w:lang w:val="en-US" w:eastAsia="zh-CN"/>
              </w:rPr>
            </w:pPr>
            <w:r>
              <w:rPr>
                <w:rFonts w:hint="eastAsia"/>
                <w:color w:val="auto"/>
                <w:u w:val="none"/>
                <w:lang w:eastAsia="zh-CN"/>
              </w:rPr>
              <w:t>①</w:t>
            </w:r>
            <w:r>
              <w:rPr>
                <w:rFonts w:hint="eastAsia"/>
                <w:color w:val="auto"/>
                <w:u w:val="none"/>
              </w:rPr>
              <w:t>药材废弃物</w:t>
            </w:r>
          </w:p>
          <w:p w14:paraId="12D9198B">
            <w:pPr>
              <w:ind w:firstLine="480"/>
              <w:rPr>
                <w:rFonts w:hint="eastAsia"/>
                <w:color w:val="auto"/>
                <w:u w:val="none"/>
              </w:rPr>
            </w:pPr>
            <w:r>
              <w:rPr>
                <w:rFonts w:hint="eastAsia"/>
                <w:color w:val="auto"/>
                <w:u w:val="none"/>
              </w:rPr>
              <w:t>根据业主提供的资料，前处理过程中药材废弃物产生量约占原药材用量的</w:t>
            </w:r>
            <w:r>
              <w:rPr>
                <w:rFonts w:hint="eastAsia"/>
                <w:color w:val="auto"/>
                <w:u w:val="none"/>
                <w:lang w:val="en-US" w:eastAsia="zh-CN"/>
              </w:rPr>
              <w:t>3</w:t>
            </w:r>
            <w:r>
              <w:rPr>
                <w:rFonts w:hint="eastAsia"/>
                <w:color w:val="auto"/>
                <w:u w:val="none"/>
              </w:rPr>
              <w:t>%左右，项目饮片车间共计产生药材废弃物为</w:t>
            </w:r>
            <w:r>
              <w:rPr>
                <w:rFonts w:hint="eastAsia"/>
                <w:color w:val="auto"/>
                <w:u w:val="none"/>
                <w:lang w:val="en-US" w:eastAsia="zh-CN"/>
              </w:rPr>
              <w:t>90</w:t>
            </w:r>
            <w:r>
              <w:rPr>
                <w:rFonts w:hint="eastAsia"/>
                <w:color w:val="auto"/>
                <w:u w:val="none"/>
              </w:rPr>
              <w:t>t/a，</w:t>
            </w:r>
            <w:r>
              <w:rPr>
                <w:rFonts w:hint="eastAsia"/>
                <w:color w:val="auto"/>
                <w:u w:val="none"/>
                <w:lang w:val="en-US" w:eastAsia="zh-CN"/>
              </w:rPr>
              <w:t>主要是</w:t>
            </w:r>
            <w:r>
              <w:rPr>
                <w:rFonts w:hint="eastAsia"/>
                <w:color w:val="auto"/>
                <w:u w:val="none"/>
              </w:rPr>
              <w:t>筛选</w:t>
            </w:r>
            <w:r>
              <w:rPr>
                <w:rFonts w:hint="eastAsia"/>
                <w:color w:val="auto"/>
                <w:u w:val="none"/>
                <w:lang w:val="en-US" w:eastAsia="zh-CN"/>
              </w:rPr>
              <w:t>出的</w:t>
            </w:r>
            <w:r>
              <w:rPr>
                <w:rFonts w:hint="eastAsia"/>
                <w:color w:val="auto"/>
                <w:u w:val="none"/>
              </w:rPr>
              <w:t>杂质、植物颗粒等，作为生活垃圾处理。</w:t>
            </w:r>
          </w:p>
          <w:p w14:paraId="1F1827F5">
            <w:pPr>
              <w:ind w:firstLine="480"/>
              <w:rPr>
                <w:rFonts w:hint="eastAsia"/>
                <w:b/>
                <w:bCs/>
                <w:color w:val="auto"/>
                <w:u w:val="single"/>
              </w:rPr>
            </w:pPr>
            <w:r>
              <w:rPr>
                <w:rFonts w:hint="eastAsia"/>
                <w:b/>
                <w:bCs/>
                <w:color w:val="auto"/>
                <w:u w:val="single"/>
                <w:lang w:eastAsia="zh-CN"/>
              </w:rPr>
              <w:t>②</w:t>
            </w:r>
            <w:r>
              <w:rPr>
                <w:rFonts w:hint="eastAsia"/>
                <w:b/>
                <w:bCs/>
                <w:color w:val="auto"/>
                <w:u w:val="single"/>
              </w:rPr>
              <w:t>药渣</w:t>
            </w:r>
          </w:p>
          <w:p w14:paraId="3B406402">
            <w:pPr>
              <w:ind w:firstLine="480"/>
              <w:rPr>
                <w:rFonts w:hint="eastAsia"/>
                <w:b/>
                <w:bCs/>
                <w:color w:val="auto"/>
                <w:u w:val="single"/>
              </w:rPr>
            </w:pPr>
            <w:r>
              <w:rPr>
                <w:rFonts w:hint="eastAsia"/>
                <w:b/>
                <w:bCs/>
                <w:color w:val="auto"/>
                <w:u w:val="single"/>
              </w:rPr>
              <w:t>项目</w:t>
            </w:r>
            <w:r>
              <w:rPr>
                <w:rFonts w:hint="eastAsia"/>
                <w:b/>
                <w:bCs/>
                <w:color w:val="auto"/>
                <w:u w:val="single"/>
                <w:lang w:val="en-US" w:eastAsia="zh-CN"/>
              </w:rPr>
              <w:t>提取工序会产生药渣，</w:t>
            </w:r>
            <w:r>
              <w:rPr>
                <w:rFonts w:hint="eastAsia"/>
                <w:b/>
                <w:bCs/>
                <w:color w:val="auto"/>
                <w:u w:val="single"/>
              </w:rPr>
              <w:t>产生量约</w:t>
            </w:r>
            <w:r>
              <w:rPr>
                <w:rFonts w:hint="eastAsia"/>
                <w:b/>
                <w:bCs/>
                <w:color w:val="auto"/>
                <w:u w:val="single"/>
                <w:lang w:val="en-US" w:eastAsia="zh-CN"/>
              </w:rPr>
              <w:t>96</w:t>
            </w:r>
            <w:r>
              <w:rPr>
                <w:rFonts w:hint="eastAsia"/>
                <w:b/>
                <w:bCs/>
                <w:color w:val="auto"/>
                <w:u w:val="single"/>
              </w:rPr>
              <w:t>0t/a，</w:t>
            </w:r>
            <w:r>
              <w:rPr>
                <w:rFonts w:hint="eastAsia"/>
                <w:b/>
                <w:bCs/>
                <w:color w:val="auto"/>
                <w:u w:val="single"/>
                <w:lang w:val="en-US" w:eastAsia="zh-CN"/>
              </w:rPr>
              <w:t>暂存至药渣暂存间。</w:t>
            </w:r>
            <w:r>
              <w:rPr>
                <w:rFonts w:hint="eastAsia"/>
                <w:b/>
                <w:bCs/>
                <w:color w:val="auto"/>
                <w:u w:val="single"/>
              </w:rPr>
              <w:t>中药废渣主要为残余的天然植物，含有粗纤维、淀粉、粗蛋白、粗多糖、氨基酸及微量元素等。根据《中药类制药工业水污染物排放标准-编制说明》的建议，此类固废一般作为肥料添加剂、农肥、锅炉燃料或垃圾填埋场</w:t>
            </w:r>
            <w:r>
              <w:rPr>
                <w:rFonts w:hint="eastAsia"/>
                <w:b/>
                <w:bCs/>
                <w:color w:val="auto"/>
                <w:u w:val="single"/>
                <w:lang w:eastAsia="zh-CN"/>
              </w:rPr>
              <w:t>；</w:t>
            </w:r>
            <w:r>
              <w:rPr>
                <w:rFonts w:hint="eastAsia"/>
                <w:b/>
                <w:bCs/>
                <w:color w:val="auto"/>
                <w:u w:val="single"/>
              </w:rPr>
              <w:t>同时根据《制药工业污染防治技术政策》中的相关要求：中药、提取类药物生产过程中产生的药渣鼓励作有机肥料或燃料利用。</w:t>
            </w:r>
            <w:r>
              <w:rPr>
                <w:rFonts w:hint="eastAsia"/>
                <w:b/>
                <w:bCs/>
                <w:color w:val="auto"/>
                <w:u w:val="single"/>
                <w:lang w:val="en-US" w:eastAsia="zh-CN"/>
              </w:rPr>
              <w:t>因此本项目药渣出售给有机肥厂制作有机肥</w:t>
            </w:r>
            <w:r>
              <w:rPr>
                <w:rFonts w:hint="eastAsia"/>
                <w:b/>
                <w:bCs/>
                <w:color w:val="auto"/>
                <w:u w:val="single"/>
              </w:rPr>
              <w:t>。</w:t>
            </w:r>
          </w:p>
          <w:p w14:paraId="204495D0">
            <w:pPr>
              <w:ind w:firstLine="480"/>
              <w:rPr>
                <w:rFonts w:hint="eastAsia"/>
                <w:color w:val="auto"/>
                <w:u w:val="none"/>
              </w:rPr>
            </w:pPr>
            <w:r>
              <w:rPr>
                <w:rFonts w:hint="eastAsia"/>
                <w:color w:val="auto"/>
                <w:u w:val="none"/>
                <w:lang w:eastAsia="zh-CN"/>
              </w:rPr>
              <w:t>③</w:t>
            </w:r>
            <w:r>
              <w:rPr>
                <w:rFonts w:hint="eastAsia"/>
                <w:color w:val="auto"/>
                <w:u w:val="none"/>
              </w:rPr>
              <w:t>药尘</w:t>
            </w:r>
          </w:p>
          <w:p w14:paraId="423B4EF2">
            <w:pPr>
              <w:ind w:firstLine="480"/>
              <w:rPr>
                <w:rFonts w:hint="eastAsia"/>
                <w:color w:val="auto"/>
                <w:u w:val="none"/>
              </w:rPr>
            </w:pPr>
            <w:r>
              <w:rPr>
                <w:rFonts w:hint="eastAsia"/>
                <w:color w:val="auto"/>
                <w:u w:val="none"/>
                <w:lang w:val="en-US" w:eastAsia="zh-CN"/>
              </w:rPr>
              <w:t>项目袋式除尘器及洁净区空气过滤系统截留的粉尘</w:t>
            </w:r>
            <w:r>
              <w:rPr>
                <w:rFonts w:hint="eastAsia"/>
                <w:color w:val="auto"/>
                <w:u w:val="none"/>
              </w:rPr>
              <w:t>共</w:t>
            </w:r>
            <w:r>
              <w:rPr>
                <w:rFonts w:hint="eastAsia"/>
                <w:color w:val="auto"/>
                <w:u w:val="none"/>
                <w:lang w:val="en-US" w:eastAsia="zh-CN"/>
              </w:rPr>
              <w:t>8.5215</w:t>
            </w:r>
            <w:r>
              <w:rPr>
                <w:rFonts w:hint="eastAsia"/>
                <w:color w:val="auto"/>
                <w:u w:val="none"/>
              </w:rPr>
              <w:t>t/a，</w:t>
            </w:r>
            <w:r>
              <w:rPr>
                <w:rFonts w:hint="eastAsia"/>
                <w:color w:val="auto"/>
                <w:u w:val="none"/>
                <w:lang w:val="en-US" w:eastAsia="zh-CN"/>
              </w:rPr>
              <w:t>出售给有机肥厂制作有机肥</w:t>
            </w:r>
            <w:r>
              <w:rPr>
                <w:rFonts w:hint="eastAsia"/>
                <w:color w:val="auto"/>
                <w:u w:val="none"/>
              </w:rPr>
              <w:t>。</w:t>
            </w:r>
          </w:p>
          <w:p w14:paraId="6BDB201E">
            <w:pPr>
              <w:ind w:firstLine="480"/>
              <w:rPr>
                <w:rFonts w:hint="eastAsia"/>
                <w:color w:val="auto"/>
                <w:u w:val="none"/>
              </w:rPr>
            </w:pPr>
            <w:r>
              <w:rPr>
                <w:rFonts w:hint="eastAsia"/>
                <w:color w:val="auto"/>
                <w:u w:val="none"/>
                <w:lang w:eastAsia="zh-CN"/>
              </w:rPr>
              <w:t>④</w:t>
            </w:r>
            <w:r>
              <w:rPr>
                <w:rFonts w:hint="eastAsia"/>
                <w:color w:val="auto"/>
                <w:u w:val="none"/>
              </w:rPr>
              <w:t>废包装材料</w:t>
            </w:r>
          </w:p>
          <w:p w14:paraId="6623B76C">
            <w:pPr>
              <w:ind w:firstLine="480"/>
              <w:rPr>
                <w:rFonts w:hint="eastAsia"/>
                <w:color w:val="auto"/>
                <w:u w:val="none"/>
              </w:rPr>
            </w:pPr>
            <w:r>
              <w:rPr>
                <w:rFonts w:hint="eastAsia"/>
                <w:color w:val="auto"/>
                <w:u w:val="none"/>
              </w:rPr>
              <w:t>废弃原、辅料包装材料、废弃产品包装物（废纸、废塑料等），产生量约</w:t>
            </w:r>
            <w:r>
              <w:rPr>
                <w:rFonts w:hint="eastAsia"/>
                <w:color w:val="auto"/>
                <w:u w:val="none"/>
                <w:lang w:val="en-US" w:eastAsia="zh-CN"/>
              </w:rPr>
              <w:t>5</w:t>
            </w:r>
            <w:r>
              <w:rPr>
                <w:rFonts w:hint="eastAsia"/>
                <w:color w:val="auto"/>
                <w:u w:val="none"/>
              </w:rPr>
              <w:t>t/a，经收集后外售综合利用。</w:t>
            </w:r>
          </w:p>
          <w:p w14:paraId="42FC8BF7">
            <w:pPr>
              <w:ind w:firstLine="480"/>
              <w:rPr>
                <w:rFonts w:hint="eastAsia"/>
                <w:color w:val="auto"/>
                <w:u w:val="none"/>
              </w:rPr>
            </w:pPr>
            <w:r>
              <w:rPr>
                <w:rFonts w:hint="eastAsia"/>
                <w:color w:val="auto"/>
                <w:u w:val="none"/>
                <w:lang w:eastAsia="zh-CN"/>
              </w:rPr>
              <w:t>⑤</w:t>
            </w:r>
            <w:r>
              <w:rPr>
                <w:rFonts w:hint="eastAsia"/>
                <w:color w:val="auto"/>
                <w:u w:val="none"/>
              </w:rPr>
              <w:t>污水处理站</w:t>
            </w:r>
            <w:bookmarkStart w:id="21" w:name="_GoBack"/>
            <w:bookmarkEnd w:id="21"/>
            <w:r>
              <w:rPr>
                <w:rFonts w:hint="eastAsia"/>
                <w:color w:val="auto"/>
                <w:u w:val="none"/>
              </w:rPr>
              <w:t>污泥</w:t>
            </w:r>
          </w:p>
          <w:p w14:paraId="2FD69F77">
            <w:pPr>
              <w:ind w:firstLine="480"/>
              <w:rPr>
                <w:rFonts w:hint="eastAsia"/>
                <w:color w:val="auto"/>
                <w:u w:val="none"/>
              </w:rPr>
            </w:pPr>
            <w:r>
              <w:rPr>
                <w:rFonts w:hint="eastAsia"/>
                <w:color w:val="auto"/>
                <w:u w:val="none"/>
              </w:rPr>
              <w:t>污水处理站运行过程中产生污泥，产生量以降解1kgCOD产生0.1kg污泥算，则项目污泥产生量约</w:t>
            </w:r>
            <w:r>
              <w:rPr>
                <w:rFonts w:hint="eastAsia"/>
                <w:color w:val="auto"/>
                <w:u w:val="none"/>
                <w:lang w:val="en-US" w:eastAsia="zh-CN"/>
              </w:rPr>
              <w:t>195</w:t>
            </w:r>
            <w:r>
              <w:rPr>
                <w:rFonts w:hint="eastAsia"/>
                <w:color w:val="auto"/>
                <w:u w:val="none"/>
              </w:rPr>
              <w:t>t/a，</w:t>
            </w:r>
            <w:r>
              <w:rPr>
                <w:rFonts w:hint="eastAsia"/>
                <w:color w:val="FF0000"/>
                <w:u w:val="none"/>
              </w:rPr>
              <w:t>收集后送</w:t>
            </w:r>
            <w:r>
              <w:rPr>
                <w:rFonts w:hint="eastAsia"/>
                <w:color w:val="FF0000"/>
                <w:u w:val="none"/>
                <w:lang w:val="en-US" w:eastAsia="zh-CN"/>
              </w:rPr>
              <w:t>外售综合利用</w:t>
            </w:r>
            <w:r>
              <w:rPr>
                <w:rFonts w:hint="eastAsia"/>
                <w:color w:val="auto"/>
                <w:u w:val="none"/>
              </w:rPr>
              <w:t>。</w:t>
            </w:r>
          </w:p>
          <w:p w14:paraId="7A7140A8">
            <w:pPr>
              <w:ind w:firstLine="480"/>
              <w:rPr>
                <w:rFonts w:hint="default"/>
                <w:color w:val="auto"/>
                <w:u w:val="none"/>
                <w:lang w:val="en-US"/>
              </w:rPr>
            </w:pPr>
            <w:r>
              <w:rPr>
                <w:rFonts w:hint="eastAsia"/>
                <w:color w:val="auto"/>
                <w:u w:val="none"/>
                <w:lang w:eastAsia="zh-CN"/>
              </w:rPr>
              <w:t>⑥</w:t>
            </w:r>
            <w:r>
              <w:rPr>
                <w:rFonts w:hint="eastAsia"/>
                <w:color w:val="auto"/>
                <w:u w:val="none"/>
                <w:lang w:val="en-US" w:eastAsia="zh-CN"/>
              </w:rPr>
              <w:t>反渗透膜</w:t>
            </w:r>
          </w:p>
          <w:p w14:paraId="5DE762A4">
            <w:pPr>
              <w:ind w:firstLine="480"/>
              <w:rPr>
                <w:rFonts w:hint="eastAsia"/>
                <w:color w:val="auto"/>
                <w:u w:val="none"/>
                <w:lang w:val="en-US" w:eastAsia="zh-CN"/>
              </w:rPr>
            </w:pPr>
            <w:r>
              <w:rPr>
                <w:rFonts w:hint="eastAsia"/>
                <w:color w:val="auto"/>
                <w:u w:val="none"/>
                <w:lang w:val="en-US" w:eastAsia="zh-CN"/>
              </w:rPr>
              <w:t>纯水系统制备过程产生的废渗透膜，产生量约1t/a，由原厂家回收。</w:t>
            </w:r>
          </w:p>
          <w:p w14:paraId="4497A9BC">
            <w:pPr>
              <w:ind w:firstLine="480"/>
              <w:rPr>
                <w:rFonts w:hint="default" w:eastAsia="宋体"/>
                <w:color w:val="auto"/>
                <w:u w:val="none"/>
                <w:lang w:val="en-US" w:eastAsia="zh-CN"/>
              </w:rPr>
            </w:pPr>
            <w:r>
              <w:rPr>
                <w:rFonts w:hint="eastAsia"/>
                <w:color w:val="auto"/>
                <w:u w:val="none"/>
                <w:lang w:val="en-US" w:eastAsia="zh-CN"/>
              </w:rPr>
              <w:t>⑦检测过程中不合格品</w:t>
            </w:r>
          </w:p>
          <w:p w14:paraId="536E3273">
            <w:pPr>
              <w:ind w:firstLine="480"/>
              <w:rPr>
                <w:rFonts w:hint="eastAsia"/>
                <w:color w:val="auto"/>
                <w:u w:val="none"/>
              </w:rPr>
            </w:pPr>
            <w:r>
              <w:rPr>
                <w:rFonts w:hint="eastAsia"/>
                <w:color w:val="auto"/>
                <w:u w:val="none"/>
              </w:rPr>
              <w:t>本项目不合格品产生量约为</w:t>
            </w:r>
            <w:r>
              <w:rPr>
                <w:rFonts w:hint="eastAsia"/>
                <w:color w:val="auto"/>
                <w:u w:val="none"/>
                <w:lang w:val="en-US" w:eastAsia="zh-CN"/>
              </w:rPr>
              <w:t>0.5</w:t>
            </w:r>
            <w:r>
              <w:rPr>
                <w:rFonts w:hint="eastAsia"/>
                <w:color w:val="auto"/>
                <w:u w:val="none"/>
              </w:rPr>
              <w:t>t/a</w:t>
            </w:r>
            <w:r>
              <w:rPr>
                <w:rFonts w:hint="eastAsia"/>
                <w:color w:val="auto"/>
                <w:u w:val="none"/>
                <w:lang w:eastAsia="zh-CN"/>
              </w:rPr>
              <w:t>，</w:t>
            </w:r>
            <w:r>
              <w:rPr>
                <w:rFonts w:hint="eastAsia"/>
                <w:color w:val="auto"/>
                <w:u w:val="none"/>
                <w:lang w:val="en-US" w:eastAsia="zh-CN"/>
              </w:rPr>
              <w:t>出售给有机肥厂制作有机肥</w:t>
            </w:r>
            <w:r>
              <w:rPr>
                <w:rFonts w:hint="eastAsia"/>
                <w:color w:val="auto"/>
                <w:u w:val="none"/>
              </w:rPr>
              <w:t>。</w:t>
            </w:r>
          </w:p>
          <w:p w14:paraId="58BD4B8F">
            <w:pPr>
              <w:ind w:firstLine="480"/>
              <w:rPr>
                <w:rFonts w:hint="default" w:eastAsia="宋体"/>
                <w:b/>
                <w:bCs/>
                <w:color w:val="auto"/>
                <w:u w:val="none"/>
                <w:lang w:val="en-US" w:eastAsia="zh-CN"/>
              </w:rPr>
            </w:pPr>
            <w:r>
              <w:rPr>
                <w:rFonts w:hint="eastAsia"/>
                <w:b/>
                <w:bCs/>
                <w:color w:val="auto"/>
                <w:u w:val="none"/>
                <w:lang w:eastAsia="zh-CN"/>
              </w:rPr>
              <w:t>（</w:t>
            </w:r>
            <w:r>
              <w:rPr>
                <w:rFonts w:hint="eastAsia"/>
                <w:b/>
                <w:bCs/>
                <w:color w:val="auto"/>
                <w:u w:val="none"/>
                <w:lang w:val="en-US" w:eastAsia="zh-CN"/>
              </w:rPr>
              <w:t>2</w:t>
            </w:r>
            <w:r>
              <w:rPr>
                <w:rFonts w:hint="eastAsia"/>
                <w:b/>
                <w:bCs/>
                <w:color w:val="auto"/>
                <w:u w:val="none"/>
                <w:lang w:eastAsia="zh-CN"/>
              </w:rPr>
              <w:t>）</w:t>
            </w:r>
            <w:r>
              <w:rPr>
                <w:rFonts w:hint="eastAsia"/>
                <w:b/>
                <w:bCs/>
                <w:color w:val="auto"/>
                <w:u w:val="none"/>
                <w:lang w:val="en-US" w:eastAsia="zh-CN"/>
              </w:rPr>
              <w:t>危险废物</w:t>
            </w:r>
          </w:p>
          <w:p w14:paraId="185902EC">
            <w:pPr>
              <w:ind w:firstLine="480"/>
              <w:rPr>
                <w:rFonts w:hint="eastAsia"/>
                <w:color w:val="auto"/>
                <w:u w:val="none"/>
              </w:rPr>
            </w:pPr>
            <w:r>
              <w:rPr>
                <w:rFonts w:hint="eastAsia"/>
                <w:color w:val="auto"/>
                <w:u w:val="none"/>
                <w:lang w:eastAsia="zh-CN"/>
              </w:rPr>
              <w:t>①</w:t>
            </w:r>
            <w:r>
              <w:rPr>
                <w:rFonts w:hint="eastAsia"/>
                <w:color w:val="auto"/>
                <w:u w:val="none"/>
              </w:rPr>
              <w:t>实验室废包装</w:t>
            </w:r>
          </w:p>
          <w:p w14:paraId="189A1E26">
            <w:pPr>
              <w:ind w:firstLine="480"/>
              <w:rPr>
                <w:rFonts w:hint="eastAsia"/>
                <w:color w:val="auto"/>
                <w:u w:val="none"/>
              </w:rPr>
            </w:pPr>
            <w:r>
              <w:rPr>
                <w:rFonts w:hint="eastAsia"/>
                <w:color w:val="auto"/>
                <w:u w:val="none"/>
              </w:rPr>
              <w:t>项目实验室药品用量很少，废包装产生量约0.01t/a，属于危险废物，</w:t>
            </w:r>
            <w:r>
              <w:rPr>
                <w:rFonts w:hint="eastAsia"/>
                <w:color w:val="auto"/>
                <w:u w:val="none"/>
                <w:lang w:val="en-US" w:eastAsia="zh-CN"/>
              </w:rPr>
              <w:t>代码为“HW49其他废物900-047-49”</w:t>
            </w:r>
            <w:r>
              <w:rPr>
                <w:rFonts w:hint="eastAsia"/>
                <w:color w:val="auto"/>
                <w:u w:val="none"/>
                <w:lang w:eastAsia="zh-CN"/>
              </w:rPr>
              <w:t>，</w:t>
            </w:r>
            <w:r>
              <w:rPr>
                <w:rFonts w:hint="eastAsia"/>
                <w:color w:val="auto"/>
                <w:u w:val="none"/>
                <w:lang w:val="en-US" w:eastAsia="zh-CN"/>
              </w:rPr>
              <w:t>暂存于危废暂存间，</w:t>
            </w:r>
            <w:r>
              <w:rPr>
                <w:rFonts w:hint="eastAsia"/>
                <w:color w:val="auto"/>
                <w:u w:val="none"/>
              </w:rPr>
              <w:t>交由资质单位处理。</w:t>
            </w:r>
          </w:p>
          <w:p w14:paraId="4D8C3C1D">
            <w:pPr>
              <w:ind w:firstLine="480"/>
              <w:rPr>
                <w:rFonts w:hint="eastAsia"/>
                <w:color w:val="auto"/>
                <w:u w:val="none"/>
              </w:rPr>
            </w:pPr>
            <w:r>
              <w:rPr>
                <w:rFonts w:hint="eastAsia"/>
                <w:color w:val="auto"/>
                <w:u w:val="none"/>
                <w:lang w:eastAsia="zh-CN"/>
              </w:rPr>
              <w:t>②</w:t>
            </w:r>
            <w:r>
              <w:rPr>
                <w:rFonts w:hint="eastAsia"/>
                <w:color w:val="auto"/>
                <w:u w:val="none"/>
              </w:rPr>
              <w:t>实验废液</w:t>
            </w:r>
          </w:p>
          <w:p w14:paraId="0B09D9E4">
            <w:pPr>
              <w:ind w:firstLine="480"/>
              <w:rPr>
                <w:rFonts w:hint="eastAsia"/>
                <w:color w:val="auto"/>
                <w:u w:val="none"/>
              </w:rPr>
            </w:pPr>
            <w:r>
              <w:rPr>
                <w:rFonts w:hint="eastAsia"/>
                <w:color w:val="auto"/>
                <w:u w:val="none"/>
              </w:rPr>
              <w:t>实验废液产生量</w:t>
            </w:r>
            <w:r>
              <w:rPr>
                <w:rFonts w:hint="eastAsia"/>
                <w:color w:val="auto"/>
                <w:u w:val="none"/>
                <w:lang w:val="en-US" w:eastAsia="zh-CN"/>
              </w:rPr>
              <w:t>5.76</w:t>
            </w:r>
            <w:r>
              <w:rPr>
                <w:rFonts w:hint="eastAsia"/>
                <w:color w:val="auto"/>
                <w:u w:val="none"/>
              </w:rPr>
              <w:t>t/a，属于危险废物，</w:t>
            </w:r>
            <w:r>
              <w:rPr>
                <w:rFonts w:hint="eastAsia"/>
                <w:color w:val="auto"/>
                <w:u w:val="none"/>
                <w:lang w:val="en-US" w:eastAsia="zh-CN"/>
              </w:rPr>
              <w:t>代码为“HW49其他废物900-047-49”</w:t>
            </w:r>
            <w:r>
              <w:rPr>
                <w:rFonts w:hint="eastAsia"/>
                <w:color w:val="auto"/>
                <w:u w:val="none"/>
                <w:lang w:eastAsia="zh-CN"/>
              </w:rPr>
              <w:t>，</w:t>
            </w:r>
            <w:r>
              <w:rPr>
                <w:rFonts w:hint="eastAsia"/>
                <w:color w:val="auto"/>
                <w:u w:val="none"/>
                <w:lang w:val="en-US" w:eastAsia="zh-CN"/>
              </w:rPr>
              <w:t>暂存于危废暂存间，定期交有资质</w:t>
            </w:r>
            <w:r>
              <w:rPr>
                <w:rFonts w:hint="eastAsia"/>
                <w:color w:val="auto"/>
                <w:u w:val="none"/>
              </w:rPr>
              <w:t>单位处置。</w:t>
            </w:r>
          </w:p>
          <w:p w14:paraId="5A90604D">
            <w:pPr>
              <w:ind w:firstLine="480"/>
              <w:rPr>
                <w:rFonts w:hint="eastAsia"/>
                <w:b/>
                <w:bCs/>
                <w:color w:val="auto"/>
                <w:u w:val="single"/>
              </w:rPr>
            </w:pPr>
            <w:r>
              <w:rPr>
                <w:rFonts w:hint="eastAsia"/>
                <w:b/>
                <w:bCs/>
                <w:color w:val="auto"/>
                <w:u w:val="single"/>
                <w:lang w:eastAsia="zh-CN"/>
              </w:rPr>
              <w:t>③</w:t>
            </w:r>
            <w:r>
              <w:rPr>
                <w:rFonts w:hint="eastAsia"/>
                <w:b/>
                <w:bCs/>
                <w:color w:val="auto"/>
                <w:u w:val="single"/>
              </w:rPr>
              <w:t>废活性炭</w:t>
            </w:r>
          </w:p>
          <w:p w14:paraId="6B5C69CF">
            <w:pPr>
              <w:ind w:firstLine="480"/>
              <w:rPr>
                <w:rFonts w:hint="eastAsia"/>
                <w:b/>
                <w:bCs/>
                <w:color w:val="auto"/>
                <w:u w:val="single"/>
              </w:rPr>
            </w:pPr>
            <w:r>
              <w:rPr>
                <w:rFonts w:hint="eastAsia"/>
                <w:b/>
                <w:bCs/>
                <w:color w:val="auto"/>
                <w:u w:val="single"/>
              </w:rPr>
              <w:t>本项目异味治理中使用的活性炭吸附饱和后需定期更换，中药生产过程中产生的异味</w:t>
            </w:r>
            <w:r>
              <w:rPr>
                <w:rFonts w:hint="eastAsia"/>
                <w:b/>
                <w:bCs/>
                <w:color w:val="auto"/>
                <w:u w:val="single"/>
                <w:lang w:val="en-US" w:eastAsia="zh-CN"/>
              </w:rPr>
              <w:t>以臭气浓度表示，具体产生量难以量化</w:t>
            </w:r>
            <w:r>
              <w:rPr>
                <w:rFonts w:hint="eastAsia"/>
                <w:b/>
                <w:bCs/>
                <w:color w:val="auto"/>
                <w:u w:val="single"/>
                <w:lang w:eastAsia="zh-CN"/>
              </w:rPr>
              <w:t>，</w:t>
            </w:r>
            <w:r>
              <w:rPr>
                <w:rFonts w:hint="eastAsia"/>
                <w:b/>
                <w:bCs/>
                <w:color w:val="auto"/>
                <w:u w:val="single"/>
                <w:lang w:val="en-US" w:eastAsia="zh-CN"/>
              </w:rPr>
              <w:t>因此</w:t>
            </w:r>
            <w:r>
              <w:rPr>
                <w:rFonts w:hint="eastAsia"/>
                <w:b/>
                <w:bCs/>
                <w:color w:val="auto"/>
                <w:u w:val="single"/>
              </w:rPr>
              <w:t>类比同类主要进行中药生产企业</w:t>
            </w:r>
            <w:r>
              <w:rPr>
                <w:rFonts w:hint="eastAsia"/>
                <w:b/>
                <w:bCs/>
                <w:color w:val="auto"/>
                <w:u w:val="single"/>
                <w:lang w:val="en-US" w:eastAsia="zh-CN"/>
              </w:rPr>
              <w:t>中药材异味</w:t>
            </w:r>
            <w:r>
              <w:rPr>
                <w:rFonts w:hint="eastAsia"/>
                <w:b/>
                <w:bCs/>
                <w:color w:val="auto"/>
                <w:u w:val="single"/>
              </w:rPr>
              <w:t>处理废活性炭使用量约10t/a。废活性炭属于危险废物，</w:t>
            </w:r>
            <w:r>
              <w:rPr>
                <w:rFonts w:hint="eastAsia"/>
                <w:b/>
                <w:bCs/>
                <w:color w:val="auto"/>
                <w:u w:val="single"/>
                <w:lang w:val="en-US" w:eastAsia="zh-CN"/>
              </w:rPr>
              <w:t>代码为“HW49其他废物900-041-49”</w:t>
            </w:r>
            <w:r>
              <w:rPr>
                <w:rFonts w:hint="eastAsia"/>
                <w:b/>
                <w:bCs/>
                <w:color w:val="auto"/>
                <w:u w:val="single"/>
                <w:lang w:eastAsia="zh-CN"/>
              </w:rPr>
              <w:t>，</w:t>
            </w:r>
            <w:r>
              <w:rPr>
                <w:rFonts w:hint="eastAsia"/>
                <w:b/>
                <w:bCs/>
                <w:color w:val="auto"/>
                <w:u w:val="single"/>
                <w:lang w:val="en-US" w:eastAsia="zh-CN"/>
              </w:rPr>
              <w:t>暂存于危废暂存间，定期交有资质</w:t>
            </w:r>
            <w:r>
              <w:rPr>
                <w:rFonts w:hint="eastAsia"/>
                <w:b/>
                <w:bCs/>
                <w:color w:val="auto"/>
                <w:u w:val="single"/>
              </w:rPr>
              <w:t>单位处置。</w:t>
            </w:r>
          </w:p>
          <w:p w14:paraId="737F89FA">
            <w:pPr>
              <w:ind w:firstLine="480"/>
              <w:rPr>
                <w:rFonts w:hint="eastAsia" w:eastAsia="宋体"/>
                <w:color w:val="auto"/>
                <w:u w:val="none"/>
                <w:lang w:val="en-US" w:eastAsia="zh-CN"/>
              </w:rPr>
            </w:pPr>
            <w:r>
              <w:rPr>
                <w:rFonts w:hint="eastAsia"/>
                <w:color w:val="auto"/>
                <w:u w:val="none"/>
                <w:lang w:eastAsia="zh-CN"/>
              </w:rPr>
              <w:t>④</w:t>
            </w:r>
            <w:r>
              <w:rPr>
                <w:rFonts w:hint="eastAsia"/>
                <w:color w:val="auto"/>
                <w:u w:val="none"/>
                <w:lang w:val="en-US" w:eastAsia="zh-CN"/>
              </w:rPr>
              <w:t>毒性</w:t>
            </w:r>
            <w:r>
              <w:rPr>
                <w:rFonts w:hint="eastAsia"/>
                <w:color w:val="auto"/>
                <w:u w:val="none"/>
              </w:rPr>
              <w:t>药材废弃物</w:t>
            </w:r>
          </w:p>
          <w:p w14:paraId="44DB2D07">
            <w:pPr>
              <w:ind w:firstLine="480"/>
              <w:rPr>
                <w:rFonts w:hint="eastAsia"/>
                <w:color w:val="auto"/>
                <w:u w:val="none"/>
              </w:rPr>
            </w:pPr>
            <w:r>
              <w:rPr>
                <w:rFonts w:hint="eastAsia"/>
                <w:color w:val="auto"/>
                <w:u w:val="none"/>
              </w:rPr>
              <w:t>废药材主要来源于筛选分级、切制等工序，主要为原生中药材的非药用部分。根据企业提供数据，</w:t>
            </w:r>
            <w:r>
              <w:rPr>
                <w:rFonts w:hint="eastAsia"/>
                <w:color w:val="auto"/>
                <w:u w:val="none"/>
                <w:lang w:val="en-US" w:eastAsia="zh-CN"/>
              </w:rPr>
              <w:t>药材废弃物</w:t>
            </w:r>
            <w:r>
              <w:rPr>
                <w:rFonts w:hint="eastAsia"/>
                <w:color w:val="auto"/>
                <w:u w:val="none"/>
              </w:rPr>
              <w:t>占原药材用量的</w:t>
            </w:r>
            <w:r>
              <w:rPr>
                <w:rFonts w:hint="eastAsia"/>
                <w:color w:val="auto"/>
                <w:u w:val="none"/>
                <w:lang w:val="en-US" w:eastAsia="zh-CN"/>
              </w:rPr>
              <w:t>3</w:t>
            </w:r>
            <w:r>
              <w:rPr>
                <w:rFonts w:hint="eastAsia"/>
                <w:color w:val="auto"/>
                <w:u w:val="none"/>
              </w:rPr>
              <w:t>%左右，本项目原生中药材用量为</w:t>
            </w:r>
            <w:r>
              <w:rPr>
                <w:rFonts w:hint="eastAsia"/>
                <w:color w:val="auto"/>
                <w:u w:val="none"/>
                <w:lang w:val="en-US" w:eastAsia="zh-CN"/>
              </w:rPr>
              <w:t>160</w:t>
            </w:r>
            <w:r>
              <w:rPr>
                <w:rFonts w:hint="eastAsia"/>
                <w:color w:val="auto"/>
                <w:u w:val="none"/>
              </w:rPr>
              <w:t>t/a，则废药材产生量约为</w:t>
            </w:r>
            <w:r>
              <w:rPr>
                <w:rFonts w:hint="eastAsia"/>
                <w:color w:val="auto"/>
                <w:u w:val="none"/>
                <w:lang w:val="en-US" w:eastAsia="zh-CN"/>
              </w:rPr>
              <w:t>4.8</w:t>
            </w:r>
            <w:r>
              <w:rPr>
                <w:rFonts w:hint="eastAsia"/>
                <w:color w:val="auto"/>
                <w:u w:val="none"/>
              </w:rPr>
              <w:t>t/a。该部分固体废物属于危废，代码为“HW03废药物、药品900-002-03《医疗用毒性药品管理办法》中所列的毒性中药”类危险废物。收集于危废暂存间内，定期交由有资质单位处置。</w:t>
            </w:r>
          </w:p>
          <w:p w14:paraId="32E2CAE5">
            <w:pPr>
              <w:ind w:firstLine="480"/>
              <w:rPr>
                <w:rFonts w:hint="default" w:eastAsia="宋体"/>
                <w:b/>
                <w:bCs/>
                <w:color w:val="auto"/>
                <w:u w:val="single"/>
                <w:lang w:val="en-US" w:eastAsia="zh-CN"/>
              </w:rPr>
            </w:pPr>
            <w:r>
              <w:rPr>
                <w:rFonts w:hint="eastAsia"/>
                <w:b/>
                <w:bCs/>
                <w:color w:val="auto"/>
                <w:u w:val="single"/>
                <w:lang w:eastAsia="zh-CN"/>
              </w:rPr>
              <w:t>⑤</w:t>
            </w:r>
            <w:r>
              <w:rPr>
                <w:rFonts w:hint="eastAsia"/>
                <w:b/>
                <w:bCs/>
                <w:color w:val="auto"/>
                <w:u w:val="single"/>
                <w:lang w:val="en-US" w:eastAsia="zh-CN"/>
              </w:rPr>
              <w:t>毒性饮片生产线药渣</w:t>
            </w:r>
          </w:p>
          <w:p w14:paraId="12D0F624">
            <w:pPr>
              <w:ind w:firstLine="480"/>
              <w:rPr>
                <w:rFonts w:hint="eastAsia"/>
                <w:b/>
                <w:bCs/>
                <w:color w:val="auto"/>
                <w:u w:val="single"/>
              </w:rPr>
            </w:pPr>
            <w:r>
              <w:rPr>
                <w:rFonts w:hint="eastAsia"/>
                <w:b/>
                <w:bCs/>
                <w:color w:val="auto"/>
                <w:u w:val="single"/>
              </w:rPr>
              <w:t>项目</w:t>
            </w:r>
            <w:r>
              <w:rPr>
                <w:rFonts w:hint="eastAsia"/>
                <w:b/>
                <w:bCs/>
                <w:color w:val="auto"/>
                <w:u w:val="single"/>
                <w:lang w:val="en-US" w:eastAsia="zh-CN"/>
              </w:rPr>
              <w:t>提取工序会产生药渣，</w:t>
            </w:r>
            <w:r>
              <w:rPr>
                <w:rFonts w:hint="eastAsia"/>
                <w:b/>
                <w:bCs/>
                <w:color w:val="auto"/>
                <w:u w:val="single"/>
              </w:rPr>
              <w:t>产生量约</w:t>
            </w:r>
            <w:r>
              <w:rPr>
                <w:rFonts w:hint="eastAsia"/>
                <w:b/>
                <w:bCs/>
                <w:color w:val="auto"/>
                <w:u w:val="single"/>
                <w:lang w:val="en-US" w:eastAsia="zh-CN"/>
              </w:rPr>
              <w:t>4</w:t>
            </w:r>
            <w:r>
              <w:rPr>
                <w:rFonts w:hint="eastAsia"/>
                <w:b/>
                <w:bCs/>
                <w:color w:val="auto"/>
                <w:u w:val="single"/>
              </w:rPr>
              <w:t>t/a。该部分固体废物属于危废，代码为“HW03废药物、药品900-002-03《医疗用毒性药品管理办法》中所列的毒性中药”类危险废物。收集于危废暂存间内，定期交由有资质单位处置。</w:t>
            </w:r>
          </w:p>
          <w:p w14:paraId="1A4B9C9A">
            <w:pPr>
              <w:ind w:firstLine="480"/>
              <w:rPr>
                <w:rFonts w:hint="default" w:eastAsia="宋体"/>
                <w:color w:val="auto"/>
                <w:u w:val="none"/>
                <w:lang w:val="en-US" w:eastAsia="zh-CN"/>
              </w:rPr>
            </w:pPr>
            <w:r>
              <w:rPr>
                <w:rFonts w:hint="eastAsia"/>
                <w:color w:val="auto"/>
                <w:u w:val="none"/>
                <w:lang w:eastAsia="zh-CN"/>
              </w:rPr>
              <w:t>⑥</w:t>
            </w:r>
            <w:r>
              <w:rPr>
                <w:rFonts w:hint="eastAsia"/>
                <w:color w:val="auto"/>
                <w:u w:val="none"/>
                <w:lang w:val="en-US" w:eastAsia="zh-CN"/>
              </w:rPr>
              <w:t>毒性饮片生产线除尘器收集药尘</w:t>
            </w:r>
          </w:p>
          <w:p w14:paraId="6E1983E1">
            <w:pPr>
              <w:ind w:firstLine="480"/>
              <w:rPr>
                <w:rFonts w:hint="eastAsia"/>
                <w:color w:val="auto"/>
                <w:u w:val="none"/>
              </w:rPr>
            </w:pPr>
            <w:r>
              <w:rPr>
                <w:rFonts w:hint="eastAsia"/>
                <w:color w:val="auto"/>
                <w:u w:val="none"/>
                <w:lang w:val="en-US" w:eastAsia="zh-CN"/>
              </w:rPr>
              <w:t>项目袋式除尘器及洁净区空气过滤系统截留的粉尘</w:t>
            </w:r>
            <w:r>
              <w:rPr>
                <w:rFonts w:hint="eastAsia"/>
                <w:color w:val="auto"/>
                <w:u w:val="none"/>
              </w:rPr>
              <w:t>共</w:t>
            </w:r>
            <w:r>
              <w:rPr>
                <w:rFonts w:hint="eastAsia"/>
                <w:color w:val="auto"/>
                <w:u w:val="none"/>
                <w:lang w:val="en-US" w:eastAsia="zh-CN"/>
              </w:rPr>
              <w:t>0.7524</w:t>
            </w:r>
            <w:r>
              <w:rPr>
                <w:rFonts w:hint="eastAsia"/>
                <w:color w:val="auto"/>
                <w:u w:val="none"/>
              </w:rPr>
              <w:t>t/a</w:t>
            </w:r>
            <w:r>
              <w:rPr>
                <w:rFonts w:hint="eastAsia"/>
                <w:color w:val="auto"/>
                <w:u w:val="none"/>
                <w:lang w:eastAsia="zh-CN"/>
              </w:rPr>
              <w:t>，</w:t>
            </w:r>
            <w:r>
              <w:rPr>
                <w:rFonts w:hint="eastAsia"/>
                <w:color w:val="auto"/>
                <w:u w:val="none"/>
              </w:rPr>
              <w:t>该部分固体废物属于危废，代码为“HW03废药物、药品900-002-03《医疗用毒性药品管理办法》中所列的毒性中药”类危险废物。收集于危废暂存间内，定期交由有资质单位处置。</w:t>
            </w:r>
          </w:p>
          <w:p w14:paraId="7AFD1275">
            <w:pPr>
              <w:ind w:firstLine="480"/>
              <w:rPr>
                <w:rFonts w:hint="eastAsia"/>
                <w:color w:val="auto"/>
                <w:u w:val="none"/>
                <w:lang w:eastAsia="zh-CN"/>
              </w:rPr>
            </w:pPr>
            <w:r>
              <w:rPr>
                <w:rFonts w:hint="eastAsia"/>
                <w:color w:val="auto"/>
                <w:u w:val="none"/>
                <w:lang w:val="en-US" w:eastAsia="zh-CN"/>
              </w:rPr>
              <w:t>⑦毒性饮片检验过程中不合格品</w:t>
            </w:r>
          </w:p>
          <w:p w14:paraId="46212EDD">
            <w:pPr>
              <w:ind w:firstLine="480"/>
              <w:rPr>
                <w:rFonts w:hint="eastAsia"/>
                <w:color w:val="auto"/>
                <w:u w:val="none"/>
              </w:rPr>
            </w:pPr>
            <w:r>
              <w:rPr>
                <w:rFonts w:hint="eastAsia"/>
                <w:color w:val="auto"/>
                <w:u w:val="none"/>
              </w:rPr>
              <w:t>在产品检查、包装过程会产生不合格品，本项目不合格品产生量约为0.</w:t>
            </w:r>
            <w:r>
              <w:rPr>
                <w:rFonts w:hint="eastAsia"/>
                <w:color w:val="auto"/>
                <w:u w:val="none"/>
                <w:lang w:val="en-US" w:eastAsia="zh-CN"/>
              </w:rPr>
              <w:t>05</w:t>
            </w:r>
            <w:r>
              <w:rPr>
                <w:rFonts w:hint="eastAsia"/>
                <w:color w:val="auto"/>
                <w:u w:val="none"/>
              </w:rPr>
              <w:t>t/a，为“HW03废药物、药品900-002-03《医疗用毒性药品管理办法》中所列的毒性中药”类危险废物。收集于危废暂存间内，定期交由有资质单位处置。</w:t>
            </w:r>
          </w:p>
          <w:p w14:paraId="1CCED83D">
            <w:pPr>
              <w:ind w:firstLine="480"/>
              <w:rPr>
                <w:rFonts w:hint="eastAsia"/>
                <w:color w:val="auto"/>
                <w:u w:val="none"/>
              </w:rPr>
            </w:pPr>
            <w:r>
              <w:rPr>
                <w:rFonts w:hint="eastAsia"/>
                <w:color w:val="auto"/>
                <w:u w:val="none"/>
                <w:lang w:eastAsia="zh-CN"/>
              </w:rPr>
              <w:t>⑧</w:t>
            </w:r>
            <w:r>
              <w:rPr>
                <w:rFonts w:hint="eastAsia"/>
                <w:color w:val="auto"/>
                <w:u w:val="none"/>
              </w:rPr>
              <w:t>解毒池沉渣</w:t>
            </w:r>
          </w:p>
          <w:p w14:paraId="41A6E2DA">
            <w:pPr>
              <w:ind w:firstLine="480"/>
              <w:rPr>
                <w:rFonts w:hint="eastAsia"/>
                <w:color w:val="auto"/>
                <w:u w:val="none"/>
              </w:rPr>
            </w:pPr>
            <w:r>
              <w:rPr>
                <w:rFonts w:hint="eastAsia"/>
                <w:color w:val="auto"/>
                <w:u w:val="none"/>
              </w:rPr>
              <w:t>本项目解毒池沉渣产生量约0.</w:t>
            </w:r>
            <w:r>
              <w:rPr>
                <w:rFonts w:hint="eastAsia"/>
                <w:color w:val="auto"/>
                <w:u w:val="none"/>
                <w:lang w:val="en-US" w:eastAsia="zh-CN"/>
              </w:rPr>
              <w:t>05</w:t>
            </w:r>
            <w:r>
              <w:rPr>
                <w:rFonts w:hint="eastAsia"/>
                <w:color w:val="auto"/>
                <w:u w:val="none"/>
              </w:rPr>
              <w:t>t/a</w:t>
            </w:r>
            <w:r>
              <w:rPr>
                <w:rFonts w:hint="eastAsia"/>
                <w:color w:val="auto"/>
                <w:u w:val="none"/>
                <w:lang w:eastAsia="zh-CN"/>
              </w:rPr>
              <w:t>，</w:t>
            </w:r>
            <w:r>
              <w:rPr>
                <w:rFonts w:hint="eastAsia"/>
                <w:color w:val="auto"/>
                <w:u w:val="none"/>
              </w:rPr>
              <w:t>为“HW03废药物、药品900-002-03《医疗用毒性药品管理办法》中所列的毒性中药”类危险废物。收集于危废暂存间内，定期交由有资质单位处置。</w:t>
            </w:r>
          </w:p>
          <w:p w14:paraId="3493BCE7">
            <w:pPr>
              <w:ind w:firstLine="480"/>
              <w:rPr>
                <w:rFonts w:hint="eastAsia"/>
                <w:b/>
                <w:bCs/>
                <w:color w:val="auto"/>
                <w:u w:val="none"/>
              </w:rPr>
            </w:pPr>
            <w:r>
              <w:rPr>
                <w:rFonts w:hint="eastAsia"/>
                <w:b/>
                <w:bCs/>
                <w:color w:val="auto"/>
                <w:u w:val="none"/>
              </w:rPr>
              <w:t>（</w:t>
            </w:r>
            <w:r>
              <w:rPr>
                <w:rFonts w:hint="eastAsia"/>
                <w:b/>
                <w:bCs/>
                <w:color w:val="auto"/>
                <w:u w:val="none"/>
                <w:lang w:val="en-US" w:eastAsia="zh-CN"/>
              </w:rPr>
              <w:t>3</w:t>
            </w:r>
            <w:r>
              <w:rPr>
                <w:rFonts w:hint="eastAsia"/>
                <w:b/>
                <w:bCs/>
                <w:color w:val="auto"/>
                <w:u w:val="none"/>
              </w:rPr>
              <w:t>）生活垃圾</w:t>
            </w:r>
          </w:p>
          <w:p w14:paraId="01E2DB05">
            <w:pPr>
              <w:ind w:firstLine="480"/>
              <w:rPr>
                <w:rFonts w:hint="eastAsia"/>
                <w:color w:val="auto"/>
                <w:u w:val="none"/>
              </w:rPr>
            </w:pPr>
            <w:r>
              <w:rPr>
                <w:rFonts w:hint="eastAsia"/>
                <w:color w:val="auto"/>
                <w:u w:val="none"/>
              </w:rPr>
              <w:t>本项目定员100人，员工生活垃圾按人均产生量0.5kg/d·人计算，垃圾产生量1</w:t>
            </w:r>
            <w:r>
              <w:rPr>
                <w:rFonts w:hint="eastAsia"/>
                <w:color w:val="auto"/>
                <w:u w:val="none"/>
                <w:lang w:val="en-US" w:eastAsia="zh-CN"/>
              </w:rPr>
              <w:t>6</w:t>
            </w:r>
            <w:r>
              <w:rPr>
                <w:rFonts w:hint="eastAsia"/>
                <w:color w:val="auto"/>
                <w:u w:val="none"/>
              </w:rPr>
              <w:t>t/a，委托环卫部门进行处置。</w:t>
            </w:r>
          </w:p>
          <w:p w14:paraId="3C40BB95">
            <w:pPr>
              <w:keepNext w:val="0"/>
              <w:keepLines w:val="0"/>
              <w:pageBreakBefore w:val="0"/>
              <w:widowControl w:val="0"/>
              <w:tabs>
                <w:tab w:val="left" w:pos="6720"/>
              </w:tabs>
              <w:kinsoku/>
              <w:wordWrap w:val="0"/>
              <w:overflowPunct/>
              <w:topLinePunct w:val="0"/>
              <w:autoSpaceDE/>
              <w:autoSpaceDN/>
              <w:bidi w:val="0"/>
              <w:adjustRightInd/>
              <w:snapToGrid/>
              <w:ind w:firstLine="0" w:firstLineChars="0"/>
              <w:textAlignment w:val="auto"/>
              <w:rPr>
                <w:b/>
                <w:color w:val="auto"/>
                <w:u w:val="none"/>
              </w:rPr>
            </w:pPr>
            <w:r>
              <w:rPr>
                <w:rFonts w:hint="eastAsia"/>
                <w:b/>
                <w:color w:val="auto"/>
                <w:u w:val="none"/>
                <w:lang w:val="en-US" w:eastAsia="zh-CN"/>
              </w:rPr>
              <w:t>2</w:t>
            </w:r>
            <w:r>
              <w:rPr>
                <w:rFonts w:hint="eastAsia"/>
                <w:b/>
                <w:color w:val="auto"/>
                <w:u w:val="none"/>
              </w:rPr>
              <w:t>.防治措施及影响分析</w:t>
            </w:r>
          </w:p>
          <w:p w14:paraId="34E225B8">
            <w:pPr>
              <w:keepNext w:val="0"/>
              <w:keepLines w:val="0"/>
              <w:pageBreakBefore w:val="0"/>
              <w:widowControl w:val="0"/>
              <w:numPr>
                <w:ilvl w:val="0"/>
                <w:numId w:val="9"/>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lang w:val="zh-CN"/>
              </w:rPr>
            </w:pPr>
            <w:r>
              <w:rPr>
                <w:rFonts w:hint="eastAsia" w:ascii="Times New Roman" w:hAnsi="Times New Roman" w:eastAsia="宋体" w:cs="Times New Roman"/>
                <w:b/>
                <w:bCs/>
                <w:color w:val="auto"/>
                <w:sz w:val="21"/>
                <w:szCs w:val="21"/>
                <w:lang w:val="zh-CN"/>
              </w:rPr>
              <w:t>本项目固体废物产生及处理情况一览表</w:t>
            </w:r>
          </w:p>
          <w:tbl>
            <w:tblPr>
              <w:tblStyle w:val="20"/>
              <w:tblW w:w="4996"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54"/>
              <w:gridCol w:w="652"/>
              <w:gridCol w:w="1167"/>
              <w:gridCol w:w="905"/>
              <w:gridCol w:w="636"/>
              <w:gridCol w:w="890"/>
              <w:gridCol w:w="782"/>
              <w:gridCol w:w="1004"/>
              <w:gridCol w:w="699"/>
              <w:gridCol w:w="695"/>
            </w:tblGrid>
            <w:tr w14:paraId="3FA7C7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404" w:type="pct"/>
                  <w:noWrap w:val="0"/>
                  <w:vAlign w:val="center"/>
                </w:tcPr>
                <w:p w14:paraId="763815E9">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bCs/>
                      <w:color w:val="000000"/>
                      <w:sz w:val="21"/>
                      <w:szCs w:val="21"/>
                    </w:rPr>
                  </w:pPr>
                  <w:r>
                    <w:rPr>
                      <w:bCs/>
                      <w:color w:val="000000"/>
                      <w:sz w:val="21"/>
                      <w:szCs w:val="21"/>
                    </w:rPr>
                    <w:t>产生环节</w:t>
                  </w:r>
                </w:p>
              </w:tc>
              <w:tc>
                <w:tcPr>
                  <w:tcW w:w="403" w:type="pct"/>
                  <w:noWrap w:val="0"/>
                  <w:vAlign w:val="center"/>
                </w:tcPr>
                <w:p w14:paraId="791C5983">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bCs/>
                      <w:color w:val="000000"/>
                      <w:sz w:val="21"/>
                      <w:szCs w:val="21"/>
                    </w:rPr>
                  </w:pPr>
                  <w:r>
                    <w:rPr>
                      <w:bCs/>
                      <w:color w:val="000000"/>
                      <w:sz w:val="21"/>
                      <w:szCs w:val="21"/>
                    </w:rPr>
                    <w:t>固废名称</w:t>
                  </w:r>
                </w:p>
              </w:tc>
              <w:tc>
                <w:tcPr>
                  <w:tcW w:w="721" w:type="pct"/>
                  <w:noWrap w:val="0"/>
                  <w:vAlign w:val="center"/>
                </w:tcPr>
                <w:p w14:paraId="5475D322">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bCs/>
                      <w:color w:val="000000"/>
                      <w:sz w:val="21"/>
                      <w:szCs w:val="21"/>
                    </w:rPr>
                  </w:pPr>
                  <w:r>
                    <w:rPr>
                      <w:rFonts w:hint="eastAsia"/>
                      <w:bCs/>
                      <w:color w:val="000000"/>
                      <w:sz w:val="21"/>
                      <w:szCs w:val="21"/>
                    </w:rPr>
                    <w:t>属性及代码</w:t>
                  </w:r>
                </w:p>
              </w:tc>
              <w:tc>
                <w:tcPr>
                  <w:tcW w:w="559" w:type="pct"/>
                  <w:noWrap w:val="0"/>
                  <w:vAlign w:val="center"/>
                </w:tcPr>
                <w:p w14:paraId="6C83B157">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bCs/>
                      <w:color w:val="000000"/>
                      <w:sz w:val="21"/>
                      <w:szCs w:val="21"/>
                    </w:rPr>
                  </w:pPr>
                  <w:r>
                    <w:rPr>
                      <w:rFonts w:hint="eastAsia"/>
                      <w:bCs/>
                      <w:color w:val="000000"/>
                      <w:sz w:val="21"/>
                      <w:szCs w:val="21"/>
                    </w:rPr>
                    <w:t>主要有毒有害物质名称</w:t>
                  </w:r>
                </w:p>
              </w:tc>
              <w:tc>
                <w:tcPr>
                  <w:tcW w:w="393" w:type="pct"/>
                  <w:noWrap w:val="0"/>
                  <w:vAlign w:val="center"/>
                </w:tcPr>
                <w:p w14:paraId="16AFC17F">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rPr>
                  </w:pPr>
                  <w:r>
                    <w:rPr>
                      <w:rFonts w:hint="eastAsia"/>
                      <w:bCs/>
                      <w:color w:val="000000"/>
                      <w:sz w:val="21"/>
                      <w:szCs w:val="21"/>
                    </w:rPr>
                    <w:t>物理</w:t>
                  </w:r>
                </w:p>
                <w:p w14:paraId="716EDF5D">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bCs/>
                      <w:color w:val="000000"/>
                      <w:sz w:val="21"/>
                      <w:szCs w:val="21"/>
                    </w:rPr>
                  </w:pPr>
                  <w:r>
                    <w:rPr>
                      <w:rFonts w:hint="eastAsia"/>
                      <w:bCs/>
                      <w:color w:val="000000"/>
                      <w:sz w:val="21"/>
                      <w:szCs w:val="21"/>
                    </w:rPr>
                    <w:t>性状</w:t>
                  </w:r>
                </w:p>
              </w:tc>
              <w:tc>
                <w:tcPr>
                  <w:tcW w:w="550" w:type="pct"/>
                  <w:noWrap w:val="0"/>
                  <w:vAlign w:val="center"/>
                </w:tcPr>
                <w:p w14:paraId="5ECCB9B1">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bCs/>
                      <w:color w:val="000000"/>
                      <w:sz w:val="21"/>
                      <w:szCs w:val="21"/>
                    </w:rPr>
                  </w:pPr>
                  <w:r>
                    <w:rPr>
                      <w:rFonts w:hint="eastAsia"/>
                      <w:bCs/>
                      <w:color w:val="000000"/>
                      <w:sz w:val="21"/>
                      <w:szCs w:val="21"/>
                    </w:rPr>
                    <w:t>环境危险特性</w:t>
                  </w:r>
                </w:p>
              </w:tc>
              <w:tc>
                <w:tcPr>
                  <w:tcW w:w="483" w:type="pct"/>
                  <w:noWrap w:val="0"/>
                  <w:vAlign w:val="center"/>
                </w:tcPr>
                <w:p w14:paraId="422D771C">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bCs/>
                      <w:color w:val="000000"/>
                      <w:sz w:val="21"/>
                      <w:szCs w:val="21"/>
                    </w:rPr>
                  </w:pPr>
                  <w:r>
                    <w:rPr>
                      <w:rFonts w:hint="eastAsia"/>
                      <w:bCs/>
                      <w:color w:val="000000"/>
                      <w:sz w:val="21"/>
                      <w:szCs w:val="21"/>
                    </w:rPr>
                    <w:t>产生量（t/a）</w:t>
                  </w:r>
                </w:p>
              </w:tc>
              <w:tc>
                <w:tcPr>
                  <w:tcW w:w="620" w:type="pct"/>
                  <w:noWrap w:val="0"/>
                  <w:vAlign w:val="center"/>
                </w:tcPr>
                <w:p w14:paraId="63E96287">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bCs/>
                      <w:color w:val="000000"/>
                      <w:sz w:val="21"/>
                      <w:szCs w:val="21"/>
                    </w:rPr>
                  </w:pPr>
                  <w:r>
                    <w:rPr>
                      <w:rFonts w:hint="eastAsia"/>
                      <w:bCs/>
                      <w:color w:val="000000"/>
                      <w:sz w:val="21"/>
                      <w:szCs w:val="21"/>
                    </w:rPr>
                    <w:t>贮存方式</w:t>
                  </w:r>
                </w:p>
              </w:tc>
              <w:tc>
                <w:tcPr>
                  <w:tcW w:w="432" w:type="pct"/>
                  <w:noWrap w:val="0"/>
                  <w:vAlign w:val="center"/>
                </w:tcPr>
                <w:p w14:paraId="33F42C61">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bCs/>
                      <w:color w:val="000000"/>
                      <w:sz w:val="21"/>
                      <w:szCs w:val="21"/>
                    </w:rPr>
                  </w:pPr>
                  <w:r>
                    <w:rPr>
                      <w:rFonts w:hint="eastAsia"/>
                      <w:bCs/>
                      <w:color w:val="000000"/>
                      <w:sz w:val="21"/>
                      <w:szCs w:val="21"/>
                    </w:rPr>
                    <w:t>利用处置方式和去向</w:t>
                  </w:r>
                </w:p>
              </w:tc>
              <w:tc>
                <w:tcPr>
                  <w:tcW w:w="429" w:type="pct"/>
                  <w:noWrap w:val="0"/>
                  <w:vAlign w:val="center"/>
                </w:tcPr>
                <w:p w14:paraId="30C46878">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bCs/>
                      <w:color w:val="000000"/>
                      <w:sz w:val="21"/>
                      <w:szCs w:val="21"/>
                    </w:rPr>
                  </w:pPr>
                  <w:r>
                    <w:rPr>
                      <w:rFonts w:hint="eastAsia"/>
                      <w:bCs/>
                      <w:color w:val="000000"/>
                      <w:sz w:val="21"/>
                      <w:szCs w:val="21"/>
                    </w:rPr>
                    <w:t>利用或处置量（t/a）</w:t>
                  </w:r>
                </w:p>
              </w:tc>
            </w:tr>
            <w:tr w14:paraId="70579B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04" w:type="pct"/>
                  <w:noWrap w:val="0"/>
                  <w:vAlign w:val="center"/>
                </w:tcPr>
                <w:p w14:paraId="1DD1CA03">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bCs/>
                      <w:color w:val="000000"/>
                      <w:sz w:val="21"/>
                      <w:szCs w:val="21"/>
                      <w:lang w:val="en-US" w:eastAsia="zh-CN"/>
                    </w:rPr>
                  </w:pPr>
                  <w:r>
                    <w:rPr>
                      <w:rFonts w:hint="eastAsia"/>
                      <w:bCs/>
                      <w:color w:val="000000"/>
                      <w:sz w:val="21"/>
                      <w:szCs w:val="21"/>
                      <w:lang w:val="en-US" w:eastAsia="zh-CN"/>
                    </w:rPr>
                    <w:t>药材拣选</w:t>
                  </w:r>
                </w:p>
              </w:tc>
              <w:tc>
                <w:tcPr>
                  <w:tcW w:w="403" w:type="pct"/>
                  <w:noWrap w:val="0"/>
                  <w:vAlign w:val="center"/>
                </w:tcPr>
                <w:p w14:paraId="2F30A452">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bCs/>
                      <w:color w:val="000000"/>
                      <w:sz w:val="21"/>
                      <w:szCs w:val="21"/>
                    </w:rPr>
                  </w:pPr>
                  <w:r>
                    <w:rPr>
                      <w:rFonts w:hint="eastAsia"/>
                      <w:bCs/>
                      <w:color w:val="000000"/>
                      <w:sz w:val="21"/>
                      <w:szCs w:val="21"/>
                    </w:rPr>
                    <w:t>药材废弃物</w:t>
                  </w:r>
                </w:p>
              </w:tc>
              <w:tc>
                <w:tcPr>
                  <w:tcW w:w="721" w:type="pct"/>
                  <w:noWrap w:val="0"/>
                  <w:vAlign w:val="center"/>
                </w:tcPr>
                <w:p w14:paraId="1D01A7E7">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bCs/>
                      <w:color w:val="000000"/>
                      <w:sz w:val="21"/>
                      <w:szCs w:val="21"/>
                    </w:rPr>
                  </w:pPr>
                  <w:r>
                    <w:rPr>
                      <w:rFonts w:hint="eastAsia"/>
                      <w:bCs/>
                      <w:color w:val="000000"/>
                      <w:sz w:val="21"/>
                      <w:szCs w:val="21"/>
                    </w:rPr>
                    <w:t>一般固废900-999-99</w:t>
                  </w:r>
                </w:p>
              </w:tc>
              <w:tc>
                <w:tcPr>
                  <w:tcW w:w="559" w:type="pct"/>
                  <w:noWrap w:val="0"/>
                  <w:vAlign w:val="center"/>
                </w:tcPr>
                <w:p w14:paraId="252F9460">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bCs/>
                      <w:color w:val="000000"/>
                      <w:sz w:val="21"/>
                      <w:szCs w:val="21"/>
                    </w:rPr>
                  </w:pPr>
                  <w:r>
                    <w:rPr>
                      <w:rFonts w:hint="eastAsia"/>
                      <w:bCs/>
                      <w:color w:val="000000"/>
                      <w:sz w:val="21"/>
                      <w:szCs w:val="21"/>
                    </w:rPr>
                    <w:t>/</w:t>
                  </w:r>
                </w:p>
              </w:tc>
              <w:tc>
                <w:tcPr>
                  <w:tcW w:w="393" w:type="pct"/>
                  <w:noWrap w:val="0"/>
                  <w:vAlign w:val="center"/>
                </w:tcPr>
                <w:p w14:paraId="17663667">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bCs/>
                      <w:color w:val="000000"/>
                      <w:sz w:val="21"/>
                      <w:szCs w:val="21"/>
                    </w:rPr>
                  </w:pPr>
                  <w:r>
                    <w:rPr>
                      <w:rFonts w:hint="eastAsia"/>
                      <w:bCs/>
                      <w:color w:val="000000"/>
                      <w:sz w:val="21"/>
                      <w:szCs w:val="21"/>
                    </w:rPr>
                    <w:t>固态</w:t>
                  </w:r>
                </w:p>
              </w:tc>
              <w:tc>
                <w:tcPr>
                  <w:tcW w:w="550" w:type="pct"/>
                  <w:noWrap w:val="0"/>
                  <w:vAlign w:val="center"/>
                </w:tcPr>
                <w:p w14:paraId="60DEB119">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bCs/>
                      <w:color w:val="000000"/>
                      <w:sz w:val="21"/>
                      <w:szCs w:val="21"/>
                    </w:rPr>
                  </w:pPr>
                  <w:r>
                    <w:rPr>
                      <w:rFonts w:hint="eastAsia"/>
                      <w:bCs/>
                      <w:color w:val="000000"/>
                      <w:sz w:val="21"/>
                      <w:szCs w:val="21"/>
                    </w:rPr>
                    <w:t>/</w:t>
                  </w:r>
                </w:p>
              </w:tc>
              <w:tc>
                <w:tcPr>
                  <w:tcW w:w="483" w:type="pct"/>
                  <w:noWrap w:val="0"/>
                  <w:vAlign w:val="center"/>
                </w:tcPr>
                <w:p w14:paraId="25B7F29B">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bCs/>
                      <w:color w:val="000000"/>
                      <w:sz w:val="21"/>
                      <w:szCs w:val="21"/>
                      <w:lang w:val="en-US" w:eastAsia="zh-CN"/>
                    </w:rPr>
                  </w:pPr>
                  <w:r>
                    <w:rPr>
                      <w:rFonts w:hint="eastAsia"/>
                      <w:bCs/>
                      <w:color w:val="000000"/>
                      <w:sz w:val="21"/>
                      <w:szCs w:val="21"/>
                      <w:lang w:val="en-US" w:eastAsia="zh-CN"/>
                    </w:rPr>
                    <w:t>90</w:t>
                  </w:r>
                </w:p>
              </w:tc>
              <w:tc>
                <w:tcPr>
                  <w:tcW w:w="620" w:type="pct"/>
                  <w:noWrap w:val="0"/>
                  <w:vAlign w:val="center"/>
                </w:tcPr>
                <w:p w14:paraId="15E9E77E">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bCs/>
                      <w:color w:val="000000"/>
                      <w:sz w:val="21"/>
                      <w:szCs w:val="21"/>
                    </w:rPr>
                  </w:pPr>
                  <w:r>
                    <w:rPr>
                      <w:rFonts w:hint="eastAsia"/>
                      <w:bCs/>
                      <w:color w:val="000000"/>
                      <w:sz w:val="21"/>
                      <w:szCs w:val="21"/>
                    </w:rPr>
                    <w:t>暂存至一般固废暂存区</w:t>
                  </w:r>
                </w:p>
              </w:tc>
              <w:tc>
                <w:tcPr>
                  <w:tcW w:w="432" w:type="pct"/>
                  <w:noWrap w:val="0"/>
                  <w:vAlign w:val="center"/>
                </w:tcPr>
                <w:p w14:paraId="0E2DA1A2">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bCs/>
                      <w:color w:val="000000"/>
                      <w:sz w:val="21"/>
                      <w:szCs w:val="21"/>
                      <w:lang w:val="en-US" w:eastAsia="zh-CN"/>
                    </w:rPr>
                  </w:pPr>
                  <w:r>
                    <w:rPr>
                      <w:rFonts w:hint="eastAsia"/>
                      <w:bCs/>
                      <w:color w:val="000000"/>
                      <w:sz w:val="21"/>
                      <w:szCs w:val="21"/>
                      <w:lang w:val="en-US" w:eastAsia="zh-CN"/>
                    </w:rPr>
                    <w:t>作为生活垃圾处置</w:t>
                  </w:r>
                </w:p>
              </w:tc>
              <w:tc>
                <w:tcPr>
                  <w:tcW w:w="429" w:type="pct"/>
                  <w:noWrap w:val="0"/>
                  <w:vAlign w:val="center"/>
                </w:tcPr>
                <w:p w14:paraId="56558C84">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bCs/>
                      <w:color w:val="000000"/>
                      <w:sz w:val="21"/>
                      <w:szCs w:val="21"/>
                      <w:lang w:val="en-US"/>
                    </w:rPr>
                  </w:pPr>
                  <w:r>
                    <w:rPr>
                      <w:rFonts w:hint="eastAsia"/>
                      <w:bCs/>
                      <w:color w:val="000000"/>
                      <w:sz w:val="21"/>
                      <w:szCs w:val="21"/>
                      <w:lang w:val="en-US" w:eastAsia="zh-CN"/>
                    </w:rPr>
                    <w:t>90</w:t>
                  </w:r>
                </w:p>
              </w:tc>
            </w:tr>
            <w:tr w14:paraId="2F2F56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04" w:type="pct"/>
                  <w:noWrap w:val="0"/>
                  <w:vAlign w:val="center"/>
                </w:tcPr>
                <w:p w14:paraId="10AAAD63">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bCs/>
                      <w:color w:val="000000"/>
                      <w:sz w:val="21"/>
                      <w:szCs w:val="21"/>
                      <w:lang w:val="en-US" w:eastAsia="zh-CN"/>
                    </w:rPr>
                  </w:pPr>
                  <w:r>
                    <w:rPr>
                      <w:rFonts w:hint="eastAsia"/>
                      <w:bCs/>
                      <w:color w:val="000000"/>
                      <w:sz w:val="21"/>
                      <w:szCs w:val="21"/>
                      <w:lang w:val="en-US" w:eastAsia="zh-CN"/>
                    </w:rPr>
                    <w:t>发酵、提取工序</w:t>
                  </w:r>
                </w:p>
              </w:tc>
              <w:tc>
                <w:tcPr>
                  <w:tcW w:w="403" w:type="pct"/>
                  <w:noWrap w:val="0"/>
                  <w:vAlign w:val="center"/>
                </w:tcPr>
                <w:p w14:paraId="7499DFB1">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bCs/>
                      <w:color w:val="000000"/>
                      <w:sz w:val="21"/>
                      <w:szCs w:val="21"/>
                      <w:lang w:val="en-US" w:eastAsia="zh-CN"/>
                    </w:rPr>
                  </w:pPr>
                  <w:r>
                    <w:rPr>
                      <w:rFonts w:hint="eastAsia"/>
                      <w:bCs/>
                      <w:color w:val="000000"/>
                      <w:sz w:val="21"/>
                      <w:szCs w:val="21"/>
                      <w:lang w:val="en-US" w:eastAsia="zh-CN"/>
                    </w:rPr>
                    <w:t>药渣</w:t>
                  </w:r>
                </w:p>
              </w:tc>
              <w:tc>
                <w:tcPr>
                  <w:tcW w:w="721" w:type="pct"/>
                  <w:noWrap w:val="0"/>
                  <w:vAlign w:val="center"/>
                </w:tcPr>
                <w:p w14:paraId="29275BD6">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rPr>
                  </w:pPr>
                  <w:r>
                    <w:rPr>
                      <w:rFonts w:hint="eastAsia"/>
                      <w:bCs/>
                      <w:color w:val="000000"/>
                      <w:sz w:val="21"/>
                      <w:szCs w:val="21"/>
                    </w:rPr>
                    <w:t>一般固废900-999-99</w:t>
                  </w:r>
                </w:p>
              </w:tc>
              <w:tc>
                <w:tcPr>
                  <w:tcW w:w="559" w:type="pct"/>
                  <w:noWrap w:val="0"/>
                  <w:vAlign w:val="center"/>
                </w:tcPr>
                <w:p w14:paraId="6C1856CA">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rPr>
                  </w:pPr>
                  <w:r>
                    <w:rPr>
                      <w:rFonts w:hint="eastAsia"/>
                      <w:bCs/>
                      <w:color w:val="000000"/>
                      <w:sz w:val="21"/>
                      <w:szCs w:val="21"/>
                    </w:rPr>
                    <w:t>/</w:t>
                  </w:r>
                </w:p>
              </w:tc>
              <w:tc>
                <w:tcPr>
                  <w:tcW w:w="393" w:type="pct"/>
                  <w:noWrap w:val="0"/>
                  <w:vAlign w:val="center"/>
                </w:tcPr>
                <w:p w14:paraId="7DC8C899">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rPr>
                  </w:pPr>
                  <w:r>
                    <w:rPr>
                      <w:rFonts w:hint="eastAsia"/>
                      <w:bCs/>
                      <w:color w:val="000000"/>
                      <w:sz w:val="21"/>
                      <w:szCs w:val="21"/>
                    </w:rPr>
                    <w:t>固态</w:t>
                  </w:r>
                </w:p>
              </w:tc>
              <w:tc>
                <w:tcPr>
                  <w:tcW w:w="550" w:type="pct"/>
                  <w:noWrap w:val="0"/>
                  <w:vAlign w:val="center"/>
                </w:tcPr>
                <w:p w14:paraId="01072AF3">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rPr>
                  </w:pPr>
                  <w:r>
                    <w:rPr>
                      <w:rFonts w:hint="eastAsia"/>
                      <w:bCs/>
                      <w:color w:val="000000"/>
                      <w:sz w:val="21"/>
                      <w:szCs w:val="21"/>
                    </w:rPr>
                    <w:t>/</w:t>
                  </w:r>
                </w:p>
              </w:tc>
              <w:tc>
                <w:tcPr>
                  <w:tcW w:w="483" w:type="pct"/>
                  <w:noWrap w:val="0"/>
                  <w:vAlign w:val="center"/>
                </w:tcPr>
                <w:p w14:paraId="08FF8724">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bCs/>
                      <w:color w:val="000000"/>
                      <w:sz w:val="21"/>
                      <w:szCs w:val="21"/>
                      <w:lang w:val="en-US" w:eastAsia="zh-CN"/>
                    </w:rPr>
                  </w:pPr>
                  <w:r>
                    <w:rPr>
                      <w:rFonts w:hint="eastAsia"/>
                      <w:bCs/>
                      <w:color w:val="000000"/>
                      <w:sz w:val="21"/>
                      <w:szCs w:val="21"/>
                      <w:lang w:val="en-US" w:eastAsia="zh-CN"/>
                    </w:rPr>
                    <w:t>960</w:t>
                  </w:r>
                </w:p>
              </w:tc>
              <w:tc>
                <w:tcPr>
                  <w:tcW w:w="620" w:type="pct"/>
                  <w:noWrap w:val="0"/>
                  <w:vAlign w:val="center"/>
                </w:tcPr>
                <w:p w14:paraId="7B62CF69">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bCs/>
                      <w:color w:val="000000"/>
                      <w:sz w:val="21"/>
                      <w:szCs w:val="21"/>
                    </w:rPr>
                  </w:pPr>
                  <w:r>
                    <w:rPr>
                      <w:rFonts w:hint="eastAsia"/>
                      <w:bCs/>
                      <w:color w:val="000000"/>
                      <w:sz w:val="21"/>
                      <w:szCs w:val="21"/>
                    </w:rPr>
                    <w:t>暂存至一般固废暂存区</w:t>
                  </w:r>
                </w:p>
              </w:tc>
              <w:tc>
                <w:tcPr>
                  <w:tcW w:w="432" w:type="pct"/>
                  <w:noWrap w:val="0"/>
                  <w:vAlign w:val="center"/>
                </w:tcPr>
                <w:p w14:paraId="309A4450">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bCs/>
                      <w:color w:val="000000"/>
                      <w:sz w:val="21"/>
                      <w:szCs w:val="21"/>
                      <w:lang w:val="en-US" w:eastAsia="zh-CN"/>
                    </w:rPr>
                  </w:pPr>
                  <w:r>
                    <w:rPr>
                      <w:rFonts w:hint="eastAsia"/>
                      <w:bCs/>
                      <w:color w:val="000000"/>
                      <w:sz w:val="21"/>
                      <w:szCs w:val="21"/>
                      <w:lang w:val="en-US" w:eastAsia="zh-CN"/>
                    </w:rPr>
                    <w:t>外售制作有机肥</w:t>
                  </w:r>
                </w:p>
              </w:tc>
              <w:tc>
                <w:tcPr>
                  <w:tcW w:w="429" w:type="pct"/>
                  <w:shd w:val="clear" w:color="auto" w:fill="auto"/>
                  <w:noWrap w:val="0"/>
                  <w:vAlign w:val="center"/>
                </w:tcPr>
                <w:p w14:paraId="51D9D2E8">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960</w:t>
                  </w:r>
                </w:p>
              </w:tc>
            </w:tr>
            <w:tr w14:paraId="251A6D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04" w:type="pct"/>
                  <w:noWrap w:val="0"/>
                  <w:vAlign w:val="center"/>
                </w:tcPr>
                <w:p w14:paraId="356DEB7E">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bCs/>
                      <w:color w:val="000000"/>
                      <w:sz w:val="21"/>
                      <w:szCs w:val="21"/>
                      <w:lang w:val="en-US" w:eastAsia="zh-CN"/>
                    </w:rPr>
                  </w:pPr>
                  <w:r>
                    <w:rPr>
                      <w:rFonts w:hint="eastAsia"/>
                      <w:bCs/>
                      <w:color w:val="000000"/>
                      <w:sz w:val="21"/>
                      <w:szCs w:val="21"/>
                      <w:lang w:val="en-US" w:eastAsia="zh-CN"/>
                    </w:rPr>
                    <w:t>除尘器</w:t>
                  </w:r>
                </w:p>
              </w:tc>
              <w:tc>
                <w:tcPr>
                  <w:tcW w:w="403" w:type="pct"/>
                  <w:noWrap w:val="0"/>
                  <w:vAlign w:val="center"/>
                </w:tcPr>
                <w:p w14:paraId="2E0A607A">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bCs/>
                      <w:color w:val="000000"/>
                      <w:sz w:val="21"/>
                      <w:szCs w:val="21"/>
                      <w:lang w:val="en-US" w:eastAsia="zh-CN"/>
                    </w:rPr>
                  </w:pPr>
                  <w:r>
                    <w:rPr>
                      <w:rFonts w:hint="eastAsia"/>
                      <w:bCs/>
                      <w:color w:val="000000"/>
                      <w:sz w:val="21"/>
                      <w:szCs w:val="21"/>
                      <w:lang w:val="en-US" w:eastAsia="zh-CN"/>
                    </w:rPr>
                    <w:t>药尘</w:t>
                  </w:r>
                </w:p>
              </w:tc>
              <w:tc>
                <w:tcPr>
                  <w:tcW w:w="721" w:type="pct"/>
                  <w:noWrap w:val="0"/>
                  <w:vAlign w:val="center"/>
                </w:tcPr>
                <w:p w14:paraId="24CB5449">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rPr>
                  </w:pPr>
                  <w:r>
                    <w:rPr>
                      <w:rFonts w:hint="eastAsia"/>
                      <w:bCs/>
                      <w:color w:val="000000"/>
                      <w:sz w:val="21"/>
                      <w:szCs w:val="21"/>
                    </w:rPr>
                    <w:t>一般固废900-999-99</w:t>
                  </w:r>
                </w:p>
              </w:tc>
              <w:tc>
                <w:tcPr>
                  <w:tcW w:w="559" w:type="pct"/>
                  <w:noWrap w:val="0"/>
                  <w:vAlign w:val="center"/>
                </w:tcPr>
                <w:p w14:paraId="24A1A8B4">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rPr>
                  </w:pPr>
                  <w:r>
                    <w:rPr>
                      <w:rFonts w:hint="eastAsia"/>
                      <w:bCs/>
                      <w:color w:val="000000"/>
                      <w:sz w:val="21"/>
                      <w:szCs w:val="21"/>
                    </w:rPr>
                    <w:t>/</w:t>
                  </w:r>
                </w:p>
              </w:tc>
              <w:tc>
                <w:tcPr>
                  <w:tcW w:w="393" w:type="pct"/>
                  <w:noWrap w:val="0"/>
                  <w:vAlign w:val="center"/>
                </w:tcPr>
                <w:p w14:paraId="13289D30">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rPr>
                  </w:pPr>
                  <w:r>
                    <w:rPr>
                      <w:rFonts w:hint="eastAsia"/>
                      <w:bCs/>
                      <w:color w:val="000000"/>
                      <w:sz w:val="21"/>
                      <w:szCs w:val="21"/>
                    </w:rPr>
                    <w:t>固态</w:t>
                  </w:r>
                </w:p>
              </w:tc>
              <w:tc>
                <w:tcPr>
                  <w:tcW w:w="550" w:type="pct"/>
                  <w:noWrap w:val="0"/>
                  <w:vAlign w:val="center"/>
                </w:tcPr>
                <w:p w14:paraId="77E1A3D3">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rPr>
                  </w:pPr>
                  <w:r>
                    <w:rPr>
                      <w:rFonts w:hint="eastAsia"/>
                      <w:bCs/>
                      <w:color w:val="000000"/>
                      <w:sz w:val="21"/>
                      <w:szCs w:val="21"/>
                    </w:rPr>
                    <w:t>/</w:t>
                  </w:r>
                </w:p>
              </w:tc>
              <w:tc>
                <w:tcPr>
                  <w:tcW w:w="483" w:type="pct"/>
                  <w:noWrap w:val="0"/>
                  <w:vAlign w:val="center"/>
                </w:tcPr>
                <w:p w14:paraId="09DA0C35">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bCs/>
                      <w:color w:val="000000"/>
                      <w:sz w:val="21"/>
                      <w:szCs w:val="21"/>
                      <w:lang w:val="en-US" w:eastAsia="zh-CN"/>
                    </w:rPr>
                  </w:pPr>
                  <w:r>
                    <w:rPr>
                      <w:rFonts w:hint="eastAsia"/>
                      <w:bCs/>
                      <w:color w:val="000000"/>
                      <w:sz w:val="21"/>
                      <w:szCs w:val="21"/>
                      <w:lang w:val="en-US" w:eastAsia="zh-CN"/>
                    </w:rPr>
                    <w:t>8.5215</w:t>
                  </w:r>
                </w:p>
              </w:tc>
              <w:tc>
                <w:tcPr>
                  <w:tcW w:w="620" w:type="pct"/>
                  <w:noWrap w:val="0"/>
                  <w:vAlign w:val="center"/>
                </w:tcPr>
                <w:p w14:paraId="004D4737">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bCs/>
                      <w:color w:val="000000"/>
                      <w:sz w:val="21"/>
                      <w:szCs w:val="21"/>
                    </w:rPr>
                  </w:pPr>
                  <w:r>
                    <w:rPr>
                      <w:rFonts w:hint="eastAsia"/>
                      <w:bCs/>
                      <w:color w:val="000000"/>
                      <w:sz w:val="21"/>
                      <w:szCs w:val="21"/>
                    </w:rPr>
                    <w:t>定期卸灰后用吨包袋包装</w:t>
                  </w:r>
                </w:p>
              </w:tc>
              <w:tc>
                <w:tcPr>
                  <w:tcW w:w="432" w:type="pct"/>
                  <w:noWrap w:val="0"/>
                  <w:vAlign w:val="center"/>
                </w:tcPr>
                <w:p w14:paraId="1D491B0E">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bCs/>
                      <w:color w:val="000000"/>
                      <w:sz w:val="21"/>
                      <w:szCs w:val="21"/>
                    </w:rPr>
                  </w:pPr>
                  <w:r>
                    <w:rPr>
                      <w:rFonts w:hint="eastAsia"/>
                      <w:bCs/>
                      <w:color w:val="000000"/>
                      <w:sz w:val="21"/>
                      <w:szCs w:val="21"/>
                      <w:lang w:val="en-US" w:eastAsia="zh-CN"/>
                    </w:rPr>
                    <w:t>外售制作有机肥</w:t>
                  </w:r>
                </w:p>
              </w:tc>
              <w:tc>
                <w:tcPr>
                  <w:tcW w:w="429" w:type="pct"/>
                  <w:shd w:val="clear" w:color="auto" w:fill="auto"/>
                  <w:noWrap w:val="0"/>
                  <w:vAlign w:val="center"/>
                </w:tcPr>
                <w:p w14:paraId="79AA8F71">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8.5215</w:t>
                  </w:r>
                </w:p>
              </w:tc>
            </w:tr>
            <w:tr w14:paraId="311BE2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04" w:type="pct"/>
                  <w:noWrap w:val="0"/>
                  <w:vAlign w:val="center"/>
                </w:tcPr>
                <w:p w14:paraId="334B4EC7">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bCs/>
                      <w:color w:val="000000"/>
                      <w:sz w:val="21"/>
                      <w:szCs w:val="21"/>
                    </w:rPr>
                  </w:pPr>
                  <w:r>
                    <w:rPr>
                      <w:rFonts w:hint="eastAsia"/>
                      <w:bCs/>
                      <w:color w:val="000000"/>
                      <w:sz w:val="21"/>
                      <w:szCs w:val="21"/>
                    </w:rPr>
                    <w:t>原料包装</w:t>
                  </w:r>
                </w:p>
              </w:tc>
              <w:tc>
                <w:tcPr>
                  <w:tcW w:w="403" w:type="pct"/>
                  <w:noWrap w:val="0"/>
                  <w:vAlign w:val="center"/>
                </w:tcPr>
                <w:p w14:paraId="48F97E96">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bCs/>
                      <w:color w:val="000000"/>
                      <w:sz w:val="21"/>
                      <w:szCs w:val="21"/>
                    </w:rPr>
                  </w:pPr>
                  <w:r>
                    <w:rPr>
                      <w:rFonts w:hint="eastAsia"/>
                      <w:bCs/>
                      <w:color w:val="000000"/>
                      <w:sz w:val="21"/>
                      <w:szCs w:val="21"/>
                    </w:rPr>
                    <w:t>废包装材料</w:t>
                  </w:r>
                </w:p>
              </w:tc>
              <w:tc>
                <w:tcPr>
                  <w:tcW w:w="721" w:type="pct"/>
                  <w:noWrap w:val="0"/>
                  <w:vAlign w:val="center"/>
                </w:tcPr>
                <w:p w14:paraId="112128CC">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bCs/>
                      <w:color w:val="000000"/>
                      <w:sz w:val="21"/>
                      <w:szCs w:val="21"/>
                    </w:rPr>
                  </w:pPr>
                  <w:r>
                    <w:rPr>
                      <w:rFonts w:hint="eastAsia"/>
                      <w:bCs/>
                      <w:color w:val="000000"/>
                      <w:sz w:val="21"/>
                      <w:szCs w:val="21"/>
                    </w:rPr>
                    <w:t>一般固废900-999-99</w:t>
                  </w:r>
                </w:p>
              </w:tc>
              <w:tc>
                <w:tcPr>
                  <w:tcW w:w="559" w:type="pct"/>
                  <w:noWrap w:val="0"/>
                  <w:vAlign w:val="center"/>
                </w:tcPr>
                <w:p w14:paraId="71DDFB50">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bCs/>
                      <w:color w:val="000000"/>
                      <w:sz w:val="21"/>
                      <w:szCs w:val="21"/>
                    </w:rPr>
                  </w:pPr>
                  <w:r>
                    <w:rPr>
                      <w:rFonts w:hint="eastAsia"/>
                      <w:bCs/>
                      <w:color w:val="000000"/>
                      <w:sz w:val="21"/>
                      <w:szCs w:val="21"/>
                    </w:rPr>
                    <w:t>/</w:t>
                  </w:r>
                </w:p>
              </w:tc>
              <w:tc>
                <w:tcPr>
                  <w:tcW w:w="393" w:type="pct"/>
                  <w:noWrap w:val="0"/>
                  <w:vAlign w:val="center"/>
                </w:tcPr>
                <w:p w14:paraId="2114EF81">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rPr>
                  </w:pPr>
                  <w:r>
                    <w:rPr>
                      <w:rFonts w:hint="eastAsia"/>
                      <w:bCs/>
                      <w:color w:val="000000"/>
                      <w:sz w:val="21"/>
                      <w:szCs w:val="21"/>
                    </w:rPr>
                    <w:t>固态</w:t>
                  </w:r>
                </w:p>
              </w:tc>
              <w:tc>
                <w:tcPr>
                  <w:tcW w:w="550" w:type="pct"/>
                  <w:noWrap w:val="0"/>
                  <w:vAlign w:val="center"/>
                </w:tcPr>
                <w:p w14:paraId="350643A3">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rPr>
                  </w:pPr>
                  <w:r>
                    <w:rPr>
                      <w:rFonts w:hint="eastAsia"/>
                      <w:bCs/>
                      <w:color w:val="000000"/>
                      <w:sz w:val="21"/>
                      <w:szCs w:val="21"/>
                    </w:rPr>
                    <w:t>/</w:t>
                  </w:r>
                </w:p>
              </w:tc>
              <w:tc>
                <w:tcPr>
                  <w:tcW w:w="483" w:type="pct"/>
                  <w:noWrap w:val="0"/>
                  <w:vAlign w:val="center"/>
                </w:tcPr>
                <w:p w14:paraId="33320F19">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bCs/>
                      <w:color w:val="000000"/>
                      <w:sz w:val="21"/>
                      <w:szCs w:val="21"/>
                      <w:lang w:eastAsia="zh-CN"/>
                    </w:rPr>
                  </w:pPr>
                  <w:r>
                    <w:rPr>
                      <w:rFonts w:hint="eastAsia"/>
                      <w:bCs/>
                      <w:color w:val="000000"/>
                      <w:sz w:val="21"/>
                      <w:szCs w:val="21"/>
                      <w:lang w:val="en-US" w:eastAsia="zh-CN"/>
                    </w:rPr>
                    <w:t>5</w:t>
                  </w:r>
                </w:p>
              </w:tc>
              <w:tc>
                <w:tcPr>
                  <w:tcW w:w="620" w:type="pct"/>
                  <w:noWrap w:val="0"/>
                  <w:vAlign w:val="center"/>
                </w:tcPr>
                <w:p w14:paraId="1B7E33B7">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rPr>
                  </w:pPr>
                  <w:r>
                    <w:rPr>
                      <w:rFonts w:hint="eastAsia"/>
                      <w:bCs/>
                      <w:color w:val="000000"/>
                      <w:sz w:val="21"/>
                      <w:szCs w:val="21"/>
                    </w:rPr>
                    <w:t>暂存至一般固废暂存区</w:t>
                  </w:r>
                </w:p>
              </w:tc>
              <w:tc>
                <w:tcPr>
                  <w:tcW w:w="432" w:type="pct"/>
                  <w:noWrap w:val="0"/>
                  <w:vAlign w:val="center"/>
                </w:tcPr>
                <w:p w14:paraId="465449D2">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bCs/>
                      <w:color w:val="000000"/>
                      <w:sz w:val="21"/>
                      <w:szCs w:val="21"/>
                    </w:rPr>
                  </w:pPr>
                  <w:r>
                    <w:rPr>
                      <w:rFonts w:hint="eastAsia"/>
                      <w:bCs/>
                      <w:color w:val="000000"/>
                      <w:sz w:val="21"/>
                      <w:szCs w:val="21"/>
                    </w:rPr>
                    <w:t>外售综合利用</w:t>
                  </w:r>
                </w:p>
              </w:tc>
              <w:tc>
                <w:tcPr>
                  <w:tcW w:w="429" w:type="pct"/>
                  <w:shd w:val="clear" w:color="auto" w:fill="auto"/>
                  <w:noWrap w:val="0"/>
                  <w:vAlign w:val="center"/>
                </w:tcPr>
                <w:p w14:paraId="0AC77D15">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5</w:t>
                  </w:r>
                </w:p>
              </w:tc>
            </w:tr>
            <w:tr w14:paraId="005EF5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04" w:type="pct"/>
                  <w:noWrap w:val="0"/>
                  <w:vAlign w:val="center"/>
                </w:tcPr>
                <w:p w14:paraId="4174F7AA">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bCs/>
                      <w:color w:val="000000"/>
                      <w:sz w:val="21"/>
                      <w:szCs w:val="21"/>
                      <w:lang w:val="en-US" w:eastAsia="zh-CN"/>
                    </w:rPr>
                  </w:pPr>
                  <w:r>
                    <w:rPr>
                      <w:rFonts w:hint="eastAsia"/>
                      <w:bCs/>
                      <w:color w:val="000000"/>
                      <w:sz w:val="21"/>
                      <w:szCs w:val="21"/>
                      <w:lang w:val="en-US" w:eastAsia="zh-CN"/>
                    </w:rPr>
                    <w:t>污水处理站</w:t>
                  </w:r>
                </w:p>
              </w:tc>
              <w:tc>
                <w:tcPr>
                  <w:tcW w:w="403" w:type="pct"/>
                  <w:noWrap w:val="0"/>
                  <w:vAlign w:val="center"/>
                </w:tcPr>
                <w:p w14:paraId="422FF71F">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bCs/>
                      <w:color w:val="000000"/>
                      <w:sz w:val="21"/>
                      <w:szCs w:val="21"/>
                      <w:lang w:val="en-US" w:eastAsia="zh-CN"/>
                    </w:rPr>
                  </w:pPr>
                  <w:r>
                    <w:rPr>
                      <w:rFonts w:hint="eastAsia"/>
                      <w:bCs/>
                      <w:color w:val="000000"/>
                      <w:sz w:val="21"/>
                      <w:szCs w:val="21"/>
                      <w:lang w:val="en-US" w:eastAsia="zh-CN"/>
                    </w:rPr>
                    <w:t>污泥</w:t>
                  </w:r>
                </w:p>
              </w:tc>
              <w:tc>
                <w:tcPr>
                  <w:tcW w:w="721" w:type="pct"/>
                  <w:noWrap w:val="0"/>
                  <w:vAlign w:val="center"/>
                </w:tcPr>
                <w:p w14:paraId="0080B8C7">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rPr>
                  </w:pPr>
                  <w:r>
                    <w:rPr>
                      <w:rFonts w:hint="eastAsia"/>
                      <w:bCs/>
                      <w:color w:val="000000"/>
                      <w:sz w:val="21"/>
                      <w:szCs w:val="21"/>
                    </w:rPr>
                    <w:t>一般固废900-999-99</w:t>
                  </w:r>
                </w:p>
              </w:tc>
              <w:tc>
                <w:tcPr>
                  <w:tcW w:w="559" w:type="pct"/>
                  <w:shd w:val="clear" w:color="auto" w:fill="auto"/>
                  <w:noWrap w:val="0"/>
                  <w:vAlign w:val="center"/>
                </w:tcPr>
                <w:p w14:paraId="57C85B39">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rPr>
                    <w:t>/</w:t>
                  </w:r>
                </w:p>
              </w:tc>
              <w:tc>
                <w:tcPr>
                  <w:tcW w:w="393" w:type="pct"/>
                  <w:shd w:val="clear" w:color="auto" w:fill="auto"/>
                  <w:noWrap w:val="0"/>
                  <w:vAlign w:val="center"/>
                </w:tcPr>
                <w:p w14:paraId="367FCF06">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rPr>
                    <w:t>固态</w:t>
                  </w:r>
                </w:p>
              </w:tc>
              <w:tc>
                <w:tcPr>
                  <w:tcW w:w="550" w:type="pct"/>
                  <w:shd w:val="clear" w:color="auto" w:fill="auto"/>
                  <w:noWrap w:val="0"/>
                  <w:vAlign w:val="center"/>
                </w:tcPr>
                <w:p w14:paraId="77E99895">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rPr>
                    <w:t>/</w:t>
                  </w:r>
                </w:p>
              </w:tc>
              <w:tc>
                <w:tcPr>
                  <w:tcW w:w="483" w:type="pct"/>
                  <w:shd w:val="clear" w:color="auto" w:fill="auto"/>
                  <w:noWrap w:val="0"/>
                  <w:vAlign w:val="center"/>
                </w:tcPr>
                <w:p w14:paraId="11D7F6BE">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195</w:t>
                  </w:r>
                </w:p>
              </w:tc>
              <w:tc>
                <w:tcPr>
                  <w:tcW w:w="620" w:type="pct"/>
                  <w:shd w:val="clear" w:color="auto" w:fill="auto"/>
                  <w:noWrap w:val="0"/>
                  <w:vAlign w:val="center"/>
                </w:tcPr>
                <w:p w14:paraId="1AACF61B">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rPr>
                    <w:t>暂存至一般固废暂存区</w:t>
                  </w:r>
                </w:p>
              </w:tc>
              <w:tc>
                <w:tcPr>
                  <w:tcW w:w="432" w:type="pct"/>
                  <w:shd w:val="clear" w:color="auto" w:fill="auto"/>
                  <w:noWrap w:val="0"/>
                  <w:vAlign w:val="center"/>
                </w:tcPr>
                <w:p w14:paraId="39F1EAEA">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FF0000"/>
                      <w:sz w:val="21"/>
                      <w:szCs w:val="21"/>
                      <w:lang w:val="en-US" w:eastAsia="zh-CN"/>
                    </w:rPr>
                    <w:t>外售综合利用</w:t>
                  </w:r>
                </w:p>
              </w:tc>
              <w:tc>
                <w:tcPr>
                  <w:tcW w:w="429" w:type="pct"/>
                  <w:shd w:val="clear" w:color="auto" w:fill="auto"/>
                  <w:noWrap w:val="0"/>
                  <w:vAlign w:val="center"/>
                </w:tcPr>
                <w:p w14:paraId="31B96987">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195</w:t>
                  </w:r>
                </w:p>
              </w:tc>
            </w:tr>
            <w:tr w14:paraId="444FC4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04" w:type="pct"/>
                  <w:noWrap w:val="0"/>
                  <w:vAlign w:val="center"/>
                </w:tcPr>
                <w:p w14:paraId="46C4EC6B">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bCs/>
                      <w:color w:val="000000"/>
                      <w:sz w:val="21"/>
                      <w:szCs w:val="21"/>
                      <w:lang w:val="en-US" w:eastAsia="zh-CN"/>
                    </w:rPr>
                  </w:pPr>
                  <w:r>
                    <w:rPr>
                      <w:rFonts w:hint="eastAsia"/>
                      <w:bCs/>
                      <w:color w:val="000000"/>
                      <w:sz w:val="21"/>
                      <w:szCs w:val="21"/>
                      <w:lang w:val="en-US" w:eastAsia="zh-CN"/>
                    </w:rPr>
                    <w:t>纯水制备系统</w:t>
                  </w:r>
                </w:p>
              </w:tc>
              <w:tc>
                <w:tcPr>
                  <w:tcW w:w="403" w:type="pct"/>
                  <w:noWrap w:val="0"/>
                  <w:vAlign w:val="center"/>
                </w:tcPr>
                <w:p w14:paraId="2A1D0917">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bCs/>
                      <w:color w:val="000000"/>
                      <w:sz w:val="21"/>
                      <w:szCs w:val="21"/>
                      <w:lang w:val="en-US" w:eastAsia="zh-CN"/>
                    </w:rPr>
                  </w:pPr>
                  <w:r>
                    <w:rPr>
                      <w:rFonts w:hint="eastAsia"/>
                      <w:bCs/>
                      <w:color w:val="000000"/>
                      <w:sz w:val="21"/>
                      <w:szCs w:val="21"/>
                      <w:lang w:val="en-US" w:eastAsia="zh-CN"/>
                    </w:rPr>
                    <w:t>废渗透膜</w:t>
                  </w:r>
                </w:p>
              </w:tc>
              <w:tc>
                <w:tcPr>
                  <w:tcW w:w="721" w:type="pct"/>
                  <w:shd w:val="clear" w:color="auto" w:fill="auto"/>
                  <w:noWrap w:val="0"/>
                  <w:vAlign w:val="center"/>
                </w:tcPr>
                <w:p w14:paraId="27808F46">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rPr>
                    <w:t>一般固废900-999-99</w:t>
                  </w:r>
                </w:p>
              </w:tc>
              <w:tc>
                <w:tcPr>
                  <w:tcW w:w="559" w:type="pct"/>
                  <w:shd w:val="clear" w:color="auto" w:fill="auto"/>
                  <w:noWrap w:val="0"/>
                  <w:vAlign w:val="center"/>
                </w:tcPr>
                <w:p w14:paraId="2F139413">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rPr>
                    <w:t>/</w:t>
                  </w:r>
                </w:p>
              </w:tc>
              <w:tc>
                <w:tcPr>
                  <w:tcW w:w="393" w:type="pct"/>
                  <w:shd w:val="clear" w:color="auto" w:fill="auto"/>
                  <w:noWrap w:val="0"/>
                  <w:vAlign w:val="center"/>
                </w:tcPr>
                <w:p w14:paraId="267F9C5A">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rPr>
                    <w:t>固态</w:t>
                  </w:r>
                </w:p>
              </w:tc>
              <w:tc>
                <w:tcPr>
                  <w:tcW w:w="550" w:type="pct"/>
                  <w:shd w:val="clear" w:color="auto" w:fill="auto"/>
                  <w:noWrap w:val="0"/>
                  <w:vAlign w:val="center"/>
                </w:tcPr>
                <w:p w14:paraId="108B39D1">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rPr>
                    <w:t>/</w:t>
                  </w:r>
                </w:p>
              </w:tc>
              <w:tc>
                <w:tcPr>
                  <w:tcW w:w="483" w:type="pct"/>
                  <w:shd w:val="clear" w:color="auto" w:fill="auto"/>
                  <w:noWrap w:val="0"/>
                  <w:vAlign w:val="center"/>
                </w:tcPr>
                <w:p w14:paraId="744DFB5C">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eastAsia="宋体"/>
                      <w:bCs/>
                      <w:color w:val="000000"/>
                      <w:sz w:val="21"/>
                      <w:szCs w:val="21"/>
                      <w:lang w:val="en-US" w:eastAsia="zh-CN"/>
                    </w:rPr>
                    <w:t>1</w:t>
                  </w:r>
                </w:p>
              </w:tc>
              <w:tc>
                <w:tcPr>
                  <w:tcW w:w="620" w:type="pct"/>
                  <w:shd w:val="clear" w:color="auto" w:fill="auto"/>
                  <w:noWrap w:val="0"/>
                  <w:vAlign w:val="center"/>
                </w:tcPr>
                <w:p w14:paraId="4CF1B172">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rPr>
                    <w:t>暂存至一般固废暂存区</w:t>
                  </w:r>
                </w:p>
              </w:tc>
              <w:tc>
                <w:tcPr>
                  <w:tcW w:w="432" w:type="pct"/>
                  <w:shd w:val="clear" w:color="auto" w:fill="auto"/>
                  <w:noWrap w:val="0"/>
                  <w:vAlign w:val="center"/>
                </w:tcPr>
                <w:p w14:paraId="2C6A2A22">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rPr>
                    <w:t>由原厂家回收</w:t>
                  </w:r>
                </w:p>
              </w:tc>
              <w:tc>
                <w:tcPr>
                  <w:tcW w:w="429" w:type="pct"/>
                  <w:shd w:val="clear" w:color="auto" w:fill="auto"/>
                  <w:noWrap w:val="0"/>
                  <w:vAlign w:val="center"/>
                </w:tcPr>
                <w:p w14:paraId="25260137">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eastAsia="宋体"/>
                      <w:bCs/>
                      <w:color w:val="000000"/>
                      <w:sz w:val="21"/>
                      <w:szCs w:val="21"/>
                      <w:lang w:val="en-US" w:eastAsia="zh-CN"/>
                    </w:rPr>
                    <w:t>1</w:t>
                  </w:r>
                </w:p>
              </w:tc>
            </w:tr>
            <w:tr w14:paraId="343407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04" w:type="pct"/>
                  <w:noWrap w:val="0"/>
                  <w:vAlign w:val="center"/>
                </w:tcPr>
                <w:p w14:paraId="7A5C9641">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bCs/>
                      <w:color w:val="000000"/>
                      <w:sz w:val="21"/>
                      <w:szCs w:val="21"/>
                      <w:lang w:val="en-US" w:eastAsia="zh-CN"/>
                    </w:rPr>
                  </w:pPr>
                  <w:r>
                    <w:rPr>
                      <w:rFonts w:hint="eastAsia"/>
                      <w:bCs/>
                      <w:color w:val="000000"/>
                      <w:sz w:val="21"/>
                      <w:szCs w:val="21"/>
                      <w:lang w:val="en-US" w:eastAsia="zh-CN"/>
                    </w:rPr>
                    <w:t>检测过程</w:t>
                  </w:r>
                </w:p>
              </w:tc>
              <w:tc>
                <w:tcPr>
                  <w:tcW w:w="403" w:type="pct"/>
                  <w:noWrap w:val="0"/>
                  <w:vAlign w:val="center"/>
                </w:tcPr>
                <w:p w14:paraId="2642D3C8">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bCs/>
                      <w:color w:val="000000"/>
                      <w:sz w:val="21"/>
                      <w:szCs w:val="21"/>
                      <w:lang w:val="en-US" w:eastAsia="zh-CN"/>
                    </w:rPr>
                  </w:pPr>
                  <w:r>
                    <w:rPr>
                      <w:rFonts w:hint="eastAsia"/>
                      <w:bCs/>
                      <w:color w:val="000000"/>
                      <w:sz w:val="21"/>
                      <w:szCs w:val="21"/>
                      <w:lang w:val="en-US" w:eastAsia="zh-CN"/>
                    </w:rPr>
                    <w:t>不合格品</w:t>
                  </w:r>
                </w:p>
              </w:tc>
              <w:tc>
                <w:tcPr>
                  <w:tcW w:w="721" w:type="pct"/>
                  <w:shd w:val="clear" w:color="auto" w:fill="auto"/>
                  <w:noWrap w:val="0"/>
                  <w:vAlign w:val="center"/>
                </w:tcPr>
                <w:p w14:paraId="6086B6DB">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rPr>
                  </w:pPr>
                  <w:r>
                    <w:rPr>
                      <w:rFonts w:hint="eastAsia"/>
                      <w:bCs/>
                      <w:color w:val="000000"/>
                      <w:sz w:val="21"/>
                      <w:szCs w:val="21"/>
                    </w:rPr>
                    <w:t>一般固废900-999-99</w:t>
                  </w:r>
                </w:p>
              </w:tc>
              <w:tc>
                <w:tcPr>
                  <w:tcW w:w="559" w:type="pct"/>
                  <w:shd w:val="clear" w:color="auto" w:fill="auto"/>
                  <w:noWrap w:val="0"/>
                  <w:vAlign w:val="center"/>
                </w:tcPr>
                <w:p w14:paraId="4DE273B0">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rPr>
                    <w:t>/</w:t>
                  </w:r>
                </w:p>
              </w:tc>
              <w:tc>
                <w:tcPr>
                  <w:tcW w:w="393" w:type="pct"/>
                  <w:shd w:val="clear" w:color="auto" w:fill="auto"/>
                  <w:noWrap w:val="0"/>
                  <w:vAlign w:val="center"/>
                </w:tcPr>
                <w:p w14:paraId="2EE6D7E4">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rPr>
                    <w:t>固态</w:t>
                  </w:r>
                </w:p>
              </w:tc>
              <w:tc>
                <w:tcPr>
                  <w:tcW w:w="550" w:type="pct"/>
                  <w:shd w:val="clear" w:color="auto" w:fill="auto"/>
                  <w:noWrap w:val="0"/>
                  <w:vAlign w:val="center"/>
                </w:tcPr>
                <w:p w14:paraId="103BFD0E">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rPr>
                    <w:t>/</w:t>
                  </w:r>
                </w:p>
              </w:tc>
              <w:tc>
                <w:tcPr>
                  <w:tcW w:w="483" w:type="pct"/>
                  <w:shd w:val="clear" w:color="auto" w:fill="auto"/>
                  <w:noWrap w:val="0"/>
                  <w:vAlign w:val="center"/>
                </w:tcPr>
                <w:p w14:paraId="20D0354F">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0.5</w:t>
                  </w:r>
                </w:p>
              </w:tc>
              <w:tc>
                <w:tcPr>
                  <w:tcW w:w="620" w:type="pct"/>
                  <w:shd w:val="clear" w:color="auto" w:fill="auto"/>
                  <w:noWrap w:val="0"/>
                  <w:vAlign w:val="center"/>
                </w:tcPr>
                <w:p w14:paraId="10F5A14E">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rPr>
                    <w:t>暂存至一般固废暂存区</w:t>
                  </w:r>
                </w:p>
              </w:tc>
              <w:tc>
                <w:tcPr>
                  <w:tcW w:w="432" w:type="pct"/>
                  <w:shd w:val="clear" w:color="auto" w:fill="auto"/>
                  <w:noWrap w:val="0"/>
                  <w:vAlign w:val="center"/>
                </w:tcPr>
                <w:p w14:paraId="42B82B77">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rPr>
                  </w:pPr>
                  <w:r>
                    <w:rPr>
                      <w:rFonts w:hint="eastAsia"/>
                      <w:bCs/>
                      <w:color w:val="000000"/>
                      <w:sz w:val="21"/>
                      <w:szCs w:val="21"/>
                      <w:lang w:val="en-US" w:eastAsia="zh-CN"/>
                    </w:rPr>
                    <w:t>外售制作有机肥</w:t>
                  </w:r>
                </w:p>
              </w:tc>
              <w:tc>
                <w:tcPr>
                  <w:tcW w:w="429" w:type="pct"/>
                  <w:shd w:val="clear" w:color="auto" w:fill="auto"/>
                  <w:noWrap w:val="0"/>
                  <w:vAlign w:val="center"/>
                </w:tcPr>
                <w:p w14:paraId="0EAB16A1">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0.5</w:t>
                  </w:r>
                </w:p>
              </w:tc>
            </w:tr>
            <w:tr w14:paraId="34C527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04" w:type="pct"/>
                  <w:vMerge w:val="restart"/>
                  <w:noWrap w:val="0"/>
                  <w:vAlign w:val="center"/>
                </w:tcPr>
                <w:p w14:paraId="7FDFB746">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bCs/>
                      <w:color w:val="000000"/>
                      <w:sz w:val="21"/>
                      <w:szCs w:val="21"/>
                    </w:rPr>
                  </w:pPr>
                  <w:r>
                    <w:rPr>
                      <w:rFonts w:hint="eastAsia"/>
                      <w:bCs/>
                      <w:color w:val="000000"/>
                      <w:sz w:val="21"/>
                      <w:szCs w:val="21"/>
                      <w:lang w:val="en-US" w:eastAsia="zh-CN"/>
                    </w:rPr>
                    <w:t>质检</w:t>
                  </w:r>
                  <w:r>
                    <w:rPr>
                      <w:rFonts w:hint="eastAsia"/>
                      <w:bCs/>
                      <w:color w:val="000000"/>
                      <w:sz w:val="21"/>
                      <w:szCs w:val="21"/>
                    </w:rPr>
                    <w:t>工序</w:t>
                  </w:r>
                </w:p>
              </w:tc>
              <w:tc>
                <w:tcPr>
                  <w:tcW w:w="403" w:type="pct"/>
                  <w:noWrap w:val="0"/>
                  <w:vAlign w:val="center"/>
                </w:tcPr>
                <w:p w14:paraId="32081918">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实验室废包装</w:t>
                  </w:r>
                </w:p>
              </w:tc>
              <w:tc>
                <w:tcPr>
                  <w:tcW w:w="721" w:type="pct"/>
                  <w:noWrap w:val="0"/>
                  <w:vAlign w:val="center"/>
                </w:tcPr>
                <w:p w14:paraId="58E455D5">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危险废物</w:t>
                  </w:r>
                </w:p>
                <w:p w14:paraId="5177F362">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HW</w:t>
                  </w:r>
                  <w:r>
                    <w:rPr>
                      <w:rFonts w:hint="eastAsia" w:ascii="Times New Roman" w:hAnsi="Times New Roman" w:eastAsia="宋体" w:cs="Times New Roman"/>
                      <w:bCs/>
                      <w:color w:val="000000"/>
                      <w:sz w:val="21"/>
                      <w:szCs w:val="21"/>
                    </w:rPr>
                    <w:t>49</w:t>
                  </w:r>
                  <w:r>
                    <w:rPr>
                      <w:rFonts w:ascii="Times New Roman" w:hAnsi="Times New Roman" w:eastAsia="宋体" w:cs="Times New Roman"/>
                      <w:bCs/>
                      <w:color w:val="000000"/>
                      <w:sz w:val="21"/>
                      <w:szCs w:val="21"/>
                    </w:rPr>
                    <w:t xml:space="preserve"> 900-04</w:t>
                  </w:r>
                  <w:r>
                    <w:rPr>
                      <w:rFonts w:hint="eastAsia" w:cs="Times New Roman"/>
                      <w:bCs/>
                      <w:color w:val="000000"/>
                      <w:sz w:val="21"/>
                      <w:szCs w:val="21"/>
                      <w:lang w:val="en-US" w:eastAsia="zh-CN"/>
                    </w:rPr>
                    <w:t>7</w:t>
                  </w:r>
                  <w:r>
                    <w:rPr>
                      <w:rFonts w:ascii="Times New Roman" w:hAnsi="Times New Roman" w:eastAsia="宋体" w:cs="Times New Roman"/>
                      <w:bCs/>
                      <w:color w:val="000000"/>
                      <w:sz w:val="21"/>
                      <w:szCs w:val="21"/>
                    </w:rPr>
                    <w:t>-499</w:t>
                  </w:r>
                </w:p>
              </w:tc>
              <w:tc>
                <w:tcPr>
                  <w:tcW w:w="559" w:type="pct"/>
                  <w:shd w:val="clear" w:color="auto" w:fill="auto"/>
                  <w:noWrap w:val="0"/>
                  <w:vAlign w:val="center"/>
                </w:tcPr>
                <w:p w14:paraId="5DC1C5A2">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sz w:val="21"/>
                      <w:szCs w:val="21"/>
                    </w:rPr>
                    <w:t>实验室废包装</w:t>
                  </w:r>
                </w:p>
              </w:tc>
              <w:tc>
                <w:tcPr>
                  <w:tcW w:w="393" w:type="pct"/>
                  <w:noWrap w:val="0"/>
                  <w:vAlign w:val="center"/>
                </w:tcPr>
                <w:p w14:paraId="74EC33FF">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bCs/>
                      <w:color w:val="000000"/>
                      <w:sz w:val="21"/>
                      <w:szCs w:val="21"/>
                    </w:rPr>
                  </w:pPr>
                  <w:r>
                    <w:rPr>
                      <w:rFonts w:hint="eastAsia"/>
                      <w:bCs/>
                      <w:color w:val="000000"/>
                      <w:sz w:val="21"/>
                      <w:szCs w:val="21"/>
                    </w:rPr>
                    <w:t>固态</w:t>
                  </w:r>
                </w:p>
              </w:tc>
              <w:tc>
                <w:tcPr>
                  <w:tcW w:w="890" w:type="dxa"/>
                  <w:noWrap w:val="0"/>
                  <w:vAlign w:val="center"/>
                </w:tcPr>
                <w:p w14:paraId="6CFC7010">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rPr>
                  </w:pPr>
                  <w:r>
                    <w:rPr>
                      <w:rFonts w:hint="eastAsia"/>
                      <w:bCs/>
                      <w:color w:val="000000"/>
                      <w:sz w:val="21"/>
                      <w:szCs w:val="21"/>
                    </w:rPr>
                    <w:t>T/C/R</w:t>
                  </w:r>
                </w:p>
              </w:tc>
              <w:tc>
                <w:tcPr>
                  <w:tcW w:w="483" w:type="pct"/>
                  <w:noWrap w:val="0"/>
                  <w:vAlign w:val="center"/>
                </w:tcPr>
                <w:p w14:paraId="20D3F75E">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bCs/>
                      <w:color w:val="000000"/>
                      <w:sz w:val="21"/>
                      <w:szCs w:val="21"/>
                      <w:lang w:val="en-US" w:eastAsia="zh-CN"/>
                    </w:rPr>
                  </w:pPr>
                  <w:r>
                    <w:rPr>
                      <w:rFonts w:hint="eastAsia"/>
                      <w:bCs/>
                      <w:color w:val="000000"/>
                      <w:sz w:val="21"/>
                      <w:szCs w:val="21"/>
                      <w:lang w:val="en-US" w:eastAsia="zh-CN"/>
                    </w:rPr>
                    <w:t>0.01</w:t>
                  </w:r>
                </w:p>
              </w:tc>
              <w:tc>
                <w:tcPr>
                  <w:tcW w:w="620" w:type="pct"/>
                  <w:noWrap w:val="0"/>
                  <w:vAlign w:val="center"/>
                </w:tcPr>
                <w:p w14:paraId="7BC4D558">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rPr>
                  </w:pPr>
                  <w:r>
                    <w:rPr>
                      <w:rFonts w:hint="eastAsia"/>
                      <w:bCs/>
                      <w:color w:val="000000"/>
                      <w:sz w:val="21"/>
                      <w:szCs w:val="21"/>
                    </w:rPr>
                    <w:t>专用桶收集后暂存于危废暂存间</w:t>
                  </w:r>
                </w:p>
              </w:tc>
              <w:tc>
                <w:tcPr>
                  <w:tcW w:w="432" w:type="pct"/>
                  <w:vMerge w:val="restart"/>
                  <w:noWrap w:val="0"/>
                  <w:vAlign w:val="center"/>
                </w:tcPr>
                <w:p w14:paraId="3C20976A">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rPr>
                  </w:pPr>
                  <w:r>
                    <w:rPr>
                      <w:bCs/>
                      <w:color w:val="000000"/>
                      <w:sz w:val="21"/>
                      <w:szCs w:val="21"/>
                    </w:rPr>
                    <w:t>定期交由有资质单位处置</w:t>
                  </w:r>
                </w:p>
              </w:tc>
              <w:tc>
                <w:tcPr>
                  <w:tcW w:w="429" w:type="pct"/>
                  <w:noWrap w:val="0"/>
                  <w:vAlign w:val="center"/>
                </w:tcPr>
                <w:p w14:paraId="590E74EB">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bCs/>
                      <w:color w:val="000000"/>
                      <w:sz w:val="21"/>
                      <w:szCs w:val="21"/>
                      <w:lang w:val="en-US" w:eastAsia="zh-CN"/>
                    </w:rPr>
                  </w:pPr>
                  <w:r>
                    <w:rPr>
                      <w:rFonts w:hint="eastAsia"/>
                      <w:bCs/>
                      <w:color w:val="000000"/>
                      <w:sz w:val="21"/>
                      <w:szCs w:val="21"/>
                    </w:rPr>
                    <w:t>0.</w:t>
                  </w:r>
                  <w:r>
                    <w:rPr>
                      <w:rFonts w:hint="eastAsia"/>
                      <w:bCs/>
                      <w:color w:val="000000"/>
                      <w:sz w:val="21"/>
                      <w:szCs w:val="21"/>
                      <w:lang w:val="en-US" w:eastAsia="zh-CN"/>
                    </w:rPr>
                    <w:t>01</w:t>
                  </w:r>
                </w:p>
              </w:tc>
            </w:tr>
            <w:tr w14:paraId="79DF48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04" w:type="pct"/>
                  <w:vMerge w:val="continue"/>
                  <w:noWrap w:val="0"/>
                  <w:vAlign w:val="center"/>
                </w:tcPr>
                <w:p w14:paraId="21577847">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rPr>
                  </w:pPr>
                </w:p>
              </w:tc>
              <w:tc>
                <w:tcPr>
                  <w:tcW w:w="403" w:type="pct"/>
                  <w:noWrap w:val="0"/>
                  <w:vAlign w:val="center"/>
                </w:tcPr>
                <w:p w14:paraId="36C81465">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bCs/>
                      <w:color w:val="000000"/>
                      <w:sz w:val="21"/>
                      <w:szCs w:val="21"/>
                    </w:rPr>
                  </w:pPr>
                  <w:r>
                    <w:rPr>
                      <w:rFonts w:hint="eastAsia"/>
                      <w:bCs/>
                      <w:color w:val="000000"/>
                      <w:sz w:val="21"/>
                      <w:szCs w:val="21"/>
                      <w:lang w:val="en-US" w:eastAsia="zh-CN"/>
                    </w:rPr>
                    <w:t>实验室废</w:t>
                  </w:r>
                  <w:r>
                    <w:rPr>
                      <w:rFonts w:hint="eastAsia"/>
                      <w:bCs/>
                      <w:color w:val="000000"/>
                      <w:sz w:val="21"/>
                      <w:szCs w:val="21"/>
                    </w:rPr>
                    <w:t>液</w:t>
                  </w:r>
                </w:p>
              </w:tc>
              <w:tc>
                <w:tcPr>
                  <w:tcW w:w="721" w:type="pct"/>
                  <w:noWrap w:val="0"/>
                  <w:vAlign w:val="center"/>
                </w:tcPr>
                <w:p w14:paraId="42C97D32">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危险废物</w:t>
                  </w:r>
                </w:p>
                <w:p w14:paraId="3F0F8E0D">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rPr>
                  </w:pPr>
                  <w:r>
                    <w:rPr>
                      <w:rFonts w:ascii="Times New Roman" w:hAnsi="Times New Roman" w:eastAsia="宋体" w:cs="Times New Roman"/>
                      <w:bCs/>
                      <w:color w:val="000000"/>
                      <w:sz w:val="21"/>
                      <w:szCs w:val="21"/>
                    </w:rPr>
                    <w:t>HW</w:t>
                  </w:r>
                  <w:r>
                    <w:rPr>
                      <w:rFonts w:hint="eastAsia" w:ascii="Times New Roman" w:hAnsi="Times New Roman" w:eastAsia="宋体" w:cs="Times New Roman"/>
                      <w:bCs/>
                      <w:color w:val="000000"/>
                      <w:sz w:val="21"/>
                      <w:szCs w:val="21"/>
                    </w:rPr>
                    <w:t>49</w:t>
                  </w:r>
                  <w:r>
                    <w:rPr>
                      <w:rFonts w:ascii="Times New Roman" w:hAnsi="Times New Roman" w:eastAsia="宋体" w:cs="Times New Roman"/>
                      <w:bCs/>
                      <w:color w:val="000000"/>
                      <w:sz w:val="21"/>
                      <w:szCs w:val="21"/>
                    </w:rPr>
                    <w:t xml:space="preserve"> 900-04</w:t>
                  </w:r>
                  <w:r>
                    <w:rPr>
                      <w:rFonts w:hint="eastAsia" w:cs="Times New Roman"/>
                      <w:bCs/>
                      <w:color w:val="000000"/>
                      <w:sz w:val="21"/>
                      <w:szCs w:val="21"/>
                      <w:lang w:val="en-US" w:eastAsia="zh-CN"/>
                    </w:rPr>
                    <w:t>7</w:t>
                  </w:r>
                  <w:r>
                    <w:rPr>
                      <w:rFonts w:ascii="Times New Roman" w:hAnsi="Times New Roman" w:eastAsia="宋体" w:cs="Times New Roman"/>
                      <w:bCs/>
                      <w:color w:val="000000"/>
                      <w:sz w:val="21"/>
                      <w:szCs w:val="21"/>
                    </w:rPr>
                    <w:t>-499</w:t>
                  </w:r>
                </w:p>
              </w:tc>
              <w:tc>
                <w:tcPr>
                  <w:tcW w:w="559" w:type="pct"/>
                  <w:shd w:val="clear" w:color="auto" w:fill="auto"/>
                  <w:noWrap w:val="0"/>
                  <w:vAlign w:val="center"/>
                </w:tcPr>
                <w:p w14:paraId="4FDCE611">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实验室废</w:t>
                  </w:r>
                  <w:r>
                    <w:rPr>
                      <w:rFonts w:hint="eastAsia"/>
                      <w:bCs/>
                      <w:color w:val="000000"/>
                      <w:sz w:val="21"/>
                      <w:szCs w:val="21"/>
                    </w:rPr>
                    <w:t>液</w:t>
                  </w:r>
                </w:p>
              </w:tc>
              <w:tc>
                <w:tcPr>
                  <w:tcW w:w="393" w:type="pct"/>
                  <w:noWrap w:val="0"/>
                  <w:vAlign w:val="center"/>
                </w:tcPr>
                <w:p w14:paraId="28C26921">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bCs/>
                      <w:color w:val="000000"/>
                      <w:sz w:val="21"/>
                      <w:szCs w:val="21"/>
                    </w:rPr>
                  </w:pPr>
                  <w:r>
                    <w:rPr>
                      <w:rFonts w:hint="eastAsia"/>
                      <w:bCs/>
                      <w:color w:val="000000"/>
                      <w:sz w:val="21"/>
                      <w:szCs w:val="21"/>
                    </w:rPr>
                    <w:t>液态</w:t>
                  </w:r>
                </w:p>
              </w:tc>
              <w:tc>
                <w:tcPr>
                  <w:tcW w:w="890" w:type="dxa"/>
                  <w:noWrap w:val="0"/>
                  <w:vAlign w:val="center"/>
                </w:tcPr>
                <w:p w14:paraId="7279417D">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rPr>
                  </w:pPr>
                  <w:r>
                    <w:rPr>
                      <w:rFonts w:hint="eastAsia"/>
                      <w:bCs/>
                      <w:color w:val="000000"/>
                      <w:sz w:val="21"/>
                      <w:szCs w:val="21"/>
                    </w:rPr>
                    <w:t>T/C/R</w:t>
                  </w:r>
                </w:p>
              </w:tc>
              <w:tc>
                <w:tcPr>
                  <w:tcW w:w="483" w:type="pct"/>
                  <w:noWrap w:val="0"/>
                  <w:vAlign w:val="center"/>
                </w:tcPr>
                <w:p w14:paraId="23E977A6">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bCs/>
                      <w:color w:val="000000"/>
                      <w:sz w:val="21"/>
                      <w:szCs w:val="21"/>
                      <w:lang w:val="en-US" w:eastAsia="zh-CN"/>
                    </w:rPr>
                  </w:pPr>
                  <w:r>
                    <w:rPr>
                      <w:rFonts w:hint="eastAsia"/>
                      <w:bCs/>
                      <w:color w:val="000000"/>
                      <w:sz w:val="21"/>
                      <w:szCs w:val="21"/>
                      <w:lang w:val="en-US" w:eastAsia="zh-CN"/>
                    </w:rPr>
                    <w:t>5.76</w:t>
                  </w:r>
                </w:p>
              </w:tc>
              <w:tc>
                <w:tcPr>
                  <w:tcW w:w="620" w:type="pct"/>
                  <w:noWrap w:val="0"/>
                  <w:vAlign w:val="center"/>
                </w:tcPr>
                <w:p w14:paraId="1407E15D">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rPr>
                  </w:pPr>
                  <w:r>
                    <w:rPr>
                      <w:rFonts w:hint="eastAsia"/>
                      <w:bCs/>
                      <w:color w:val="000000"/>
                      <w:sz w:val="21"/>
                      <w:szCs w:val="21"/>
                    </w:rPr>
                    <w:t>专用桶收集后暂存于危废暂存间</w:t>
                  </w:r>
                </w:p>
              </w:tc>
              <w:tc>
                <w:tcPr>
                  <w:tcW w:w="432" w:type="pct"/>
                  <w:vMerge w:val="continue"/>
                  <w:noWrap w:val="0"/>
                  <w:vAlign w:val="center"/>
                </w:tcPr>
                <w:p w14:paraId="5FBCF3B6">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rPr>
                  </w:pPr>
                </w:p>
              </w:tc>
              <w:tc>
                <w:tcPr>
                  <w:tcW w:w="429" w:type="pct"/>
                  <w:shd w:val="clear" w:color="auto" w:fill="auto"/>
                  <w:noWrap w:val="0"/>
                  <w:vAlign w:val="center"/>
                </w:tcPr>
                <w:p w14:paraId="4CD1440E">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5.76</w:t>
                  </w:r>
                </w:p>
              </w:tc>
            </w:tr>
            <w:tr w14:paraId="37F1E7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04" w:type="pct"/>
                  <w:noWrap w:val="0"/>
                  <w:vAlign w:val="center"/>
                </w:tcPr>
                <w:p w14:paraId="75608469">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bCs/>
                      <w:color w:val="000000"/>
                      <w:sz w:val="21"/>
                      <w:szCs w:val="21"/>
                      <w:lang w:val="en-US" w:eastAsia="zh-CN"/>
                    </w:rPr>
                  </w:pPr>
                  <w:r>
                    <w:rPr>
                      <w:rFonts w:hint="eastAsia"/>
                      <w:bCs/>
                      <w:color w:val="000000"/>
                      <w:sz w:val="21"/>
                      <w:szCs w:val="21"/>
                      <w:lang w:val="en-US" w:eastAsia="zh-CN"/>
                    </w:rPr>
                    <w:t>活性炭吸附装置</w:t>
                  </w:r>
                </w:p>
              </w:tc>
              <w:tc>
                <w:tcPr>
                  <w:tcW w:w="403" w:type="pct"/>
                  <w:noWrap w:val="0"/>
                  <w:vAlign w:val="center"/>
                </w:tcPr>
                <w:p w14:paraId="12FC871F">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bCs/>
                      <w:color w:val="000000"/>
                      <w:sz w:val="21"/>
                      <w:szCs w:val="21"/>
                      <w:lang w:eastAsia="zh-CN"/>
                    </w:rPr>
                  </w:pPr>
                  <w:r>
                    <w:rPr>
                      <w:rFonts w:hint="eastAsia"/>
                      <w:bCs/>
                      <w:color w:val="000000"/>
                      <w:sz w:val="21"/>
                      <w:szCs w:val="21"/>
                    </w:rPr>
                    <w:t>废</w:t>
                  </w:r>
                  <w:r>
                    <w:rPr>
                      <w:rFonts w:hint="eastAsia"/>
                      <w:bCs/>
                      <w:color w:val="000000"/>
                      <w:sz w:val="21"/>
                      <w:szCs w:val="21"/>
                      <w:lang w:val="en-US" w:eastAsia="zh-CN"/>
                    </w:rPr>
                    <w:t>活性炭</w:t>
                  </w:r>
                </w:p>
              </w:tc>
              <w:tc>
                <w:tcPr>
                  <w:tcW w:w="721" w:type="pct"/>
                  <w:noWrap w:val="0"/>
                  <w:vAlign w:val="center"/>
                </w:tcPr>
                <w:p w14:paraId="67EFA47C">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危险废物</w:t>
                  </w:r>
                </w:p>
                <w:p w14:paraId="579AC992">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rPr>
                  </w:pPr>
                  <w:r>
                    <w:rPr>
                      <w:rFonts w:ascii="Times New Roman" w:hAnsi="Times New Roman" w:eastAsia="宋体" w:cs="Times New Roman"/>
                      <w:bCs/>
                      <w:color w:val="000000"/>
                      <w:sz w:val="21"/>
                      <w:szCs w:val="21"/>
                    </w:rPr>
                    <w:t>HW</w:t>
                  </w:r>
                  <w:r>
                    <w:rPr>
                      <w:rFonts w:hint="eastAsia" w:ascii="Times New Roman" w:hAnsi="Times New Roman" w:eastAsia="宋体" w:cs="Times New Roman"/>
                      <w:bCs/>
                      <w:color w:val="000000"/>
                      <w:sz w:val="21"/>
                      <w:szCs w:val="21"/>
                    </w:rPr>
                    <w:t>49</w:t>
                  </w:r>
                  <w:r>
                    <w:rPr>
                      <w:rFonts w:ascii="Times New Roman" w:hAnsi="Times New Roman" w:eastAsia="宋体" w:cs="Times New Roman"/>
                      <w:bCs/>
                      <w:color w:val="000000"/>
                      <w:sz w:val="21"/>
                      <w:szCs w:val="21"/>
                    </w:rPr>
                    <w:t xml:space="preserve"> 900-041-499</w:t>
                  </w:r>
                </w:p>
              </w:tc>
              <w:tc>
                <w:tcPr>
                  <w:tcW w:w="559" w:type="pct"/>
                  <w:shd w:val="clear" w:color="auto" w:fill="auto"/>
                  <w:noWrap w:val="0"/>
                  <w:vAlign w:val="center"/>
                </w:tcPr>
                <w:p w14:paraId="28AAD2B7">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沾染活性炭</w:t>
                  </w:r>
                </w:p>
              </w:tc>
              <w:tc>
                <w:tcPr>
                  <w:tcW w:w="393" w:type="pct"/>
                  <w:noWrap w:val="0"/>
                  <w:vAlign w:val="center"/>
                </w:tcPr>
                <w:p w14:paraId="18899813">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bCs/>
                      <w:color w:val="000000"/>
                      <w:sz w:val="21"/>
                      <w:szCs w:val="21"/>
                      <w:lang w:val="en-US" w:eastAsia="zh-CN"/>
                    </w:rPr>
                  </w:pPr>
                  <w:r>
                    <w:rPr>
                      <w:rFonts w:hint="eastAsia"/>
                      <w:bCs/>
                      <w:color w:val="000000"/>
                      <w:sz w:val="21"/>
                      <w:szCs w:val="21"/>
                      <w:lang w:val="en-US" w:eastAsia="zh-CN"/>
                    </w:rPr>
                    <w:t>固态</w:t>
                  </w:r>
                </w:p>
              </w:tc>
              <w:tc>
                <w:tcPr>
                  <w:tcW w:w="550" w:type="pct"/>
                  <w:noWrap w:val="0"/>
                  <w:vAlign w:val="center"/>
                </w:tcPr>
                <w:p w14:paraId="1D07CA7E">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rPr>
                  </w:pPr>
                  <w:r>
                    <w:rPr>
                      <w:rFonts w:hint="eastAsia"/>
                      <w:bCs/>
                      <w:color w:val="000000"/>
                      <w:sz w:val="21"/>
                      <w:szCs w:val="21"/>
                    </w:rPr>
                    <w:t>T/In</w:t>
                  </w:r>
                </w:p>
              </w:tc>
              <w:tc>
                <w:tcPr>
                  <w:tcW w:w="483" w:type="pct"/>
                  <w:noWrap w:val="0"/>
                  <w:vAlign w:val="center"/>
                </w:tcPr>
                <w:p w14:paraId="3FC74B13">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bCs/>
                      <w:color w:val="000000"/>
                      <w:sz w:val="21"/>
                      <w:szCs w:val="21"/>
                      <w:lang w:val="en-US" w:eastAsia="zh-CN"/>
                    </w:rPr>
                  </w:pPr>
                  <w:r>
                    <w:rPr>
                      <w:rFonts w:hint="eastAsia"/>
                      <w:bCs/>
                      <w:color w:val="000000"/>
                      <w:sz w:val="21"/>
                      <w:szCs w:val="21"/>
                      <w:lang w:val="en-US" w:eastAsia="zh-CN"/>
                    </w:rPr>
                    <w:t>10</w:t>
                  </w:r>
                </w:p>
              </w:tc>
              <w:tc>
                <w:tcPr>
                  <w:tcW w:w="620" w:type="pct"/>
                  <w:noWrap w:val="0"/>
                  <w:vAlign w:val="center"/>
                </w:tcPr>
                <w:p w14:paraId="4DD0B84F">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rPr>
                  </w:pPr>
                  <w:r>
                    <w:rPr>
                      <w:rFonts w:hint="eastAsia"/>
                      <w:bCs/>
                      <w:color w:val="000000"/>
                      <w:sz w:val="21"/>
                      <w:szCs w:val="21"/>
                    </w:rPr>
                    <w:t>专用桶收集后暂存于危废暂存间</w:t>
                  </w:r>
                </w:p>
              </w:tc>
              <w:tc>
                <w:tcPr>
                  <w:tcW w:w="432" w:type="pct"/>
                  <w:vMerge w:val="continue"/>
                  <w:noWrap w:val="0"/>
                  <w:vAlign w:val="center"/>
                </w:tcPr>
                <w:p w14:paraId="2EBCE1D7">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rPr>
                  </w:pPr>
                </w:p>
              </w:tc>
              <w:tc>
                <w:tcPr>
                  <w:tcW w:w="429" w:type="pct"/>
                  <w:shd w:val="clear" w:color="auto" w:fill="auto"/>
                  <w:noWrap w:val="0"/>
                  <w:vAlign w:val="center"/>
                </w:tcPr>
                <w:p w14:paraId="63714B0C">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10</w:t>
                  </w:r>
                </w:p>
              </w:tc>
            </w:tr>
            <w:tr w14:paraId="6BFE8C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04" w:type="pct"/>
                  <w:vMerge w:val="restart"/>
                  <w:noWrap w:val="0"/>
                  <w:vAlign w:val="center"/>
                </w:tcPr>
                <w:p w14:paraId="196B1607">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bCs/>
                      <w:color w:val="000000"/>
                      <w:sz w:val="21"/>
                      <w:szCs w:val="21"/>
                      <w:lang w:val="en-US" w:eastAsia="zh-CN"/>
                    </w:rPr>
                  </w:pPr>
                  <w:r>
                    <w:rPr>
                      <w:rFonts w:hint="eastAsia"/>
                      <w:bCs/>
                      <w:color w:val="000000"/>
                      <w:sz w:val="21"/>
                      <w:szCs w:val="21"/>
                      <w:lang w:val="en-US" w:eastAsia="zh-CN"/>
                    </w:rPr>
                    <w:t>毒性药材生产过程</w:t>
                  </w:r>
                </w:p>
              </w:tc>
              <w:tc>
                <w:tcPr>
                  <w:tcW w:w="403" w:type="pct"/>
                  <w:noWrap w:val="0"/>
                  <w:vAlign w:val="center"/>
                </w:tcPr>
                <w:p w14:paraId="1EC0E01C">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rPr>
                  </w:pPr>
                  <w:r>
                    <w:rPr>
                      <w:rFonts w:hint="eastAsia"/>
                      <w:bCs/>
                      <w:color w:val="000000"/>
                      <w:sz w:val="21"/>
                      <w:szCs w:val="21"/>
                      <w:lang w:val="en-US" w:eastAsia="zh-CN"/>
                    </w:rPr>
                    <w:t>毒性</w:t>
                  </w:r>
                  <w:r>
                    <w:rPr>
                      <w:rFonts w:hint="eastAsia"/>
                      <w:bCs/>
                      <w:color w:val="000000"/>
                      <w:sz w:val="21"/>
                      <w:szCs w:val="21"/>
                    </w:rPr>
                    <w:t>药材废弃物</w:t>
                  </w:r>
                </w:p>
              </w:tc>
              <w:tc>
                <w:tcPr>
                  <w:tcW w:w="721" w:type="pct"/>
                  <w:noWrap w:val="0"/>
                  <w:vAlign w:val="center"/>
                </w:tcPr>
                <w:p w14:paraId="764F8A0D">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危险废物</w:t>
                  </w:r>
                </w:p>
                <w:p w14:paraId="7EC54086">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HW03</w:t>
                  </w:r>
                </w:p>
                <w:p w14:paraId="219B0B71">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900-002-03</w:t>
                  </w:r>
                </w:p>
              </w:tc>
              <w:tc>
                <w:tcPr>
                  <w:tcW w:w="559" w:type="pct"/>
                  <w:shd w:val="clear" w:color="auto" w:fill="auto"/>
                  <w:noWrap w:val="0"/>
                  <w:vAlign w:val="center"/>
                </w:tcPr>
                <w:p w14:paraId="01C1A22C">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rPr>
                  </w:pPr>
                  <w:r>
                    <w:rPr>
                      <w:rFonts w:hint="eastAsia"/>
                      <w:bCs/>
                      <w:color w:val="000000"/>
                      <w:sz w:val="21"/>
                      <w:szCs w:val="21"/>
                      <w:lang w:val="en-US" w:eastAsia="zh-CN"/>
                    </w:rPr>
                    <w:t>毒性</w:t>
                  </w:r>
                  <w:r>
                    <w:rPr>
                      <w:rFonts w:hint="eastAsia"/>
                      <w:bCs/>
                      <w:color w:val="000000"/>
                      <w:sz w:val="21"/>
                      <w:szCs w:val="21"/>
                    </w:rPr>
                    <w:t>药材</w:t>
                  </w:r>
                </w:p>
              </w:tc>
              <w:tc>
                <w:tcPr>
                  <w:tcW w:w="393" w:type="pct"/>
                  <w:noWrap w:val="0"/>
                  <w:vAlign w:val="center"/>
                </w:tcPr>
                <w:p w14:paraId="7E0C5A9A">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lang w:val="en-US" w:eastAsia="zh-CN"/>
                    </w:rPr>
                  </w:pPr>
                  <w:r>
                    <w:rPr>
                      <w:rFonts w:hint="eastAsia"/>
                      <w:bCs/>
                      <w:color w:val="000000"/>
                      <w:sz w:val="21"/>
                      <w:szCs w:val="21"/>
                      <w:lang w:val="en-US" w:eastAsia="zh-CN"/>
                    </w:rPr>
                    <w:t>固态</w:t>
                  </w:r>
                </w:p>
              </w:tc>
              <w:tc>
                <w:tcPr>
                  <w:tcW w:w="550" w:type="pct"/>
                  <w:noWrap w:val="0"/>
                  <w:vAlign w:val="center"/>
                </w:tcPr>
                <w:p w14:paraId="2737D4D1">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rPr>
                  </w:pPr>
                  <w:r>
                    <w:rPr>
                      <w:rFonts w:hint="eastAsia"/>
                    </w:rPr>
                    <w:t>T</w:t>
                  </w:r>
                </w:p>
              </w:tc>
              <w:tc>
                <w:tcPr>
                  <w:tcW w:w="483" w:type="pct"/>
                  <w:noWrap w:val="0"/>
                  <w:vAlign w:val="center"/>
                </w:tcPr>
                <w:p w14:paraId="1EE7FAB4">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bCs/>
                      <w:color w:val="000000"/>
                      <w:sz w:val="21"/>
                      <w:szCs w:val="21"/>
                      <w:lang w:val="en-US" w:eastAsia="zh-CN"/>
                    </w:rPr>
                  </w:pPr>
                  <w:r>
                    <w:rPr>
                      <w:rFonts w:hint="eastAsia"/>
                      <w:bCs/>
                      <w:color w:val="000000"/>
                      <w:sz w:val="21"/>
                      <w:szCs w:val="21"/>
                      <w:lang w:val="en-US" w:eastAsia="zh-CN"/>
                    </w:rPr>
                    <w:t>4.8</w:t>
                  </w:r>
                </w:p>
              </w:tc>
              <w:tc>
                <w:tcPr>
                  <w:tcW w:w="620" w:type="pct"/>
                  <w:noWrap w:val="0"/>
                  <w:vAlign w:val="center"/>
                </w:tcPr>
                <w:p w14:paraId="597B1DA0">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rPr>
                  </w:pPr>
                  <w:r>
                    <w:rPr>
                      <w:rFonts w:hint="eastAsia"/>
                      <w:bCs/>
                      <w:color w:val="000000"/>
                      <w:sz w:val="21"/>
                      <w:szCs w:val="21"/>
                    </w:rPr>
                    <w:t>专用桶收集后暂存于危废暂存间</w:t>
                  </w:r>
                </w:p>
              </w:tc>
              <w:tc>
                <w:tcPr>
                  <w:tcW w:w="432" w:type="pct"/>
                  <w:vMerge w:val="continue"/>
                  <w:noWrap w:val="0"/>
                  <w:vAlign w:val="center"/>
                </w:tcPr>
                <w:p w14:paraId="7449DC8D">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rPr>
                  </w:pPr>
                </w:p>
              </w:tc>
              <w:tc>
                <w:tcPr>
                  <w:tcW w:w="429" w:type="pct"/>
                  <w:shd w:val="clear" w:color="auto" w:fill="auto"/>
                  <w:noWrap w:val="0"/>
                  <w:vAlign w:val="center"/>
                </w:tcPr>
                <w:p w14:paraId="02EF2484">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4.8</w:t>
                  </w:r>
                </w:p>
              </w:tc>
            </w:tr>
            <w:tr w14:paraId="4CB08E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04" w:type="pct"/>
                  <w:vMerge w:val="continue"/>
                  <w:noWrap w:val="0"/>
                  <w:vAlign w:val="center"/>
                </w:tcPr>
                <w:p w14:paraId="7EF1ADDC">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lang w:val="en-US" w:eastAsia="zh-CN"/>
                    </w:rPr>
                  </w:pPr>
                </w:p>
              </w:tc>
              <w:tc>
                <w:tcPr>
                  <w:tcW w:w="403" w:type="pct"/>
                  <w:noWrap w:val="0"/>
                  <w:vAlign w:val="center"/>
                </w:tcPr>
                <w:p w14:paraId="5ACA7993">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bCs/>
                      <w:color w:val="000000"/>
                      <w:sz w:val="21"/>
                      <w:szCs w:val="21"/>
                      <w:lang w:val="en-US" w:eastAsia="zh-CN"/>
                    </w:rPr>
                  </w:pPr>
                  <w:r>
                    <w:rPr>
                      <w:rFonts w:hint="eastAsia"/>
                      <w:bCs/>
                      <w:color w:val="000000"/>
                      <w:sz w:val="21"/>
                      <w:szCs w:val="21"/>
                      <w:lang w:val="en-US" w:eastAsia="zh-CN"/>
                    </w:rPr>
                    <w:t>毒性药渣</w:t>
                  </w:r>
                </w:p>
              </w:tc>
              <w:tc>
                <w:tcPr>
                  <w:tcW w:w="721" w:type="pct"/>
                  <w:noWrap w:val="0"/>
                  <w:vAlign w:val="center"/>
                </w:tcPr>
                <w:p w14:paraId="14BD2946">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危险废物</w:t>
                  </w:r>
                </w:p>
                <w:p w14:paraId="472E37D4">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HW03</w:t>
                  </w:r>
                </w:p>
                <w:p w14:paraId="35F078A9">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900-002-03</w:t>
                  </w:r>
                </w:p>
              </w:tc>
              <w:tc>
                <w:tcPr>
                  <w:tcW w:w="559" w:type="pct"/>
                  <w:shd w:val="clear" w:color="auto" w:fill="auto"/>
                  <w:noWrap w:val="0"/>
                  <w:vAlign w:val="center"/>
                </w:tcPr>
                <w:p w14:paraId="5863560B">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lang w:val="en-US" w:eastAsia="zh-CN"/>
                    </w:rPr>
                  </w:pPr>
                  <w:r>
                    <w:rPr>
                      <w:rFonts w:hint="eastAsia"/>
                      <w:bCs/>
                      <w:color w:val="000000"/>
                      <w:sz w:val="21"/>
                      <w:szCs w:val="21"/>
                      <w:lang w:val="en-US" w:eastAsia="zh-CN"/>
                    </w:rPr>
                    <w:t>毒性</w:t>
                  </w:r>
                  <w:r>
                    <w:rPr>
                      <w:rFonts w:hint="eastAsia"/>
                      <w:bCs/>
                      <w:color w:val="000000"/>
                      <w:sz w:val="21"/>
                      <w:szCs w:val="21"/>
                    </w:rPr>
                    <w:t>药材</w:t>
                  </w:r>
                </w:p>
              </w:tc>
              <w:tc>
                <w:tcPr>
                  <w:tcW w:w="393" w:type="pct"/>
                  <w:noWrap w:val="0"/>
                  <w:vAlign w:val="center"/>
                </w:tcPr>
                <w:p w14:paraId="0D6AF53F">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lang w:val="en-US" w:eastAsia="zh-CN"/>
                    </w:rPr>
                  </w:pPr>
                  <w:r>
                    <w:rPr>
                      <w:rFonts w:hint="eastAsia"/>
                      <w:bCs/>
                      <w:color w:val="000000"/>
                      <w:sz w:val="21"/>
                      <w:szCs w:val="21"/>
                      <w:lang w:val="en-US" w:eastAsia="zh-CN"/>
                    </w:rPr>
                    <w:t>固态</w:t>
                  </w:r>
                </w:p>
              </w:tc>
              <w:tc>
                <w:tcPr>
                  <w:tcW w:w="550" w:type="pct"/>
                  <w:noWrap w:val="0"/>
                  <w:vAlign w:val="center"/>
                </w:tcPr>
                <w:p w14:paraId="348902F9">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rPr>
                  </w:pPr>
                  <w:r>
                    <w:rPr>
                      <w:rFonts w:hint="eastAsia"/>
                    </w:rPr>
                    <w:t>T</w:t>
                  </w:r>
                </w:p>
              </w:tc>
              <w:tc>
                <w:tcPr>
                  <w:tcW w:w="483" w:type="pct"/>
                  <w:noWrap w:val="0"/>
                  <w:vAlign w:val="center"/>
                </w:tcPr>
                <w:p w14:paraId="39BD4A57">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bCs/>
                      <w:color w:val="000000"/>
                      <w:sz w:val="21"/>
                      <w:szCs w:val="21"/>
                      <w:lang w:val="en-US" w:eastAsia="zh-CN"/>
                    </w:rPr>
                  </w:pPr>
                  <w:r>
                    <w:rPr>
                      <w:rFonts w:hint="eastAsia"/>
                      <w:bCs/>
                      <w:color w:val="000000"/>
                      <w:sz w:val="21"/>
                      <w:szCs w:val="21"/>
                      <w:lang w:val="en-US" w:eastAsia="zh-CN"/>
                    </w:rPr>
                    <w:t>4</w:t>
                  </w:r>
                </w:p>
              </w:tc>
              <w:tc>
                <w:tcPr>
                  <w:tcW w:w="620" w:type="pct"/>
                  <w:noWrap w:val="0"/>
                  <w:vAlign w:val="center"/>
                </w:tcPr>
                <w:p w14:paraId="3C3CF202">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rPr>
                  </w:pPr>
                  <w:r>
                    <w:rPr>
                      <w:rFonts w:hint="eastAsia"/>
                      <w:bCs/>
                      <w:color w:val="000000"/>
                      <w:sz w:val="21"/>
                      <w:szCs w:val="21"/>
                    </w:rPr>
                    <w:t>专用桶收集后暂存于危废暂存间</w:t>
                  </w:r>
                </w:p>
              </w:tc>
              <w:tc>
                <w:tcPr>
                  <w:tcW w:w="432" w:type="pct"/>
                  <w:vMerge w:val="continue"/>
                  <w:noWrap w:val="0"/>
                  <w:vAlign w:val="center"/>
                </w:tcPr>
                <w:p w14:paraId="70FBBCBE">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rPr>
                  </w:pPr>
                </w:p>
              </w:tc>
              <w:tc>
                <w:tcPr>
                  <w:tcW w:w="429" w:type="pct"/>
                  <w:shd w:val="clear" w:color="auto" w:fill="auto"/>
                  <w:noWrap w:val="0"/>
                  <w:vAlign w:val="center"/>
                </w:tcPr>
                <w:p w14:paraId="41C3B327">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bCs/>
                      <w:color w:val="000000"/>
                      <w:sz w:val="21"/>
                      <w:szCs w:val="21"/>
                      <w:lang w:val="en-US" w:eastAsia="zh-CN"/>
                    </w:rPr>
                  </w:pPr>
                  <w:r>
                    <w:rPr>
                      <w:rFonts w:hint="eastAsia"/>
                      <w:bCs/>
                      <w:color w:val="000000"/>
                      <w:sz w:val="21"/>
                      <w:szCs w:val="21"/>
                      <w:lang w:val="en-US" w:eastAsia="zh-CN"/>
                    </w:rPr>
                    <w:t>4</w:t>
                  </w:r>
                </w:p>
              </w:tc>
            </w:tr>
            <w:tr w14:paraId="60A7D2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04" w:type="pct"/>
                  <w:vMerge w:val="continue"/>
                  <w:noWrap w:val="0"/>
                  <w:vAlign w:val="center"/>
                </w:tcPr>
                <w:p w14:paraId="7F3AD22B">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lang w:val="en-US" w:eastAsia="zh-CN"/>
                    </w:rPr>
                  </w:pPr>
                </w:p>
              </w:tc>
              <w:tc>
                <w:tcPr>
                  <w:tcW w:w="403" w:type="pct"/>
                  <w:noWrap w:val="0"/>
                  <w:vAlign w:val="center"/>
                </w:tcPr>
                <w:p w14:paraId="44590CC3">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bCs/>
                      <w:color w:val="000000"/>
                      <w:sz w:val="21"/>
                      <w:szCs w:val="21"/>
                      <w:lang w:val="en-US" w:eastAsia="zh-CN"/>
                    </w:rPr>
                  </w:pPr>
                  <w:r>
                    <w:rPr>
                      <w:rFonts w:hint="eastAsia"/>
                      <w:bCs/>
                      <w:color w:val="000000"/>
                      <w:sz w:val="21"/>
                      <w:szCs w:val="21"/>
                      <w:lang w:val="en-US" w:eastAsia="zh-CN"/>
                    </w:rPr>
                    <w:t>毒性饮片除尘器截留药尘</w:t>
                  </w:r>
                </w:p>
              </w:tc>
              <w:tc>
                <w:tcPr>
                  <w:tcW w:w="721" w:type="pct"/>
                  <w:shd w:val="clear" w:color="auto" w:fill="auto"/>
                  <w:noWrap w:val="0"/>
                  <w:vAlign w:val="center"/>
                </w:tcPr>
                <w:p w14:paraId="0A5C1DE8">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危险废物</w:t>
                  </w:r>
                </w:p>
                <w:p w14:paraId="4255C4A0">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HW03</w:t>
                  </w:r>
                </w:p>
                <w:p w14:paraId="37F41E1C">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sz w:val="21"/>
                      <w:szCs w:val="21"/>
                    </w:rPr>
                    <w:t>900-002-03</w:t>
                  </w:r>
                </w:p>
              </w:tc>
              <w:tc>
                <w:tcPr>
                  <w:tcW w:w="559" w:type="pct"/>
                  <w:shd w:val="clear" w:color="auto" w:fill="auto"/>
                  <w:noWrap w:val="0"/>
                  <w:vAlign w:val="center"/>
                </w:tcPr>
                <w:p w14:paraId="542F5C3C">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毒性</w:t>
                  </w:r>
                  <w:r>
                    <w:rPr>
                      <w:rFonts w:hint="eastAsia"/>
                      <w:bCs/>
                      <w:color w:val="000000"/>
                      <w:sz w:val="21"/>
                      <w:szCs w:val="21"/>
                    </w:rPr>
                    <w:t>药材</w:t>
                  </w:r>
                </w:p>
              </w:tc>
              <w:tc>
                <w:tcPr>
                  <w:tcW w:w="393" w:type="pct"/>
                  <w:shd w:val="clear" w:color="auto" w:fill="auto"/>
                  <w:noWrap w:val="0"/>
                  <w:vAlign w:val="center"/>
                </w:tcPr>
                <w:p w14:paraId="6F7B0A39">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固态</w:t>
                  </w:r>
                </w:p>
              </w:tc>
              <w:tc>
                <w:tcPr>
                  <w:tcW w:w="550" w:type="pct"/>
                  <w:shd w:val="clear" w:color="auto" w:fill="auto"/>
                  <w:noWrap w:val="0"/>
                  <w:vAlign w:val="center"/>
                </w:tcPr>
                <w:p w14:paraId="422618B4">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rPr>
                    <w:t>T</w:t>
                  </w:r>
                </w:p>
              </w:tc>
              <w:tc>
                <w:tcPr>
                  <w:tcW w:w="483" w:type="pct"/>
                  <w:noWrap w:val="0"/>
                  <w:vAlign w:val="center"/>
                </w:tcPr>
                <w:p w14:paraId="04E41987">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bCs/>
                      <w:color w:val="000000"/>
                      <w:sz w:val="21"/>
                      <w:szCs w:val="21"/>
                      <w:lang w:val="en-US" w:eastAsia="zh-CN"/>
                    </w:rPr>
                  </w:pPr>
                  <w:r>
                    <w:rPr>
                      <w:rFonts w:hint="eastAsia"/>
                      <w:bCs/>
                      <w:color w:val="000000"/>
                      <w:sz w:val="21"/>
                      <w:szCs w:val="21"/>
                      <w:lang w:val="en-US" w:eastAsia="zh-CN"/>
                    </w:rPr>
                    <w:t>0.7524</w:t>
                  </w:r>
                </w:p>
              </w:tc>
              <w:tc>
                <w:tcPr>
                  <w:tcW w:w="620" w:type="pct"/>
                  <w:noWrap w:val="0"/>
                  <w:vAlign w:val="center"/>
                </w:tcPr>
                <w:p w14:paraId="62D9FD1A">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rPr>
                  </w:pPr>
                  <w:r>
                    <w:rPr>
                      <w:rFonts w:hint="eastAsia"/>
                      <w:bCs/>
                      <w:color w:val="000000"/>
                      <w:sz w:val="21"/>
                      <w:szCs w:val="21"/>
                    </w:rPr>
                    <w:t>专用桶收集后暂存于危废暂存间</w:t>
                  </w:r>
                </w:p>
              </w:tc>
              <w:tc>
                <w:tcPr>
                  <w:tcW w:w="432" w:type="pct"/>
                  <w:vMerge w:val="continue"/>
                  <w:noWrap w:val="0"/>
                  <w:vAlign w:val="center"/>
                </w:tcPr>
                <w:p w14:paraId="6C28DC60">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rPr>
                  </w:pPr>
                </w:p>
              </w:tc>
              <w:tc>
                <w:tcPr>
                  <w:tcW w:w="429" w:type="pct"/>
                  <w:shd w:val="clear" w:color="auto" w:fill="auto"/>
                  <w:noWrap w:val="0"/>
                  <w:vAlign w:val="center"/>
                </w:tcPr>
                <w:p w14:paraId="0F893543">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0.7524</w:t>
                  </w:r>
                </w:p>
              </w:tc>
            </w:tr>
            <w:tr w14:paraId="4FD368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04" w:type="pct"/>
                  <w:vMerge w:val="continue"/>
                  <w:noWrap w:val="0"/>
                  <w:vAlign w:val="center"/>
                </w:tcPr>
                <w:p w14:paraId="0C135459">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lang w:val="en-US" w:eastAsia="zh-CN"/>
                    </w:rPr>
                  </w:pPr>
                </w:p>
              </w:tc>
              <w:tc>
                <w:tcPr>
                  <w:tcW w:w="403" w:type="pct"/>
                  <w:noWrap w:val="0"/>
                  <w:vAlign w:val="center"/>
                </w:tcPr>
                <w:p w14:paraId="499754A2">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rPr>
                  </w:pPr>
                  <w:r>
                    <w:rPr>
                      <w:rFonts w:hint="eastAsia"/>
                      <w:bCs/>
                      <w:color w:val="000000"/>
                      <w:sz w:val="21"/>
                      <w:szCs w:val="21"/>
                      <w:lang w:val="en-US" w:eastAsia="zh-CN"/>
                    </w:rPr>
                    <w:t>毒性饮片检验过程中不合格品</w:t>
                  </w:r>
                </w:p>
              </w:tc>
              <w:tc>
                <w:tcPr>
                  <w:tcW w:w="721" w:type="pct"/>
                  <w:noWrap w:val="0"/>
                  <w:vAlign w:val="center"/>
                </w:tcPr>
                <w:p w14:paraId="33674369">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危险废物</w:t>
                  </w:r>
                </w:p>
                <w:p w14:paraId="7094C45B">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HW03</w:t>
                  </w:r>
                </w:p>
                <w:p w14:paraId="0F40D0B2">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900-002-03</w:t>
                  </w:r>
                </w:p>
              </w:tc>
              <w:tc>
                <w:tcPr>
                  <w:tcW w:w="559" w:type="pct"/>
                  <w:shd w:val="clear" w:color="auto" w:fill="auto"/>
                  <w:noWrap w:val="0"/>
                  <w:vAlign w:val="center"/>
                </w:tcPr>
                <w:p w14:paraId="0BE57865">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bCs/>
                      <w:color w:val="000000"/>
                      <w:sz w:val="21"/>
                      <w:szCs w:val="21"/>
                      <w:lang w:eastAsia="zh-CN"/>
                    </w:rPr>
                  </w:pPr>
                  <w:r>
                    <w:rPr>
                      <w:rFonts w:hint="eastAsia"/>
                      <w:bCs/>
                      <w:color w:val="000000"/>
                      <w:sz w:val="21"/>
                      <w:szCs w:val="21"/>
                      <w:lang w:val="en-US" w:eastAsia="zh-CN"/>
                    </w:rPr>
                    <w:t>毒性饮片</w:t>
                  </w:r>
                </w:p>
              </w:tc>
              <w:tc>
                <w:tcPr>
                  <w:tcW w:w="393" w:type="pct"/>
                  <w:noWrap w:val="0"/>
                  <w:vAlign w:val="center"/>
                </w:tcPr>
                <w:p w14:paraId="7486D1E9">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lang w:val="en-US" w:eastAsia="zh-CN"/>
                    </w:rPr>
                  </w:pPr>
                  <w:r>
                    <w:rPr>
                      <w:rFonts w:hint="eastAsia"/>
                      <w:bCs/>
                      <w:color w:val="000000"/>
                      <w:sz w:val="21"/>
                      <w:szCs w:val="21"/>
                      <w:lang w:val="en-US" w:eastAsia="zh-CN"/>
                    </w:rPr>
                    <w:t>固态</w:t>
                  </w:r>
                </w:p>
              </w:tc>
              <w:tc>
                <w:tcPr>
                  <w:tcW w:w="550" w:type="pct"/>
                  <w:noWrap w:val="0"/>
                  <w:vAlign w:val="center"/>
                </w:tcPr>
                <w:p w14:paraId="44ABE9D6">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rPr>
                  </w:pPr>
                  <w:r>
                    <w:rPr>
                      <w:rFonts w:hint="eastAsia"/>
                    </w:rPr>
                    <w:t>T</w:t>
                  </w:r>
                </w:p>
              </w:tc>
              <w:tc>
                <w:tcPr>
                  <w:tcW w:w="483" w:type="pct"/>
                  <w:noWrap w:val="0"/>
                  <w:vAlign w:val="center"/>
                </w:tcPr>
                <w:p w14:paraId="7B4EE731">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bCs/>
                      <w:color w:val="000000"/>
                      <w:sz w:val="21"/>
                      <w:szCs w:val="21"/>
                      <w:lang w:val="en-US" w:eastAsia="zh-CN"/>
                    </w:rPr>
                  </w:pPr>
                  <w:r>
                    <w:rPr>
                      <w:rFonts w:hint="eastAsia"/>
                      <w:bCs/>
                      <w:color w:val="000000"/>
                      <w:sz w:val="21"/>
                      <w:szCs w:val="21"/>
                      <w:lang w:val="en-US" w:eastAsia="zh-CN"/>
                    </w:rPr>
                    <w:t>0.05</w:t>
                  </w:r>
                </w:p>
              </w:tc>
              <w:tc>
                <w:tcPr>
                  <w:tcW w:w="620" w:type="pct"/>
                  <w:noWrap w:val="0"/>
                  <w:vAlign w:val="center"/>
                </w:tcPr>
                <w:p w14:paraId="6E602D2F">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rPr>
                  </w:pPr>
                  <w:r>
                    <w:rPr>
                      <w:rFonts w:hint="eastAsia"/>
                      <w:bCs/>
                      <w:color w:val="000000"/>
                      <w:sz w:val="21"/>
                      <w:szCs w:val="21"/>
                    </w:rPr>
                    <w:t>专用桶收集后暂存于危废暂存间</w:t>
                  </w:r>
                </w:p>
              </w:tc>
              <w:tc>
                <w:tcPr>
                  <w:tcW w:w="432" w:type="pct"/>
                  <w:vMerge w:val="continue"/>
                  <w:noWrap w:val="0"/>
                  <w:vAlign w:val="center"/>
                </w:tcPr>
                <w:p w14:paraId="39C3E316">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rPr>
                  </w:pPr>
                </w:p>
              </w:tc>
              <w:tc>
                <w:tcPr>
                  <w:tcW w:w="429" w:type="pct"/>
                  <w:shd w:val="clear" w:color="auto" w:fill="auto"/>
                  <w:noWrap w:val="0"/>
                  <w:vAlign w:val="center"/>
                </w:tcPr>
                <w:p w14:paraId="51C2FD45">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0.05</w:t>
                  </w:r>
                </w:p>
              </w:tc>
            </w:tr>
            <w:tr w14:paraId="3A5E20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04" w:type="pct"/>
                  <w:vMerge w:val="continue"/>
                  <w:noWrap w:val="0"/>
                  <w:vAlign w:val="center"/>
                </w:tcPr>
                <w:p w14:paraId="71C0564A">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lang w:val="en-US" w:eastAsia="zh-CN"/>
                    </w:rPr>
                  </w:pPr>
                </w:p>
              </w:tc>
              <w:tc>
                <w:tcPr>
                  <w:tcW w:w="403" w:type="pct"/>
                  <w:noWrap w:val="0"/>
                  <w:vAlign w:val="center"/>
                </w:tcPr>
                <w:p w14:paraId="2DDC7793">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rPr>
                  </w:pPr>
                  <w:r>
                    <w:rPr>
                      <w:rFonts w:hint="eastAsia"/>
                      <w:bCs/>
                      <w:color w:val="000000"/>
                      <w:sz w:val="21"/>
                      <w:szCs w:val="21"/>
                    </w:rPr>
                    <w:t>解毒池沉渣</w:t>
                  </w:r>
                </w:p>
              </w:tc>
              <w:tc>
                <w:tcPr>
                  <w:tcW w:w="721" w:type="pct"/>
                  <w:noWrap w:val="0"/>
                  <w:vAlign w:val="center"/>
                </w:tcPr>
                <w:p w14:paraId="1782FB46">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危险废物</w:t>
                  </w:r>
                </w:p>
                <w:p w14:paraId="3B37DDD1">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HW03</w:t>
                  </w:r>
                </w:p>
                <w:p w14:paraId="162C6EAF">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900-002-03</w:t>
                  </w:r>
                </w:p>
              </w:tc>
              <w:tc>
                <w:tcPr>
                  <w:tcW w:w="559" w:type="pct"/>
                  <w:shd w:val="clear" w:color="auto" w:fill="auto"/>
                  <w:noWrap w:val="0"/>
                  <w:vAlign w:val="center"/>
                </w:tcPr>
                <w:p w14:paraId="444639EA">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rPr>
                  </w:pPr>
                  <w:r>
                    <w:rPr>
                      <w:rFonts w:hint="eastAsia"/>
                      <w:bCs/>
                      <w:color w:val="000000"/>
                      <w:sz w:val="21"/>
                      <w:szCs w:val="21"/>
                      <w:lang w:val="en-US" w:eastAsia="zh-CN"/>
                    </w:rPr>
                    <w:t>毒性</w:t>
                  </w:r>
                  <w:r>
                    <w:rPr>
                      <w:rFonts w:hint="eastAsia"/>
                      <w:bCs/>
                      <w:color w:val="000000"/>
                      <w:sz w:val="21"/>
                      <w:szCs w:val="21"/>
                    </w:rPr>
                    <w:t>药材</w:t>
                  </w:r>
                </w:p>
              </w:tc>
              <w:tc>
                <w:tcPr>
                  <w:tcW w:w="393" w:type="pct"/>
                  <w:noWrap w:val="0"/>
                  <w:vAlign w:val="center"/>
                </w:tcPr>
                <w:p w14:paraId="3C63D70D">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lang w:val="en-US" w:eastAsia="zh-CN"/>
                    </w:rPr>
                  </w:pPr>
                  <w:r>
                    <w:rPr>
                      <w:rFonts w:hint="eastAsia"/>
                      <w:bCs/>
                      <w:color w:val="000000"/>
                      <w:sz w:val="21"/>
                      <w:szCs w:val="21"/>
                      <w:lang w:val="en-US" w:eastAsia="zh-CN"/>
                    </w:rPr>
                    <w:t>固态</w:t>
                  </w:r>
                </w:p>
              </w:tc>
              <w:tc>
                <w:tcPr>
                  <w:tcW w:w="550" w:type="pct"/>
                  <w:noWrap w:val="0"/>
                  <w:vAlign w:val="center"/>
                </w:tcPr>
                <w:p w14:paraId="1ED5DB05">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rPr>
                  </w:pPr>
                  <w:r>
                    <w:rPr>
                      <w:rFonts w:hint="eastAsia"/>
                    </w:rPr>
                    <w:t>T</w:t>
                  </w:r>
                </w:p>
              </w:tc>
              <w:tc>
                <w:tcPr>
                  <w:tcW w:w="483" w:type="pct"/>
                  <w:noWrap w:val="0"/>
                  <w:vAlign w:val="center"/>
                </w:tcPr>
                <w:p w14:paraId="6D9818E6">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bCs/>
                      <w:color w:val="000000"/>
                      <w:sz w:val="21"/>
                      <w:szCs w:val="21"/>
                      <w:lang w:val="en-US" w:eastAsia="zh-CN"/>
                    </w:rPr>
                  </w:pPr>
                  <w:r>
                    <w:rPr>
                      <w:rFonts w:hint="eastAsia"/>
                      <w:bCs/>
                      <w:color w:val="000000"/>
                      <w:sz w:val="21"/>
                      <w:szCs w:val="21"/>
                      <w:lang w:val="en-US" w:eastAsia="zh-CN"/>
                    </w:rPr>
                    <w:t>0.05</w:t>
                  </w:r>
                </w:p>
              </w:tc>
              <w:tc>
                <w:tcPr>
                  <w:tcW w:w="620" w:type="pct"/>
                  <w:noWrap w:val="0"/>
                  <w:vAlign w:val="center"/>
                </w:tcPr>
                <w:p w14:paraId="548BE789">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rPr>
                  </w:pPr>
                  <w:r>
                    <w:rPr>
                      <w:rFonts w:hint="eastAsia"/>
                      <w:bCs/>
                      <w:color w:val="000000"/>
                      <w:sz w:val="21"/>
                      <w:szCs w:val="21"/>
                    </w:rPr>
                    <w:t>专用桶收集后暂存于危废暂存间</w:t>
                  </w:r>
                </w:p>
              </w:tc>
              <w:tc>
                <w:tcPr>
                  <w:tcW w:w="432" w:type="pct"/>
                  <w:vMerge w:val="continue"/>
                  <w:noWrap w:val="0"/>
                  <w:vAlign w:val="center"/>
                </w:tcPr>
                <w:p w14:paraId="6EEDD5D7">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rPr>
                  </w:pPr>
                </w:p>
              </w:tc>
              <w:tc>
                <w:tcPr>
                  <w:tcW w:w="429" w:type="pct"/>
                  <w:shd w:val="clear" w:color="auto" w:fill="auto"/>
                  <w:noWrap w:val="0"/>
                  <w:vAlign w:val="center"/>
                </w:tcPr>
                <w:p w14:paraId="4A64FA67">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0.05</w:t>
                  </w:r>
                </w:p>
              </w:tc>
            </w:tr>
            <w:tr w14:paraId="1F1B2A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04" w:type="pct"/>
                  <w:noWrap w:val="0"/>
                  <w:vAlign w:val="center"/>
                </w:tcPr>
                <w:p w14:paraId="4338642A">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bCs/>
                      <w:color w:val="000000"/>
                      <w:sz w:val="21"/>
                      <w:szCs w:val="21"/>
                    </w:rPr>
                  </w:pPr>
                  <w:r>
                    <w:rPr>
                      <w:rFonts w:hint="eastAsia"/>
                      <w:bCs/>
                      <w:color w:val="000000"/>
                      <w:sz w:val="21"/>
                      <w:szCs w:val="21"/>
                    </w:rPr>
                    <w:t>办公生活</w:t>
                  </w:r>
                </w:p>
              </w:tc>
              <w:tc>
                <w:tcPr>
                  <w:tcW w:w="403" w:type="pct"/>
                  <w:noWrap w:val="0"/>
                  <w:vAlign w:val="center"/>
                </w:tcPr>
                <w:p w14:paraId="1433FB87">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bCs/>
                      <w:color w:val="000000"/>
                      <w:sz w:val="21"/>
                      <w:szCs w:val="21"/>
                    </w:rPr>
                  </w:pPr>
                  <w:r>
                    <w:rPr>
                      <w:rFonts w:hint="eastAsia"/>
                      <w:bCs/>
                      <w:color w:val="000000"/>
                      <w:sz w:val="21"/>
                      <w:szCs w:val="21"/>
                    </w:rPr>
                    <w:t>生活垃圾</w:t>
                  </w:r>
                </w:p>
              </w:tc>
              <w:tc>
                <w:tcPr>
                  <w:tcW w:w="721" w:type="pct"/>
                  <w:noWrap w:val="0"/>
                  <w:vAlign w:val="center"/>
                </w:tcPr>
                <w:p w14:paraId="1955D508">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bCs/>
                      <w:color w:val="000000"/>
                      <w:sz w:val="21"/>
                      <w:szCs w:val="21"/>
                    </w:rPr>
                  </w:pPr>
                  <w:r>
                    <w:rPr>
                      <w:rFonts w:hint="eastAsia"/>
                      <w:bCs/>
                      <w:color w:val="000000"/>
                      <w:sz w:val="21"/>
                      <w:szCs w:val="21"/>
                    </w:rPr>
                    <w:t>/</w:t>
                  </w:r>
                </w:p>
              </w:tc>
              <w:tc>
                <w:tcPr>
                  <w:tcW w:w="559" w:type="pct"/>
                  <w:noWrap w:val="0"/>
                  <w:vAlign w:val="center"/>
                </w:tcPr>
                <w:p w14:paraId="6F4C4381">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bCs/>
                      <w:color w:val="000000"/>
                      <w:sz w:val="21"/>
                      <w:szCs w:val="21"/>
                    </w:rPr>
                  </w:pPr>
                  <w:r>
                    <w:rPr>
                      <w:rFonts w:hint="eastAsia"/>
                      <w:bCs/>
                      <w:color w:val="000000"/>
                      <w:sz w:val="21"/>
                      <w:szCs w:val="21"/>
                    </w:rPr>
                    <w:t>/</w:t>
                  </w:r>
                </w:p>
              </w:tc>
              <w:tc>
                <w:tcPr>
                  <w:tcW w:w="393" w:type="pct"/>
                  <w:noWrap w:val="0"/>
                  <w:vAlign w:val="center"/>
                </w:tcPr>
                <w:p w14:paraId="04732192">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bCs/>
                      <w:color w:val="000000"/>
                      <w:sz w:val="21"/>
                      <w:szCs w:val="21"/>
                    </w:rPr>
                  </w:pPr>
                  <w:r>
                    <w:rPr>
                      <w:rFonts w:hint="eastAsia"/>
                      <w:bCs/>
                      <w:color w:val="000000"/>
                      <w:sz w:val="21"/>
                      <w:szCs w:val="21"/>
                    </w:rPr>
                    <w:t>/</w:t>
                  </w:r>
                </w:p>
              </w:tc>
              <w:tc>
                <w:tcPr>
                  <w:tcW w:w="550" w:type="pct"/>
                  <w:noWrap w:val="0"/>
                  <w:vAlign w:val="center"/>
                </w:tcPr>
                <w:p w14:paraId="35D910BA">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rPr>
                  </w:pPr>
                  <w:r>
                    <w:rPr>
                      <w:rFonts w:hint="eastAsia"/>
                      <w:bCs/>
                      <w:color w:val="000000"/>
                      <w:sz w:val="21"/>
                      <w:szCs w:val="21"/>
                    </w:rPr>
                    <w:t>/</w:t>
                  </w:r>
                </w:p>
              </w:tc>
              <w:tc>
                <w:tcPr>
                  <w:tcW w:w="483" w:type="pct"/>
                  <w:noWrap w:val="0"/>
                  <w:vAlign w:val="center"/>
                </w:tcPr>
                <w:p w14:paraId="1DA9AE3B">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bCs/>
                      <w:color w:val="000000"/>
                      <w:sz w:val="21"/>
                      <w:szCs w:val="21"/>
                      <w:lang w:eastAsia="zh-CN"/>
                    </w:rPr>
                  </w:pPr>
                  <w:r>
                    <w:rPr>
                      <w:rFonts w:hint="eastAsia"/>
                      <w:bCs/>
                      <w:color w:val="000000"/>
                      <w:sz w:val="21"/>
                      <w:szCs w:val="21"/>
                    </w:rPr>
                    <w:t>1</w:t>
                  </w:r>
                  <w:r>
                    <w:rPr>
                      <w:rFonts w:hint="eastAsia"/>
                      <w:bCs/>
                      <w:color w:val="000000"/>
                      <w:sz w:val="21"/>
                      <w:szCs w:val="21"/>
                      <w:lang w:val="en-US" w:eastAsia="zh-CN"/>
                    </w:rPr>
                    <w:t>6</w:t>
                  </w:r>
                </w:p>
              </w:tc>
              <w:tc>
                <w:tcPr>
                  <w:tcW w:w="620" w:type="pct"/>
                  <w:noWrap w:val="0"/>
                  <w:vAlign w:val="center"/>
                </w:tcPr>
                <w:p w14:paraId="7848DC43">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bCs/>
                      <w:color w:val="000000"/>
                      <w:sz w:val="21"/>
                      <w:szCs w:val="21"/>
                    </w:rPr>
                  </w:pPr>
                  <w:r>
                    <w:rPr>
                      <w:rFonts w:hint="eastAsia"/>
                      <w:bCs/>
                      <w:color w:val="000000"/>
                      <w:sz w:val="21"/>
                      <w:szCs w:val="21"/>
                    </w:rPr>
                    <w:t>垃圾桶</w:t>
                  </w:r>
                </w:p>
              </w:tc>
              <w:tc>
                <w:tcPr>
                  <w:tcW w:w="432" w:type="pct"/>
                  <w:noWrap w:val="0"/>
                  <w:vAlign w:val="center"/>
                </w:tcPr>
                <w:p w14:paraId="0946D6CD">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bCs/>
                      <w:color w:val="000000"/>
                      <w:sz w:val="21"/>
                      <w:szCs w:val="21"/>
                    </w:rPr>
                  </w:pPr>
                  <w:r>
                    <w:rPr>
                      <w:rFonts w:hint="eastAsia"/>
                      <w:bCs/>
                      <w:color w:val="000000"/>
                      <w:sz w:val="21"/>
                      <w:szCs w:val="21"/>
                    </w:rPr>
                    <w:t>交由环卫部门处置</w:t>
                  </w:r>
                </w:p>
              </w:tc>
              <w:tc>
                <w:tcPr>
                  <w:tcW w:w="429" w:type="pct"/>
                  <w:noWrap w:val="0"/>
                  <w:vAlign w:val="center"/>
                </w:tcPr>
                <w:p w14:paraId="1D6A2AA3">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bCs/>
                      <w:color w:val="000000"/>
                      <w:sz w:val="21"/>
                      <w:szCs w:val="21"/>
                      <w:lang w:eastAsia="zh-CN"/>
                    </w:rPr>
                  </w:pPr>
                  <w:r>
                    <w:rPr>
                      <w:rFonts w:hint="eastAsia"/>
                      <w:bCs/>
                      <w:color w:val="000000"/>
                      <w:sz w:val="21"/>
                      <w:szCs w:val="21"/>
                    </w:rPr>
                    <w:t>1</w:t>
                  </w:r>
                  <w:r>
                    <w:rPr>
                      <w:rFonts w:hint="eastAsia"/>
                      <w:bCs/>
                      <w:color w:val="000000"/>
                      <w:sz w:val="21"/>
                      <w:szCs w:val="21"/>
                      <w:lang w:val="en-US" w:eastAsia="zh-CN"/>
                    </w:rPr>
                    <w:t>6</w:t>
                  </w:r>
                </w:p>
              </w:tc>
            </w:tr>
          </w:tbl>
          <w:p w14:paraId="113403E2">
            <w:pPr>
              <w:keepNext w:val="0"/>
              <w:keepLines w:val="0"/>
              <w:pageBreakBefore w:val="0"/>
              <w:widowControl w:val="0"/>
              <w:numPr>
                <w:ilvl w:val="0"/>
                <w:numId w:val="9"/>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lang w:val="zh-CN"/>
              </w:rPr>
            </w:pPr>
            <w:r>
              <w:rPr>
                <w:rFonts w:hint="eastAsia" w:ascii="Times New Roman" w:hAnsi="Times New Roman" w:eastAsia="宋体" w:cs="Times New Roman"/>
                <w:b/>
                <w:bCs/>
                <w:color w:val="auto"/>
                <w:sz w:val="21"/>
                <w:szCs w:val="21"/>
                <w:lang w:val="zh-CN"/>
              </w:rPr>
              <w:t>危险废物汇总表</w:t>
            </w:r>
          </w:p>
          <w:tbl>
            <w:tblPr>
              <w:tblStyle w:val="20"/>
              <w:tblW w:w="49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040"/>
              <w:gridCol w:w="791"/>
              <w:gridCol w:w="1048"/>
              <w:gridCol w:w="788"/>
              <w:gridCol w:w="492"/>
              <w:gridCol w:w="515"/>
              <w:gridCol w:w="738"/>
              <w:gridCol w:w="738"/>
              <w:gridCol w:w="426"/>
              <w:gridCol w:w="426"/>
              <w:gridCol w:w="636"/>
            </w:tblGrid>
            <w:tr w14:paraId="25DF20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65" w:type="pct"/>
                  <w:noWrap w:val="0"/>
                  <w:vAlign w:val="center"/>
                </w:tcPr>
                <w:p w14:paraId="79A5830F">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序号</w:t>
                  </w:r>
                </w:p>
              </w:tc>
              <w:tc>
                <w:tcPr>
                  <w:tcW w:w="668" w:type="pct"/>
                  <w:noWrap w:val="0"/>
                  <w:vAlign w:val="center"/>
                </w:tcPr>
                <w:p w14:paraId="7D1FEEA3">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危险废物名称</w:t>
                  </w:r>
                </w:p>
              </w:tc>
              <w:tc>
                <w:tcPr>
                  <w:tcW w:w="504" w:type="pct"/>
                  <w:noWrap w:val="0"/>
                  <w:vAlign w:val="center"/>
                </w:tcPr>
                <w:p w14:paraId="52A7D870">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危险废物类别</w:t>
                  </w:r>
                </w:p>
              </w:tc>
              <w:tc>
                <w:tcPr>
                  <w:tcW w:w="663" w:type="pct"/>
                  <w:noWrap w:val="0"/>
                  <w:vAlign w:val="center"/>
                </w:tcPr>
                <w:p w14:paraId="52E1A4C0">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危险废物代码</w:t>
                  </w:r>
                </w:p>
              </w:tc>
              <w:tc>
                <w:tcPr>
                  <w:tcW w:w="501" w:type="pct"/>
                  <w:noWrap w:val="0"/>
                  <w:vAlign w:val="center"/>
                </w:tcPr>
                <w:p w14:paraId="35DB68E4">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产生量（吨/年）</w:t>
                  </w:r>
                </w:p>
              </w:tc>
              <w:tc>
                <w:tcPr>
                  <w:tcW w:w="318" w:type="pct"/>
                  <w:noWrap w:val="0"/>
                  <w:vAlign w:val="center"/>
                </w:tcPr>
                <w:p w14:paraId="4CD75DE3">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产生工序及装置</w:t>
                  </w:r>
                </w:p>
              </w:tc>
              <w:tc>
                <w:tcPr>
                  <w:tcW w:w="332" w:type="pct"/>
                  <w:noWrap w:val="0"/>
                  <w:vAlign w:val="center"/>
                </w:tcPr>
                <w:p w14:paraId="1764C454">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形态</w:t>
                  </w:r>
                </w:p>
              </w:tc>
              <w:tc>
                <w:tcPr>
                  <w:tcW w:w="470" w:type="pct"/>
                  <w:noWrap w:val="0"/>
                  <w:vAlign w:val="center"/>
                </w:tcPr>
                <w:p w14:paraId="35D70F84">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主要成分</w:t>
                  </w:r>
                </w:p>
              </w:tc>
              <w:tc>
                <w:tcPr>
                  <w:tcW w:w="470" w:type="pct"/>
                  <w:noWrap w:val="0"/>
                  <w:vAlign w:val="center"/>
                </w:tcPr>
                <w:p w14:paraId="1C0FFA9E">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有害成分</w:t>
                  </w:r>
                </w:p>
              </w:tc>
              <w:tc>
                <w:tcPr>
                  <w:tcW w:w="267" w:type="pct"/>
                  <w:noWrap w:val="0"/>
                  <w:vAlign w:val="center"/>
                </w:tcPr>
                <w:p w14:paraId="79451BCD">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产废周期</w:t>
                  </w:r>
                </w:p>
              </w:tc>
              <w:tc>
                <w:tcPr>
                  <w:tcW w:w="269" w:type="pct"/>
                  <w:noWrap w:val="0"/>
                  <w:vAlign w:val="center"/>
                </w:tcPr>
                <w:p w14:paraId="222B8B53">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危险</w:t>
                  </w:r>
                </w:p>
                <w:p w14:paraId="113C20C0">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特性</w:t>
                  </w:r>
                </w:p>
              </w:tc>
              <w:tc>
                <w:tcPr>
                  <w:tcW w:w="269" w:type="pct"/>
                  <w:noWrap w:val="0"/>
                  <w:vAlign w:val="center"/>
                </w:tcPr>
                <w:p w14:paraId="7837731E">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污染防治措施</w:t>
                  </w:r>
                </w:p>
              </w:tc>
            </w:tr>
            <w:tr w14:paraId="076723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5" w:type="pct"/>
                  <w:noWrap w:val="0"/>
                  <w:vAlign w:val="center"/>
                </w:tcPr>
                <w:p w14:paraId="5D178B60">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668" w:type="pct"/>
                  <w:shd w:val="clear" w:color="auto" w:fill="auto"/>
                  <w:noWrap w:val="0"/>
                  <w:vAlign w:val="center"/>
                </w:tcPr>
                <w:p w14:paraId="70CDA3C6">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sz w:val="21"/>
                      <w:szCs w:val="21"/>
                    </w:rPr>
                    <w:t>实验室废包装</w:t>
                  </w:r>
                </w:p>
              </w:tc>
              <w:tc>
                <w:tcPr>
                  <w:tcW w:w="504" w:type="pct"/>
                  <w:shd w:val="clear" w:color="auto" w:fill="auto"/>
                  <w:noWrap w:val="0"/>
                  <w:vAlign w:val="center"/>
                </w:tcPr>
                <w:p w14:paraId="7C390D3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b w:val="0"/>
                      <w:bCs w:val="0"/>
                      <w:color w:val="auto"/>
                      <w:sz w:val="21"/>
                      <w:szCs w:val="21"/>
                      <w:vertAlign w:val="baseline"/>
                      <w:lang w:val="en-US" w:eastAsia="zh-CN"/>
                    </w:rPr>
                    <w:t>HW49</w:t>
                  </w:r>
                </w:p>
              </w:tc>
              <w:tc>
                <w:tcPr>
                  <w:tcW w:w="663" w:type="pct"/>
                  <w:shd w:val="clear" w:color="auto" w:fill="auto"/>
                  <w:noWrap w:val="0"/>
                  <w:vAlign w:val="center"/>
                </w:tcPr>
                <w:p w14:paraId="437C40F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b w:val="0"/>
                      <w:bCs w:val="0"/>
                      <w:color w:val="auto"/>
                      <w:sz w:val="21"/>
                      <w:szCs w:val="21"/>
                      <w:vertAlign w:val="baseline"/>
                    </w:rPr>
                    <w:t>900-047-49</w:t>
                  </w:r>
                </w:p>
              </w:tc>
              <w:tc>
                <w:tcPr>
                  <w:tcW w:w="501" w:type="pct"/>
                  <w:shd w:val="clear" w:color="auto" w:fill="auto"/>
                  <w:noWrap w:val="0"/>
                  <w:vAlign w:val="center"/>
                </w:tcPr>
                <w:p w14:paraId="59BDF77C">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0.01</w:t>
                  </w:r>
                </w:p>
              </w:tc>
              <w:tc>
                <w:tcPr>
                  <w:tcW w:w="318" w:type="pct"/>
                  <w:vMerge w:val="restart"/>
                  <w:shd w:val="clear" w:color="auto" w:fill="auto"/>
                  <w:noWrap w:val="0"/>
                  <w:vAlign w:val="center"/>
                </w:tcPr>
                <w:p w14:paraId="56AED76E">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质检</w:t>
                  </w:r>
                  <w:r>
                    <w:rPr>
                      <w:rFonts w:hint="eastAsia"/>
                      <w:bCs/>
                      <w:color w:val="000000"/>
                      <w:sz w:val="21"/>
                      <w:szCs w:val="21"/>
                    </w:rPr>
                    <w:t>工序</w:t>
                  </w:r>
                </w:p>
              </w:tc>
              <w:tc>
                <w:tcPr>
                  <w:tcW w:w="332" w:type="pct"/>
                  <w:shd w:val="clear" w:color="auto" w:fill="auto"/>
                  <w:noWrap w:val="0"/>
                  <w:vAlign w:val="center"/>
                </w:tcPr>
                <w:p w14:paraId="6055312E">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rPr>
                    <w:t>固态</w:t>
                  </w:r>
                </w:p>
              </w:tc>
              <w:tc>
                <w:tcPr>
                  <w:tcW w:w="470" w:type="pct"/>
                  <w:shd w:val="clear" w:color="auto" w:fill="auto"/>
                  <w:noWrap w:val="0"/>
                  <w:vAlign w:val="center"/>
                </w:tcPr>
                <w:p w14:paraId="2F49D0DD">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sz w:val="21"/>
                      <w:szCs w:val="21"/>
                    </w:rPr>
                    <w:t>实验室废包装</w:t>
                  </w:r>
                </w:p>
              </w:tc>
              <w:tc>
                <w:tcPr>
                  <w:tcW w:w="470" w:type="pct"/>
                  <w:shd w:val="clear" w:color="auto" w:fill="auto"/>
                  <w:noWrap w:val="0"/>
                  <w:vAlign w:val="center"/>
                </w:tcPr>
                <w:p w14:paraId="3389C38A">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sz w:val="21"/>
                      <w:szCs w:val="21"/>
                    </w:rPr>
                    <w:t>实验室废包装</w:t>
                  </w:r>
                </w:p>
              </w:tc>
              <w:tc>
                <w:tcPr>
                  <w:tcW w:w="267" w:type="pct"/>
                  <w:shd w:val="clear" w:color="auto" w:fill="auto"/>
                  <w:noWrap w:val="0"/>
                  <w:vAlign w:val="center"/>
                </w:tcPr>
                <w:p w14:paraId="44696998">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0.01</w:t>
                  </w:r>
                </w:p>
              </w:tc>
              <w:tc>
                <w:tcPr>
                  <w:tcW w:w="269" w:type="pct"/>
                  <w:shd w:val="clear" w:color="auto" w:fill="auto"/>
                  <w:noWrap w:val="0"/>
                  <w:vAlign w:val="center"/>
                </w:tcPr>
                <w:p w14:paraId="3A7DB065">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rPr>
                    <w:t>T/C/R</w:t>
                  </w:r>
                </w:p>
              </w:tc>
              <w:tc>
                <w:tcPr>
                  <w:tcW w:w="269" w:type="pct"/>
                  <w:vMerge w:val="restart"/>
                  <w:noWrap w:val="0"/>
                  <w:vAlign w:val="center"/>
                </w:tcPr>
                <w:p w14:paraId="0B6DAA80">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1"/>
                      <w:lang w:eastAsia="zh-CN"/>
                    </w:rPr>
                  </w:pPr>
                  <w:r>
                    <w:rPr>
                      <w:rFonts w:hint="eastAsia"/>
                      <w:bCs/>
                      <w:color w:val="000000"/>
                      <w:sz w:val="21"/>
                      <w:szCs w:val="21"/>
                    </w:rPr>
                    <w:t>暂存于危废暂存间</w:t>
                  </w:r>
                  <w:r>
                    <w:rPr>
                      <w:rFonts w:hint="eastAsia"/>
                      <w:bCs/>
                      <w:color w:val="000000"/>
                      <w:sz w:val="21"/>
                      <w:szCs w:val="21"/>
                      <w:lang w:eastAsia="zh-CN"/>
                    </w:rPr>
                    <w:t>，</w:t>
                  </w:r>
                  <w:r>
                    <w:rPr>
                      <w:bCs/>
                      <w:color w:val="000000"/>
                      <w:sz w:val="21"/>
                      <w:szCs w:val="21"/>
                    </w:rPr>
                    <w:t>定期交由有资质单位处置</w:t>
                  </w:r>
                </w:p>
              </w:tc>
            </w:tr>
            <w:tr w14:paraId="219DFE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5" w:type="pct"/>
                  <w:noWrap w:val="0"/>
                  <w:vAlign w:val="center"/>
                </w:tcPr>
                <w:p w14:paraId="17914DB8">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668" w:type="pct"/>
                  <w:shd w:val="clear" w:color="auto" w:fill="auto"/>
                  <w:noWrap w:val="0"/>
                  <w:vAlign w:val="center"/>
                </w:tcPr>
                <w:p w14:paraId="5EB3EFDA">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实验室废</w:t>
                  </w:r>
                  <w:r>
                    <w:rPr>
                      <w:rFonts w:hint="eastAsia"/>
                      <w:bCs/>
                      <w:color w:val="000000"/>
                      <w:sz w:val="21"/>
                      <w:szCs w:val="21"/>
                    </w:rPr>
                    <w:t>液</w:t>
                  </w:r>
                </w:p>
              </w:tc>
              <w:tc>
                <w:tcPr>
                  <w:tcW w:w="504" w:type="pct"/>
                  <w:shd w:val="clear" w:color="auto" w:fill="auto"/>
                  <w:noWrap w:val="0"/>
                  <w:vAlign w:val="center"/>
                </w:tcPr>
                <w:p w14:paraId="2BF08D1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b w:val="0"/>
                      <w:bCs w:val="0"/>
                      <w:color w:val="auto"/>
                      <w:sz w:val="21"/>
                      <w:szCs w:val="21"/>
                      <w:vertAlign w:val="baseline"/>
                      <w:lang w:val="en-US" w:eastAsia="zh-CN"/>
                    </w:rPr>
                    <w:t>HW49</w:t>
                  </w:r>
                </w:p>
              </w:tc>
              <w:tc>
                <w:tcPr>
                  <w:tcW w:w="663" w:type="pct"/>
                  <w:shd w:val="clear" w:color="auto" w:fill="auto"/>
                  <w:noWrap w:val="0"/>
                  <w:vAlign w:val="center"/>
                </w:tcPr>
                <w:p w14:paraId="5C1A8085">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b w:val="0"/>
                      <w:bCs w:val="0"/>
                      <w:color w:val="auto"/>
                      <w:sz w:val="21"/>
                      <w:szCs w:val="21"/>
                      <w:vertAlign w:val="baseline"/>
                    </w:rPr>
                    <w:t>900-047-49</w:t>
                  </w:r>
                </w:p>
              </w:tc>
              <w:tc>
                <w:tcPr>
                  <w:tcW w:w="501" w:type="pct"/>
                  <w:shd w:val="clear" w:color="auto" w:fill="auto"/>
                  <w:noWrap w:val="0"/>
                  <w:vAlign w:val="center"/>
                </w:tcPr>
                <w:p w14:paraId="5EBAD1D5">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5.76</w:t>
                  </w:r>
                </w:p>
              </w:tc>
              <w:tc>
                <w:tcPr>
                  <w:tcW w:w="318" w:type="pct"/>
                  <w:vMerge w:val="continue"/>
                  <w:noWrap w:val="0"/>
                  <w:vAlign w:val="center"/>
                </w:tcPr>
                <w:p w14:paraId="036AB277">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p>
              </w:tc>
              <w:tc>
                <w:tcPr>
                  <w:tcW w:w="332" w:type="pct"/>
                  <w:shd w:val="clear" w:color="auto" w:fill="auto"/>
                  <w:noWrap w:val="0"/>
                  <w:vAlign w:val="center"/>
                </w:tcPr>
                <w:p w14:paraId="099F64F4">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rPr>
                    <w:t>液态</w:t>
                  </w:r>
                </w:p>
              </w:tc>
              <w:tc>
                <w:tcPr>
                  <w:tcW w:w="470" w:type="pct"/>
                  <w:shd w:val="clear" w:color="auto" w:fill="auto"/>
                  <w:noWrap w:val="0"/>
                  <w:vAlign w:val="center"/>
                </w:tcPr>
                <w:p w14:paraId="74A6AA19">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实验室废</w:t>
                  </w:r>
                  <w:r>
                    <w:rPr>
                      <w:rFonts w:hint="eastAsia"/>
                      <w:bCs/>
                      <w:color w:val="000000"/>
                      <w:sz w:val="21"/>
                      <w:szCs w:val="21"/>
                    </w:rPr>
                    <w:t>液</w:t>
                  </w:r>
                </w:p>
              </w:tc>
              <w:tc>
                <w:tcPr>
                  <w:tcW w:w="470" w:type="pct"/>
                  <w:shd w:val="clear" w:color="auto" w:fill="auto"/>
                  <w:noWrap w:val="0"/>
                  <w:vAlign w:val="center"/>
                </w:tcPr>
                <w:p w14:paraId="65E631CD">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实验室废</w:t>
                  </w:r>
                  <w:r>
                    <w:rPr>
                      <w:rFonts w:hint="eastAsia"/>
                      <w:bCs/>
                      <w:color w:val="000000"/>
                      <w:sz w:val="21"/>
                      <w:szCs w:val="21"/>
                    </w:rPr>
                    <w:t>液</w:t>
                  </w:r>
                </w:p>
              </w:tc>
              <w:tc>
                <w:tcPr>
                  <w:tcW w:w="267" w:type="pct"/>
                  <w:shd w:val="clear" w:color="auto" w:fill="auto"/>
                  <w:noWrap w:val="0"/>
                  <w:vAlign w:val="center"/>
                </w:tcPr>
                <w:p w14:paraId="30C8031A">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5.76</w:t>
                  </w:r>
                </w:p>
              </w:tc>
              <w:tc>
                <w:tcPr>
                  <w:tcW w:w="269" w:type="pct"/>
                  <w:shd w:val="clear" w:color="auto" w:fill="auto"/>
                  <w:noWrap w:val="0"/>
                  <w:vAlign w:val="center"/>
                </w:tcPr>
                <w:p w14:paraId="72DE1E8D">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rPr>
                    <w:t>T/C/R</w:t>
                  </w:r>
                </w:p>
              </w:tc>
              <w:tc>
                <w:tcPr>
                  <w:tcW w:w="269" w:type="pct"/>
                  <w:vMerge w:val="continue"/>
                  <w:noWrap w:val="0"/>
                  <w:vAlign w:val="center"/>
                </w:tcPr>
                <w:p w14:paraId="4CA375EB">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p>
              </w:tc>
            </w:tr>
            <w:tr w14:paraId="4F5502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5" w:type="pct"/>
                  <w:noWrap w:val="0"/>
                  <w:vAlign w:val="center"/>
                </w:tcPr>
                <w:p w14:paraId="6B59AEF2">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val="en-US" w:eastAsia="zh-CN"/>
                    </w:rPr>
                    <w:t>3</w:t>
                  </w:r>
                </w:p>
              </w:tc>
              <w:tc>
                <w:tcPr>
                  <w:tcW w:w="668" w:type="pct"/>
                  <w:shd w:val="clear" w:color="auto" w:fill="auto"/>
                  <w:noWrap w:val="0"/>
                  <w:vAlign w:val="center"/>
                </w:tcPr>
                <w:p w14:paraId="2D43AABA">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rPr>
                    <w:t>废</w:t>
                  </w:r>
                  <w:r>
                    <w:rPr>
                      <w:rFonts w:hint="eastAsia"/>
                      <w:bCs/>
                      <w:color w:val="000000"/>
                      <w:sz w:val="21"/>
                      <w:szCs w:val="21"/>
                      <w:lang w:val="en-US" w:eastAsia="zh-CN"/>
                    </w:rPr>
                    <w:t>活性炭</w:t>
                  </w:r>
                </w:p>
              </w:tc>
              <w:tc>
                <w:tcPr>
                  <w:tcW w:w="504" w:type="pct"/>
                  <w:shd w:val="clear" w:color="auto" w:fill="auto"/>
                  <w:noWrap w:val="0"/>
                  <w:vAlign w:val="center"/>
                </w:tcPr>
                <w:p w14:paraId="6C8CFBD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b w:val="0"/>
                      <w:bCs w:val="0"/>
                      <w:color w:val="auto"/>
                      <w:sz w:val="21"/>
                      <w:szCs w:val="21"/>
                      <w:vertAlign w:val="baseline"/>
                      <w:lang w:val="en-US" w:eastAsia="zh-CN"/>
                    </w:rPr>
                    <w:t>HW49</w:t>
                  </w:r>
                </w:p>
              </w:tc>
              <w:tc>
                <w:tcPr>
                  <w:tcW w:w="663" w:type="pct"/>
                  <w:shd w:val="clear" w:color="auto" w:fill="auto"/>
                  <w:noWrap w:val="0"/>
                  <w:vAlign w:val="center"/>
                </w:tcPr>
                <w:p w14:paraId="13FB316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b w:val="0"/>
                      <w:bCs w:val="0"/>
                      <w:color w:val="auto"/>
                      <w:sz w:val="21"/>
                      <w:szCs w:val="21"/>
                      <w:vertAlign w:val="baseline"/>
                    </w:rPr>
                    <w:t>900-047-49</w:t>
                  </w:r>
                </w:p>
              </w:tc>
              <w:tc>
                <w:tcPr>
                  <w:tcW w:w="501" w:type="pct"/>
                  <w:shd w:val="clear" w:color="auto" w:fill="auto"/>
                  <w:noWrap w:val="0"/>
                  <w:vAlign w:val="center"/>
                </w:tcPr>
                <w:p w14:paraId="171B8496">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10</w:t>
                  </w:r>
                </w:p>
              </w:tc>
              <w:tc>
                <w:tcPr>
                  <w:tcW w:w="318" w:type="pct"/>
                  <w:shd w:val="clear" w:color="auto" w:fill="auto"/>
                  <w:noWrap w:val="0"/>
                  <w:vAlign w:val="center"/>
                </w:tcPr>
                <w:p w14:paraId="696C925D">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活性炭吸附装置</w:t>
                  </w:r>
                </w:p>
              </w:tc>
              <w:tc>
                <w:tcPr>
                  <w:tcW w:w="332" w:type="pct"/>
                  <w:shd w:val="clear" w:color="auto" w:fill="auto"/>
                  <w:noWrap w:val="0"/>
                  <w:vAlign w:val="center"/>
                </w:tcPr>
                <w:p w14:paraId="7FFB4C36">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固态</w:t>
                  </w:r>
                </w:p>
              </w:tc>
              <w:tc>
                <w:tcPr>
                  <w:tcW w:w="470" w:type="pct"/>
                  <w:shd w:val="clear" w:color="auto" w:fill="auto"/>
                  <w:noWrap w:val="0"/>
                  <w:vAlign w:val="center"/>
                </w:tcPr>
                <w:p w14:paraId="072B477B">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沾染活性炭</w:t>
                  </w:r>
                </w:p>
              </w:tc>
              <w:tc>
                <w:tcPr>
                  <w:tcW w:w="470" w:type="pct"/>
                  <w:shd w:val="clear" w:color="auto" w:fill="auto"/>
                  <w:noWrap w:val="0"/>
                  <w:vAlign w:val="center"/>
                </w:tcPr>
                <w:p w14:paraId="324CB029">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沾染活性炭</w:t>
                  </w:r>
                </w:p>
              </w:tc>
              <w:tc>
                <w:tcPr>
                  <w:tcW w:w="267" w:type="pct"/>
                  <w:shd w:val="clear" w:color="auto" w:fill="auto"/>
                  <w:noWrap w:val="0"/>
                  <w:vAlign w:val="center"/>
                </w:tcPr>
                <w:p w14:paraId="2AA2B5D8">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10</w:t>
                  </w:r>
                </w:p>
              </w:tc>
              <w:tc>
                <w:tcPr>
                  <w:tcW w:w="269" w:type="pct"/>
                  <w:shd w:val="clear" w:color="auto" w:fill="auto"/>
                  <w:noWrap w:val="0"/>
                  <w:vAlign w:val="center"/>
                </w:tcPr>
                <w:p w14:paraId="5B69ED30">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rPr>
                    <w:t>T/In</w:t>
                  </w:r>
                </w:p>
              </w:tc>
              <w:tc>
                <w:tcPr>
                  <w:tcW w:w="269" w:type="pct"/>
                  <w:vMerge w:val="continue"/>
                  <w:noWrap w:val="0"/>
                  <w:vAlign w:val="center"/>
                </w:tcPr>
                <w:p w14:paraId="0B49A742">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p>
              </w:tc>
            </w:tr>
            <w:tr w14:paraId="439CAA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5" w:type="pct"/>
                  <w:vAlign w:val="center"/>
                </w:tcPr>
                <w:p w14:paraId="5642FEA7">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4</w:t>
                  </w:r>
                </w:p>
              </w:tc>
              <w:tc>
                <w:tcPr>
                  <w:tcW w:w="668" w:type="pct"/>
                  <w:shd w:val="clear" w:color="auto" w:fill="auto"/>
                  <w:vAlign w:val="center"/>
                </w:tcPr>
                <w:p w14:paraId="381FD203">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毒性</w:t>
                  </w:r>
                  <w:r>
                    <w:rPr>
                      <w:rFonts w:hint="eastAsia"/>
                      <w:bCs/>
                      <w:color w:val="000000"/>
                      <w:sz w:val="21"/>
                      <w:szCs w:val="21"/>
                    </w:rPr>
                    <w:t>药材废弃物</w:t>
                  </w:r>
                </w:p>
              </w:tc>
              <w:tc>
                <w:tcPr>
                  <w:tcW w:w="504" w:type="pct"/>
                  <w:shd w:val="clear" w:color="auto" w:fill="auto"/>
                  <w:vAlign w:val="center"/>
                </w:tcPr>
                <w:p w14:paraId="344C5E3A">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sz w:val="21"/>
                      <w:szCs w:val="21"/>
                    </w:rPr>
                    <w:t>HW03</w:t>
                  </w:r>
                </w:p>
              </w:tc>
              <w:tc>
                <w:tcPr>
                  <w:tcW w:w="663" w:type="pct"/>
                  <w:shd w:val="clear" w:color="auto" w:fill="auto"/>
                  <w:vAlign w:val="center"/>
                </w:tcPr>
                <w:p w14:paraId="374CB57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Cs/>
                      <w:color w:val="000000"/>
                      <w:sz w:val="21"/>
                      <w:szCs w:val="21"/>
                    </w:rPr>
                    <w:t>900-002-03</w:t>
                  </w:r>
                </w:p>
              </w:tc>
              <w:tc>
                <w:tcPr>
                  <w:tcW w:w="501" w:type="pct"/>
                  <w:vAlign w:val="center"/>
                </w:tcPr>
                <w:p w14:paraId="764313C2">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4.8</w:t>
                  </w:r>
                </w:p>
              </w:tc>
              <w:tc>
                <w:tcPr>
                  <w:tcW w:w="318" w:type="pct"/>
                  <w:vMerge w:val="restart"/>
                  <w:vAlign w:val="center"/>
                </w:tcPr>
                <w:p w14:paraId="71ED389D">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eastAsia"/>
                      <w:bCs/>
                      <w:color w:val="000000"/>
                      <w:sz w:val="21"/>
                      <w:szCs w:val="21"/>
                      <w:lang w:val="en-US" w:eastAsia="zh-CN"/>
                    </w:rPr>
                    <w:t>毒性药材生产过程</w:t>
                  </w:r>
                </w:p>
              </w:tc>
              <w:tc>
                <w:tcPr>
                  <w:tcW w:w="332" w:type="pct"/>
                  <w:shd w:val="clear" w:color="auto" w:fill="auto"/>
                  <w:vAlign w:val="center"/>
                </w:tcPr>
                <w:p w14:paraId="2B738337">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固态</w:t>
                  </w:r>
                </w:p>
              </w:tc>
              <w:tc>
                <w:tcPr>
                  <w:tcW w:w="470" w:type="pct"/>
                  <w:shd w:val="clear" w:color="auto" w:fill="auto"/>
                  <w:vAlign w:val="center"/>
                </w:tcPr>
                <w:p w14:paraId="52EF0BB6">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毒性</w:t>
                  </w:r>
                  <w:r>
                    <w:rPr>
                      <w:rFonts w:hint="eastAsia"/>
                      <w:bCs/>
                      <w:color w:val="000000"/>
                      <w:sz w:val="21"/>
                      <w:szCs w:val="21"/>
                    </w:rPr>
                    <w:t>药材</w:t>
                  </w:r>
                </w:p>
              </w:tc>
              <w:tc>
                <w:tcPr>
                  <w:tcW w:w="470" w:type="pct"/>
                  <w:shd w:val="clear" w:color="auto" w:fill="auto"/>
                  <w:vAlign w:val="center"/>
                </w:tcPr>
                <w:p w14:paraId="02EEAAA0">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毒性</w:t>
                  </w:r>
                  <w:r>
                    <w:rPr>
                      <w:rFonts w:hint="eastAsia"/>
                      <w:bCs/>
                      <w:color w:val="000000"/>
                      <w:sz w:val="21"/>
                      <w:szCs w:val="21"/>
                    </w:rPr>
                    <w:t>药材</w:t>
                  </w:r>
                </w:p>
              </w:tc>
              <w:tc>
                <w:tcPr>
                  <w:tcW w:w="267" w:type="pct"/>
                  <w:shd w:val="clear" w:color="auto" w:fill="auto"/>
                  <w:vAlign w:val="center"/>
                </w:tcPr>
                <w:p w14:paraId="1702EC22">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rPr>
                    <w:t>4.8</w:t>
                  </w:r>
                </w:p>
              </w:tc>
              <w:tc>
                <w:tcPr>
                  <w:tcW w:w="269" w:type="pct"/>
                  <w:shd w:val="clear" w:color="auto" w:fill="auto"/>
                  <w:vAlign w:val="center"/>
                </w:tcPr>
                <w:p w14:paraId="0FEA978A">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rPr>
                    <w:t>T</w:t>
                  </w:r>
                </w:p>
              </w:tc>
              <w:tc>
                <w:tcPr>
                  <w:tcW w:w="269" w:type="pct"/>
                  <w:vMerge w:val="continue"/>
                  <w:vAlign w:val="center"/>
                </w:tcPr>
                <w:p w14:paraId="694B69F5">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p>
              </w:tc>
            </w:tr>
            <w:tr w14:paraId="7F97BA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5" w:type="pct"/>
                  <w:vAlign w:val="center"/>
                </w:tcPr>
                <w:p w14:paraId="1B88698B">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5</w:t>
                  </w:r>
                </w:p>
              </w:tc>
              <w:tc>
                <w:tcPr>
                  <w:tcW w:w="668" w:type="pct"/>
                  <w:shd w:val="clear" w:color="auto" w:fill="auto"/>
                  <w:vAlign w:val="center"/>
                </w:tcPr>
                <w:p w14:paraId="48D645C5">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lang w:val="en-US" w:eastAsia="zh-CN"/>
                    </w:rPr>
                  </w:pPr>
                  <w:r>
                    <w:rPr>
                      <w:rFonts w:hint="eastAsia"/>
                      <w:bCs/>
                      <w:color w:val="000000"/>
                      <w:sz w:val="21"/>
                      <w:szCs w:val="21"/>
                      <w:lang w:val="en-US" w:eastAsia="zh-CN"/>
                    </w:rPr>
                    <w:t>毒性药渣</w:t>
                  </w:r>
                </w:p>
              </w:tc>
              <w:tc>
                <w:tcPr>
                  <w:tcW w:w="504" w:type="pct"/>
                  <w:shd w:val="clear" w:color="auto" w:fill="auto"/>
                  <w:vAlign w:val="center"/>
                </w:tcPr>
                <w:p w14:paraId="422F5518">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sz w:val="21"/>
                      <w:szCs w:val="21"/>
                    </w:rPr>
                    <w:t>HW03</w:t>
                  </w:r>
                </w:p>
              </w:tc>
              <w:tc>
                <w:tcPr>
                  <w:tcW w:w="663" w:type="pct"/>
                  <w:shd w:val="clear" w:color="auto" w:fill="auto"/>
                  <w:vAlign w:val="center"/>
                </w:tcPr>
                <w:p w14:paraId="55ADCB5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Cs/>
                      <w:color w:val="000000"/>
                      <w:sz w:val="21"/>
                      <w:szCs w:val="21"/>
                    </w:rPr>
                    <w:t>900-002-03</w:t>
                  </w:r>
                </w:p>
              </w:tc>
              <w:tc>
                <w:tcPr>
                  <w:tcW w:w="501" w:type="pct"/>
                  <w:vAlign w:val="center"/>
                </w:tcPr>
                <w:p w14:paraId="73F2AD32">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cs="Times New Roman"/>
                      <w:kern w:val="0"/>
                      <w:sz w:val="21"/>
                      <w:szCs w:val="21"/>
                      <w:lang w:val="en-US" w:eastAsia="zh-CN"/>
                    </w:rPr>
                    <w:t>4</w:t>
                  </w:r>
                </w:p>
              </w:tc>
              <w:tc>
                <w:tcPr>
                  <w:tcW w:w="318" w:type="pct"/>
                  <w:vMerge w:val="continue"/>
                  <w:vAlign w:val="center"/>
                </w:tcPr>
                <w:p w14:paraId="73A7B5D1">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eastAsia"/>
                      <w:bCs/>
                      <w:color w:val="000000"/>
                      <w:sz w:val="21"/>
                      <w:szCs w:val="21"/>
                      <w:lang w:val="en-US" w:eastAsia="zh-CN"/>
                    </w:rPr>
                  </w:pPr>
                </w:p>
              </w:tc>
              <w:tc>
                <w:tcPr>
                  <w:tcW w:w="332" w:type="pct"/>
                  <w:shd w:val="clear" w:color="auto" w:fill="auto"/>
                  <w:vAlign w:val="center"/>
                </w:tcPr>
                <w:p w14:paraId="7EDCA369">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lang w:val="en-US" w:eastAsia="zh-CN"/>
                    </w:rPr>
                  </w:pPr>
                  <w:r>
                    <w:rPr>
                      <w:rFonts w:hint="eastAsia"/>
                      <w:bCs/>
                      <w:color w:val="000000"/>
                      <w:sz w:val="21"/>
                      <w:szCs w:val="21"/>
                      <w:lang w:val="en-US" w:eastAsia="zh-CN"/>
                    </w:rPr>
                    <w:t>固态</w:t>
                  </w:r>
                </w:p>
              </w:tc>
              <w:tc>
                <w:tcPr>
                  <w:tcW w:w="470" w:type="pct"/>
                  <w:shd w:val="clear" w:color="auto" w:fill="auto"/>
                  <w:vAlign w:val="center"/>
                </w:tcPr>
                <w:p w14:paraId="4D205B18">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lang w:val="en-US" w:eastAsia="zh-CN"/>
                    </w:rPr>
                  </w:pPr>
                  <w:r>
                    <w:rPr>
                      <w:rFonts w:hint="eastAsia"/>
                      <w:bCs/>
                      <w:color w:val="000000"/>
                      <w:sz w:val="21"/>
                      <w:szCs w:val="21"/>
                      <w:lang w:val="en-US" w:eastAsia="zh-CN"/>
                    </w:rPr>
                    <w:t>毒性</w:t>
                  </w:r>
                  <w:r>
                    <w:rPr>
                      <w:rFonts w:hint="eastAsia"/>
                      <w:bCs/>
                      <w:color w:val="000000"/>
                      <w:sz w:val="21"/>
                      <w:szCs w:val="21"/>
                    </w:rPr>
                    <w:t>药材</w:t>
                  </w:r>
                </w:p>
              </w:tc>
              <w:tc>
                <w:tcPr>
                  <w:tcW w:w="470" w:type="pct"/>
                  <w:shd w:val="clear" w:color="auto" w:fill="auto"/>
                  <w:vAlign w:val="center"/>
                </w:tcPr>
                <w:p w14:paraId="763EF91D">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lang w:val="en-US" w:eastAsia="zh-CN"/>
                    </w:rPr>
                  </w:pPr>
                  <w:r>
                    <w:rPr>
                      <w:rFonts w:hint="eastAsia"/>
                      <w:bCs/>
                      <w:color w:val="000000"/>
                      <w:sz w:val="21"/>
                      <w:szCs w:val="21"/>
                      <w:lang w:val="en-US" w:eastAsia="zh-CN"/>
                    </w:rPr>
                    <w:t>毒性</w:t>
                  </w:r>
                  <w:r>
                    <w:rPr>
                      <w:rFonts w:hint="eastAsia"/>
                      <w:bCs/>
                      <w:color w:val="000000"/>
                      <w:sz w:val="21"/>
                      <w:szCs w:val="21"/>
                    </w:rPr>
                    <w:t>药材</w:t>
                  </w:r>
                </w:p>
              </w:tc>
              <w:tc>
                <w:tcPr>
                  <w:tcW w:w="267" w:type="pct"/>
                  <w:shd w:val="clear" w:color="auto" w:fill="auto"/>
                  <w:vAlign w:val="center"/>
                </w:tcPr>
                <w:p w14:paraId="678F984F">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rPr>
                    <w:t>4</w:t>
                  </w:r>
                </w:p>
              </w:tc>
              <w:tc>
                <w:tcPr>
                  <w:tcW w:w="269" w:type="pct"/>
                  <w:shd w:val="clear" w:color="auto" w:fill="auto"/>
                  <w:vAlign w:val="center"/>
                </w:tcPr>
                <w:p w14:paraId="3DC02374">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rPr>
                  </w:pPr>
                  <w:r>
                    <w:rPr>
                      <w:rFonts w:hint="eastAsia"/>
                    </w:rPr>
                    <w:t>T</w:t>
                  </w:r>
                </w:p>
              </w:tc>
              <w:tc>
                <w:tcPr>
                  <w:tcW w:w="269" w:type="pct"/>
                  <w:vMerge w:val="continue"/>
                  <w:vAlign w:val="center"/>
                </w:tcPr>
                <w:p w14:paraId="2953ECD2">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p>
              </w:tc>
            </w:tr>
            <w:tr w14:paraId="534719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5" w:type="pct"/>
                  <w:vAlign w:val="center"/>
                </w:tcPr>
                <w:p w14:paraId="08EDA1EC">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6</w:t>
                  </w:r>
                </w:p>
              </w:tc>
              <w:tc>
                <w:tcPr>
                  <w:tcW w:w="668" w:type="pct"/>
                  <w:shd w:val="clear" w:color="auto" w:fill="auto"/>
                  <w:vAlign w:val="center"/>
                </w:tcPr>
                <w:p w14:paraId="3A324E22">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lang w:val="en-US" w:eastAsia="zh-CN"/>
                    </w:rPr>
                  </w:pPr>
                  <w:r>
                    <w:rPr>
                      <w:rFonts w:hint="eastAsia"/>
                      <w:bCs/>
                      <w:color w:val="000000"/>
                      <w:sz w:val="21"/>
                      <w:szCs w:val="21"/>
                      <w:lang w:val="en-US" w:eastAsia="zh-CN"/>
                    </w:rPr>
                    <w:t>毒性饮片除尘器截留药尘</w:t>
                  </w:r>
                </w:p>
              </w:tc>
              <w:tc>
                <w:tcPr>
                  <w:tcW w:w="504" w:type="pct"/>
                  <w:shd w:val="clear" w:color="auto" w:fill="auto"/>
                  <w:vAlign w:val="center"/>
                </w:tcPr>
                <w:p w14:paraId="7D1E7FAE">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sz w:val="21"/>
                      <w:szCs w:val="21"/>
                    </w:rPr>
                    <w:t>HW03</w:t>
                  </w:r>
                </w:p>
              </w:tc>
              <w:tc>
                <w:tcPr>
                  <w:tcW w:w="663" w:type="pct"/>
                  <w:shd w:val="clear" w:color="auto" w:fill="auto"/>
                  <w:vAlign w:val="center"/>
                </w:tcPr>
                <w:p w14:paraId="57D2EC6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Cs/>
                      <w:color w:val="000000"/>
                      <w:sz w:val="21"/>
                      <w:szCs w:val="21"/>
                    </w:rPr>
                    <w:t>900-002-03</w:t>
                  </w:r>
                </w:p>
              </w:tc>
              <w:tc>
                <w:tcPr>
                  <w:tcW w:w="501" w:type="pct"/>
                  <w:vAlign w:val="center"/>
                </w:tcPr>
                <w:p w14:paraId="654FE7FD">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eastAsia" w:cs="Times New Roman"/>
                      <w:kern w:val="0"/>
                      <w:sz w:val="21"/>
                      <w:szCs w:val="21"/>
                      <w:lang w:val="en-US" w:eastAsia="zh-CN"/>
                    </w:rPr>
                  </w:pPr>
                  <w:r>
                    <w:rPr>
                      <w:rFonts w:hint="eastAsia"/>
                      <w:bCs/>
                      <w:color w:val="000000"/>
                      <w:sz w:val="21"/>
                      <w:szCs w:val="21"/>
                      <w:lang w:val="en-US" w:eastAsia="zh-CN"/>
                    </w:rPr>
                    <w:t>0.7524</w:t>
                  </w:r>
                </w:p>
              </w:tc>
              <w:tc>
                <w:tcPr>
                  <w:tcW w:w="318" w:type="pct"/>
                  <w:vMerge w:val="continue"/>
                  <w:vAlign w:val="center"/>
                </w:tcPr>
                <w:p w14:paraId="0D59A3BE">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eastAsia"/>
                      <w:bCs/>
                      <w:color w:val="000000"/>
                      <w:sz w:val="21"/>
                      <w:szCs w:val="21"/>
                      <w:lang w:val="en-US" w:eastAsia="zh-CN"/>
                    </w:rPr>
                  </w:pPr>
                </w:p>
              </w:tc>
              <w:tc>
                <w:tcPr>
                  <w:tcW w:w="332" w:type="pct"/>
                  <w:shd w:val="clear" w:color="auto" w:fill="auto"/>
                  <w:vAlign w:val="center"/>
                </w:tcPr>
                <w:p w14:paraId="4F1AF507">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lang w:val="en-US" w:eastAsia="zh-CN"/>
                    </w:rPr>
                  </w:pPr>
                  <w:r>
                    <w:rPr>
                      <w:rFonts w:hint="eastAsia"/>
                      <w:bCs/>
                      <w:color w:val="000000"/>
                      <w:sz w:val="21"/>
                      <w:szCs w:val="21"/>
                      <w:lang w:val="en-US" w:eastAsia="zh-CN"/>
                    </w:rPr>
                    <w:t>固态</w:t>
                  </w:r>
                </w:p>
              </w:tc>
              <w:tc>
                <w:tcPr>
                  <w:tcW w:w="470" w:type="pct"/>
                  <w:shd w:val="clear" w:color="auto" w:fill="auto"/>
                  <w:vAlign w:val="center"/>
                </w:tcPr>
                <w:p w14:paraId="4BA62A68">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lang w:val="en-US" w:eastAsia="zh-CN"/>
                    </w:rPr>
                  </w:pPr>
                  <w:r>
                    <w:rPr>
                      <w:rFonts w:hint="eastAsia"/>
                      <w:bCs/>
                      <w:color w:val="000000"/>
                      <w:sz w:val="21"/>
                      <w:szCs w:val="21"/>
                      <w:lang w:val="en-US" w:eastAsia="zh-CN"/>
                    </w:rPr>
                    <w:t>毒性</w:t>
                  </w:r>
                  <w:r>
                    <w:rPr>
                      <w:rFonts w:hint="eastAsia"/>
                      <w:bCs/>
                      <w:color w:val="000000"/>
                      <w:sz w:val="21"/>
                      <w:szCs w:val="21"/>
                    </w:rPr>
                    <w:t>药材</w:t>
                  </w:r>
                </w:p>
              </w:tc>
              <w:tc>
                <w:tcPr>
                  <w:tcW w:w="470" w:type="pct"/>
                  <w:shd w:val="clear" w:color="auto" w:fill="auto"/>
                  <w:vAlign w:val="center"/>
                </w:tcPr>
                <w:p w14:paraId="1B72B92B">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lang w:val="en-US" w:eastAsia="zh-CN"/>
                    </w:rPr>
                  </w:pPr>
                  <w:r>
                    <w:rPr>
                      <w:rFonts w:hint="eastAsia"/>
                      <w:bCs/>
                      <w:color w:val="000000"/>
                      <w:sz w:val="21"/>
                      <w:szCs w:val="21"/>
                      <w:lang w:val="en-US" w:eastAsia="zh-CN"/>
                    </w:rPr>
                    <w:t>毒性</w:t>
                  </w:r>
                  <w:r>
                    <w:rPr>
                      <w:rFonts w:hint="eastAsia"/>
                      <w:bCs/>
                      <w:color w:val="000000"/>
                      <w:sz w:val="21"/>
                      <w:szCs w:val="21"/>
                    </w:rPr>
                    <w:t>药材</w:t>
                  </w:r>
                </w:p>
              </w:tc>
              <w:tc>
                <w:tcPr>
                  <w:tcW w:w="267" w:type="pct"/>
                  <w:shd w:val="clear" w:color="auto" w:fill="auto"/>
                  <w:vAlign w:val="center"/>
                </w:tcPr>
                <w:p w14:paraId="57742012">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bCs/>
                      <w:color w:val="000000"/>
                      <w:sz w:val="21"/>
                      <w:szCs w:val="21"/>
                      <w:lang w:val="en-US" w:eastAsia="zh-CN"/>
                    </w:rPr>
                    <w:t>0.7524</w:t>
                  </w:r>
                </w:p>
              </w:tc>
              <w:tc>
                <w:tcPr>
                  <w:tcW w:w="269" w:type="pct"/>
                  <w:shd w:val="clear" w:color="auto" w:fill="auto"/>
                  <w:vAlign w:val="center"/>
                </w:tcPr>
                <w:p w14:paraId="444B6230">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rPr>
                  </w:pPr>
                  <w:r>
                    <w:rPr>
                      <w:rFonts w:hint="eastAsia"/>
                    </w:rPr>
                    <w:t>T</w:t>
                  </w:r>
                </w:p>
              </w:tc>
              <w:tc>
                <w:tcPr>
                  <w:tcW w:w="269" w:type="pct"/>
                  <w:vMerge w:val="continue"/>
                  <w:vAlign w:val="center"/>
                </w:tcPr>
                <w:p w14:paraId="5CB45A77">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p>
              </w:tc>
            </w:tr>
            <w:tr w14:paraId="66D7D5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5" w:type="pct"/>
                  <w:vAlign w:val="center"/>
                </w:tcPr>
                <w:p w14:paraId="59DFC7C0">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cs="Times New Roman"/>
                      <w:kern w:val="0"/>
                      <w:sz w:val="21"/>
                      <w:szCs w:val="21"/>
                      <w:lang w:val="en-US" w:eastAsia="zh-CN"/>
                    </w:rPr>
                    <w:t>7</w:t>
                  </w:r>
                </w:p>
              </w:tc>
              <w:tc>
                <w:tcPr>
                  <w:tcW w:w="668" w:type="pct"/>
                  <w:shd w:val="clear" w:color="auto" w:fill="auto"/>
                  <w:vAlign w:val="center"/>
                </w:tcPr>
                <w:p w14:paraId="05B018C0">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毒性饮片检验过程中不合格品</w:t>
                  </w:r>
                </w:p>
              </w:tc>
              <w:tc>
                <w:tcPr>
                  <w:tcW w:w="504" w:type="pct"/>
                  <w:shd w:val="clear" w:color="auto" w:fill="auto"/>
                  <w:vAlign w:val="center"/>
                </w:tcPr>
                <w:p w14:paraId="2F0A93E5">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sz w:val="21"/>
                      <w:szCs w:val="21"/>
                    </w:rPr>
                    <w:t>HW03</w:t>
                  </w:r>
                </w:p>
              </w:tc>
              <w:tc>
                <w:tcPr>
                  <w:tcW w:w="663" w:type="pct"/>
                  <w:shd w:val="clear" w:color="auto" w:fill="auto"/>
                  <w:vAlign w:val="center"/>
                </w:tcPr>
                <w:p w14:paraId="6D7E344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Cs/>
                      <w:color w:val="000000"/>
                      <w:sz w:val="21"/>
                      <w:szCs w:val="21"/>
                    </w:rPr>
                    <w:t>900-002-03</w:t>
                  </w:r>
                </w:p>
              </w:tc>
              <w:tc>
                <w:tcPr>
                  <w:tcW w:w="501" w:type="pct"/>
                  <w:vAlign w:val="center"/>
                </w:tcPr>
                <w:p w14:paraId="537C1B2F">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eastAsia"/>
                      <w:bCs/>
                      <w:color w:val="000000"/>
                      <w:sz w:val="21"/>
                      <w:szCs w:val="21"/>
                      <w:lang w:val="en-US" w:eastAsia="zh-CN"/>
                    </w:rPr>
                    <w:t>0.05</w:t>
                  </w:r>
                </w:p>
              </w:tc>
              <w:tc>
                <w:tcPr>
                  <w:tcW w:w="318" w:type="pct"/>
                  <w:vMerge w:val="continue"/>
                  <w:vAlign w:val="center"/>
                </w:tcPr>
                <w:p w14:paraId="37F31F1E">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p>
              </w:tc>
              <w:tc>
                <w:tcPr>
                  <w:tcW w:w="332" w:type="pct"/>
                  <w:shd w:val="clear" w:color="auto" w:fill="auto"/>
                  <w:vAlign w:val="center"/>
                </w:tcPr>
                <w:p w14:paraId="0B12634D">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固态</w:t>
                  </w:r>
                </w:p>
              </w:tc>
              <w:tc>
                <w:tcPr>
                  <w:tcW w:w="470" w:type="pct"/>
                  <w:shd w:val="clear" w:color="auto" w:fill="auto"/>
                  <w:vAlign w:val="center"/>
                </w:tcPr>
                <w:p w14:paraId="280380EC">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毒性饮片</w:t>
                  </w:r>
                </w:p>
              </w:tc>
              <w:tc>
                <w:tcPr>
                  <w:tcW w:w="470" w:type="pct"/>
                  <w:shd w:val="clear" w:color="auto" w:fill="auto"/>
                  <w:vAlign w:val="center"/>
                </w:tcPr>
                <w:p w14:paraId="1E34AA65">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毒性饮片</w:t>
                  </w:r>
                </w:p>
              </w:tc>
              <w:tc>
                <w:tcPr>
                  <w:tcW w:w="267" w:type="pct"/>
                  <w:shd w:val="clear" w:color="auto" w:fill="auto"/>
                  <w:vAlign w:val="center"/>
                </w:tcPr>
                <w:p w14:paraId="453C21CA">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bCs/>
                      <w:color w:val="000000"/>
                      <w:sz w:val="21"/>
                      <w:szCs w:val="21"/>
                      <w:lang w:val="en-US" w:eastAsia="zh-CN"/>
                    </w:rPr>
                    <w:t>0.05</w:t>
                  </w:r>
                </w:p>
              </w:tc>
              <w:tc>
                <w:tcPr>
                  <w:tcW w:w="269" w:type="pct"/>
                  <w:shd w:val="clear" w:color="auto" w:fill="auto"/>
                  <w:vAlign w:val="center"/>
                </w:tcPr>
                <w:p w14:paraId="4F28978E">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rPr>
                    <w:t>T</w:t>
                  </w:r>
                </w:p>
              </w:tc>
              <w:tc>
                <w:tcPr>
                  <w:tcW w:w="269" w:type="pct"/>
                  <w:vMerge w:val="continue"/>
                  <w:vAlign w:val="center"/>
                </w:tcPr>
                <w:p w14:paraId="25A4CED9">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p>
              </w:tc>
            </w:tr>
            <w:tr w14:paraId="2CE1ED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5" w:type="pct"/>
                  <w:vAlign w:val="center"/>
                </w:tcPr>
                <w:p w14:paraId="0C2FFA2D">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cs="Times New Roman"/>
                      <w:kern w:val="0"/>
                      <w:sz w:val="21"/>
                      <w:szCs w:val="21"/>
                      <w:lang w:val="en-US" w:eastAsia="zh-CN"/>
                    </w:rPr>
                    <w:t>8</w:t>
                  </w:r>
                </w:p>
              </w:tc>
              <w:tc>
                <w:tcPr>
                  <w:tcW w:w="668" w:type="pct"/>
                  <w:shd w:val="clear" w:color="auto" w:fill="auto"/>
                  <w:vAlign w:val="center"/>
                </w:tcPr>
                <w:p w14:paraId="64411B78">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rPr>
                    <w:t>解毒池沉渣</w:t>
                  </w:r>
                </w:p>
              </w:tc>
              <w:tc>
                <w:tcPr>
                  <w:tcW w:w="504" w:type="pct"/>
                  <w:shd w:val="clear" w:color="auto" w:fill="auto"/>
                  <w:vAlign w:val="center"/>
                </w:tcPr>
                <w:p w14:paraId="62BE5529">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sz w:val="21"/>
                      <w:szCs w:val="21"/>
                    </w:rPr>
                    <w:t>HW03</w:t>
                  </w:r>
                </w:p>
              </w:tc>
              <w:tc>
                <w:tcPr>
                  <w:tcW w:w="663" w:type="pct"/>
                  <w:shd w:val="clear" w:color="auto" w:fill="auto"/>
                  <w:vAlign w:val="center"/>
                </w:tcPr>
                <w:p w14:paraId="2AFFB265">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Cs/>
                      <w:color w:val="000000"/>
                      <w:sz w:val="21"/>
                      <w:szCs w:val="21"/>
                    </w:rPr>
                    <w:t>900-002-03</w:t>
                  </w:r>
                </w:p>
              </w:tc>
              <w:tc>
                <w:tcPr>
                  <w:tcW w:w="501" w:type="pct"/>
                  <w:vAlign w:val="center"/>
                </w:tcPr>
                <w:p w14:paraId="6DFB8696">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0.05</w:t>
                  </w:r>
                </w:p>
              </w:tc>
              <w:tc>
                <w:tcPr>
                  <w:tcW w:w="318" w:type="pct"/>
                  <w:vMerge w:val="continue"/>
                  <w:vAlign w:val="center"/>
                </w:tcPr>
                <w:p w14:paraId="1AF55B05">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p>
              </w:tc>
              <w:tc>
                <w:tcPr>
                  <w:tcW w:w="332" w:type="pct"/>
                  <w:shd w:val="clear" w:color="auto" w:fill="auto"/>
                  <w:vAlign w:val="center"/>
                </w:tcPr>
                <w:p w14:paraId="3D3DE43D">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固态</w:t>
                  </w:r>
                </w:p>
              </w:tc>
              <w:tc>
                <w:tcPr>
                  <w:tcW w:w="470" w:type="pct"/>
                  <w:shd w:val="clear" w:color="auto" w:fill="auto"/>
                  <w:vAlign w:val="center"/>
                </w:tcPr>
                <w:p w14:paraId="591120DF">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毒性</w:t>
                  </w:r>
                  <w:r>
                    <w:rPr>
                      <w:rFonts w:hint="eastAsia"/>
                      <w:bCs/>
                      <w:color w:val="000000"/>
                      <w:sz w:val="21"/>
                      <w:szCs w:val="21"/>
                    </w:rPr>
                    <w:t>药材</w:t>
                  </w:r>
                </w:p>
              </w:tc>
              <w:tc>
                <w:tcPr>
                  <w:tcW w:w="470" w:type="pct"/>
                  <w:shd w:val="clear" w:color="auto" w:fill="auto"/>
                  <w:vAlign w:val="center"/>
                </w:tcPr>
                <w:p w14:paraId="704A77E3">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毒性</w:t>
                  </w:r>
                  <w:r>
                    <w:rPr>
                      <w:rFonts w:hint="eastAsia"/>
                      <w:bCs/>
                      <w:color w:val="000000"/>
                      <w:sz w:val="21"/>
                      <w:szCs w:val="21"/>
                    </w:rPr>
                    <w:t>药材</w:t>
                  </w:r>
                </w:p>
              </w:tc>
              <w:tc>
                <w:tcPr>
                  <w:tcW w:w="267" w:type="pct"/>
                  <w:shd w:val="clear" w:color="auto" w:fill="auto"/>
                  <w:vAlign w:val="center"/>
                </w:tcPr>
                <w:p w14:paraId="68FD3168">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rPr>
                    <w:t>0.05</w:t>
                  </w:r>
                </w:p>
              </w:tc>
              <w:tc>
                <w:tcPr>
                  <w:tcW w:w="269" w:type="pct"/>
                  <w:shd w:val="clear" w:color="auto" w:fill="auto"/>
                  <w:vAlign w:val="center"/>
                </w:tcPr>
                <w:p w14:paraId="34073C22">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rPr>
                    <w:t>T</w:t>
                  </w:r>
                </w:p>
              </w:tc>
              <w:tc>
                <w:tcPr>
                  <w:tcW w:w="269" w:type="pct"/>
                  <w:vMerge w:val="continue"/>
                  <w:vAlign w:val="center"/>
                </w:tcPr>
                <w:p w14:paraId="339AF2A1">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p>
              </w:tc>
            </w:tr>
          </w:tbl>
          <w:p w14:paraId="5BD639CB">
            <w:pPr>
              <w:keepNext w:val="0"/>
              <w:keepLines w:val="0"/>
              <w:pageBreakBefore w:val="0"/>
              <w:widowControl w:val="0"/>
              <w:numPr>
                <w:ilvl w:val="0"/>
                <w:numId w:val="9"/>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lang w:val="zh-CN"/>
              </w:rPr>
            </w:pPr>
            <w:r>
              <w:rPr>
                <w:rFonts w:hint="eastAsia" w:ascii="Times New Roman" w:hAnsi="Times New Roman" w:eastAsia="宋体" w:cs="Times New Roman"/>
                <w:b/>
                <w:bCs/>
                <w:color w:val="auto"/>
                <w:sz w:val="21"/>
                <w:szCs w:val="21"/>
                <w:lang w:val="zh-CN"/>
              </w:rPr>
              <w:t>危险废物贮存场所基本情况</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2"/>
              <w:gridCol w:w="1162"/>
              <w:gridCol w:w="897"/>
              <w:gridCol w:w="897"/>
              <w:gridCol w:w="897"/>
              <w:gridCol w:w="897"/>
              <w:gridCol w:w="897"/>
              <w:gridCol w:w="897"/>
              <w:gridCol w:w="898"/>
            </w:tblGrid>
            <w:tr w14:paraId="670D2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vAlign w:val="center"/>
                </w:tcPr>
                <w:p w14:paraId="174BF61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序号</w:t>
                  </w:r>
                </w:p>
              </w:tc>
              <w:tc>
                <w:tcPr>
                  <w:tcW w:w="719" w:type="pct"/>
                  <w:vAlign w:val="center"/>
                </w:tcPr>
                <w:p w14:paraId="64959794">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名称</w:t>
                  </w:r>
                </w:p>
              </w:tc>
              <w:tc>
                <w:tcPr>
                  <w:tcW w:w="555" w:type="pct"/>
                  <w:vAlign w:val="center"/>
                </w:tcPr>
                <w:p w14:paraId="606F1AB2">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类别</w:t>
                  </w:r>
                </w:p>
              </w:tc>
              <w:tc>
                <w:tcPr>
                  <w:tcW w:w="555" w:type="pct"/>
                  <w:vAlign w:val="center"/>
                </w:tcPr>
                <w:p w14:paraId="31139B1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代码</w:t>
                  </w:r>
                </w:p>
              </w:tc>
              <w:tc>
                <w:tcPr>
                  <w:tcW w:w="555" w:type="pct"/>
                  <w:vAlign w:val="center"/>
                </w:tcPr>
                <w:p w14:paraId="379E253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位置</w:t>
                  </w:r>
                </w:p>
              </w:tc>
              <w:tc>
                <w:tcPr>
                  <w:tcW w:w="555" w:type="pct"/>
                  <w:vAlign w:val="center"/>
                </w:tcPr>
                <w:p w14:paraId="1BB96B3D">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占地面积</w:t>
                  </w:r>
                </w:p>
              </w:tc>
              <w:tc>
                <w:tcPr>
                  <w:tcW w:w="555" w:type="pct"/>
                  <w:vAlign w:val="center"/>
                </w:tcPr>
                <w:p w14:paraId="10D80920">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储存方式</w:t>
                  </w:r>
                </w:p>
              </w:tc>
              <w:tc>
                <w:tcPr>
                  <w:tcW w:w="555" w:type="pct"/>
                  <w:vAlign w:val="center"/>
                </w:tcPr>
                <w:p w14:paraId="5F349132">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储存能力（t/a）</w:t>
                  </w:r>
                </w:p>
              </w:tc>
              <w:tc>
                <w:tcPr>
                  <w:tcW w:w="556" w:type="pct"/>
                  <w:vAlign w:val="center"/>
                </w:tcPr>
                <w:p w14:paraId="4AE63014">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贮存周期</w:t>
                  </w:r>
                </w:p>
              </w:tc>
            </w:tr>
            <w:tr w14:paraId="5D73D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vAlign w:val="center"/>
                </w:tcPr>
                <w:p w14:paraId="4E16246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1</w:t>
                  </w:r>
                </w:p>
              </w:tc>
              <w:tc>
                <w:tcPr>
                  <w:tcW w:w="719" w:type="pct"/>
                  <w:vAlign w:val="center"/>
                </w:tcPr>
                <w:p w14:paraId="37F4C93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实验固废</w:t>
                  </w:r>
                </w:p>
              </w:tc>
              <w:tc>
                <w:tcPr>
                  <w:tcW w:w="555" w:type="pct"/>
                  <w:vAlign w:val="center"/>
                </w:tcPr>
                <w:p w14:paraId="5292002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HW49</w:t>
                  </w:r>
                </w:p>
              </w:tc>
              <w:tc>
                <w:tcPr>
                  <w:tcW w:w="555" w:type="pct"/>
                  <w:vAlign w:val="center"/>
                </w:tcPr>
                <w:p w14:paraId="502F7DA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b w:val="0"/>
                      <w:bCs w:val="0"/>
                      <w:color w:val="auto"/>
                      <w:sz w:val="21"/>
                      <w:szCs w:val="21"/>
                      <w:vertAlign w:val="baseline"/>
                    </w:rPr>
                  </w:pPr>
                  <w:r>
                    <w:rPr>
                      <w:rFonts w:hint="eastAsia"/>
                      <w:b w:val="0"/>
                      <w:bCs w:val="0"/>
                      <w:color w:val="auto"/>
                      <w:sz w:val="21"/>
                      <w:szCs w:val="21"/>
                      <w:vertAlign w:val="baseline"/>
                    </w:rPr>
                    <w:t>900-047-49</w:t>
                  </w:r>
                </w:p>
              </w:tc>
              <w:tc>
                <w:tcPr>
                  <w:tcW w:w="555" w:type="pct"/>
                  <w:vMerge w:val="restart"/>
                  <w:vAlign w:val="center"/>
                </w:tcPr>
                <w:p w14:paraId="19ADF30D">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危废暂存间</w:t>
                  </w:r>
                </w:p>
              </w:tc>
              <w:tc>
                <w:tcPr>
                  <w:tcW w:w="555" w:type="pct"/>
                  <w:vMerge w:val="restart"/>
                  <w:vAlign w:val="center"/>
                </w:tcPr>
                <w:p w14:paraId="71D93BD8">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50m</w:t>
                  </w:r>
                  <w:r>
                    <w:rPr>
                      <w:rFonts w:hint="eastAsia"/>
                      <w:b w:val="0"/>
                      <w:bCs w:val="0"/>
                      <w:color w:val="auto"/>
                      <w:sz w:val="21"/>
                      <w:szCs w:val="21"/>
                      <w:vertAlign w:val="superscript"/>
                      <w:lang w:val="en-US" w:eastAsia="zh-CN"/>
                    </w:rPr>
                    <w:t>2</w:t>
                  </w:r>
                </w:p>
              </w:tc>
              <w:tc>
                <w:tcPr>
                  <w:tcW w:w="555" w:type="pct"/>
                  <w:vAlign w:val="center"/>
                </w:tcPr>
                <w:p w14:paraId="07E4430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包装袋包装</w:t>
                  </w:r>
                </w:p>
              </w:tc>
              <w:tc>
                <w:tcPr>
                  <w:tcW w:w="555" w:type="pct"/>
                  <w:vMerge w:val="restart"/>
                  <w:vAlign w:val="center"/>
                </w:tcPr>
                <w:p w14:paraId="44FB01D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10</w:t>
                  </w:r>
                </w:p>
              </w:tc>
              <w:tc>
                <w:tcPr>
                  <w:tcW w:w="556" w:type="pct"/>
                  <w:vMerge w:val="restart"/>
                  <w:vAlign w:val="center"/>
                </w:tcPr>
                <w:p w14:paraId="4FADF82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三个月</w:t>
                  </w:r>
                </w:p>
              </w:tc>
            </w:tr>
            <w:tr w14:paraId="4C0DE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vAlign w:val="center"/>
                </w:tcPr>
                <w:p w14:paraId="409EB12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2</w:t>
                  </w:r>
                </w:p>
              </w:tc>
              <w:tc>
                <w:tcPr>
                  <w:tcW w:w="719" w:type="pct"/>
                  <w:vAlign w:val="center"/>
                </w:tcPr>
                <w:p w14:paraId="4A4E78B8">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实验废液</w:t>
                  </w:r>
                </w:p>
              </w:tc>
              <w:tc>
                <w:tcPr>
                  <w:tcW w:w="555" w:type="pct"/>
                  <w:vAlign w:val="center"/>
                </w:tcPr>
                <w:p w14:paraId="317BCFD0">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b w:val="0"/>
                      <w:bCs w:val="0"/>
                      <w:color w:val="auto"/>
                      <w:sz w:val="21"/>
                      <w:szCs w:val="21"/>
                      <w:vertAlign w:val="baseline"/>
                    </w:rPr>
                  </w:pPr>
                  <w:r>
                    <w:rPr>
                      <w:rFonts w:hint="eastAsia"/>
                      <w:b w:val="0"/>
                      <w:bCs w:val="0"/>
                      <w:color w:val="auto"/>
                      <w:sz w:val="21"/>
                      <w:szCs w:val="21"/>
                      <w:vertAlign w:val="baseline"/>
                      <w:lang w:val="en-US" w:eastAsia="zh-CN"/>
                    </w:rPr>
                    <w:t>HW49</w:t>
                  </w:r>
                </w:p>
              </w:tc>
              <w:tc>
                <w:tcPr>
                  <w:tcW w:w="555" w:type="pct"/>
                  <w:vAlign w:val="center"/>
                </w:tcPr>
                <w:p w14:paraId="4BD6044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b w:val="0"/>
                      <w:bCs w:val="0"/>
                      <w:color w:val="auto"/>
                      <w:sz w:val="21"/>
                      <w:szCs w:val="21"/>
                      <w:vertAlign w:val="baseline"/>
                    </w:rPr>
                  </w:pPr>
                  <w:r>
                    <w:rPr>
                      <w:rFonts w:hint="eastAsia"/>
                      <w:b w:val="0"/>
                      <w:bCs w:val="0"/>
                      <w:color w:val="auto"/>
                      <w:sz w:val="21"/>
                      <w:szCs w:val="21"/>
                      <w:vertAlign w:val="baseline"/>
                    </w:rPr>
                    <w:t>900-047-49</w:t>
                  </w:r>
                </w:p>
              </w:tc>
              <w:tc>
                <w:tcPr>
                  <w:tcW w:w="555" w:type="pct"/>
                  <w:vMerge w:val="continue"/>
                  <w:vAlign w:val="center"/>
                </w:tcPr>
                <w:p w14:paraId="7FBD5942">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b w:val="0"/>
                      <w:bCs w:val="0"/>
                      <w:color w:val="auto"/>
                      <w:sz w:val="21"/>
                      <w:szCs w:val="21"/>
                      <w:vertAlign w:val="baseline"/>
                    </w:rPr>
                  </w:pPr>
                </w:p>
              </w:tc>
              <w:tc>
                <w:tcPr>
                  <w:tcW w:w="555" w:type="pct"/>
                  <w:vMerge w:val="continue"/>
                  <w:vAlign w:val="center"/>
                </w:tcPr>
                <w:p w14:paraId="5F66EF8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b w:val="0"/>
                      <w:bCs w:val="0"/>
                      <w:color w:val="auto"/>
                      <w:sz w:val="21"/>
                      <w:szCs w:val="21"/>
                      <w:vertAlign w:val="baseline"/>
                    </w:rPr>
                  </w:pPr>
                </w:p>
              </w:tc>
              <w:tc>
                <w:tcPr>
                  <w:tcW w:w="555" w:type="pct"/>
                  <w:vAlign w:val="center"/>
                </w:tcPr>
                <w:p w14:paraId="60FC75ED">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b w:val="0"/>
                      <w:bCs w:val="0"/>
                      <w:color w:val="auto"/>
                      <w:sz w:val="21"/>
                      <w:szCs w:val="21"/>
                      <w:vertAlign w:val="baseline"/>
                    </w:rPr>
                  </w:pPr>
                  <w:r>
                    <w:rPr>
                      <w:rFonts w:hint="eastAsia"/>
                      <w:b w:val="0"/>
                      <w:bCs w:val="0"/>
                      <w:color w:val="auto"/>
                      <w:sz w:val="21"/>
                      <w:szCs w:val="21"/>
                      <w:vertAlign w:val="baseline"/>
                      <w:lang w:val="en-US" w:eastAsia="zh-CN"/>
                    </w:rPr>
                    <w:t>容器盛装</w:t>
                  </w:r>
                </w:p>
              </w:tc>
              <w:tc>
                <w:tcPr>
                  <w:tcW w:w="555" w:type="pct"/>
                  <w:vMerge w:val="continue"/>
                  <w:vAlign w:val="center"/>
                </w:tcPr>
                <w:p w14:paraId="1BDC3E8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b w:val="0"/>
                      <w:bCs w:val="0"/>
                      <w:color w:val="auto"/>
                      <w:sz w:val="21"/>
                      <w:szCs w:val="21"/>
                      <w:vertAlign w:val="baseline"/>
                    </w:rPr>
                  </w:pPr>
                </w:p>
              </w:tc>
              <w:tc>
                <w:tcPr>
                  <w:tcW w:w="556" w:type="pct"/>
                  <w:vMerge w:val="continue"/>
                  <w:vAlign w:val="center"/>
                </w:tcPr>
                <w:p w14:paraId="27D180C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b w:val="0"/>
                      <w:bCs w:val="0"/>
                      <w:color w:val="auto"/>
                      <w:sz w:val="21"/>
                      <w:szCs w:val="21"/>
                      <w:vertAlign w:val="baseline"/>
                    </w:rPr>
                  </w:pPr>
                </w:p>
              </w:tc>
            </w:tr>
            <w:tr w14:paraId="2BAA0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vAlign w:val="center"/>
                </w:tcPr>
                <w:p w14:paraId="6FAB3720">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3</w:t>
                  </w:r>
                </w:p>
              </w:tc>
              <w:tc>
                <w:tcPr>
                  <w:tcW w:w="719" w:type="pct"/>
                  <w:vAlign w:val="center"/>
                </w:tcPr>
                <w:p w14:paraId="6B5BD5F8">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废活性炭</w:t>
                  </w:r>
                </w:p>
              </w:tc>
              <w:tc>
                <w:tcPr>
                  <w:tcW w:w="555" w:type="pct"/>
                  <w:vAlign w:val="center"/>
                </w:tcPr>
                <w:p w14:paraId="018CD4B5">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b w:val="0"/>
                      <w:bCs w:val="0"/>
                      <w:color w:val="auto"/>
                      <w:sz w:val="21"/>
                      <w:szCs w:val="21"/>
                      <w:vertAlign w:val="baseline"/>
                    </w:rPr>
                  </w:pPr>
                  <w:r>
                    <w:rPr>
                      <w:rFonts w:hint="eastAsia"/>
                      <w:b w:val="0"/>
                      <w:bCs w:val="0"/>
                      <w:color w:val="auto"/>
                      <w:sz w:val="21"/>
                      <w:szCs w:val="21"/>
                      <w:vertAlign w:val="baseline"/>
                      <w:lang w:val="en-US" w:eastAsia="zh-CN"/>
                    </w:rPr>
                    <w:t>HW49</w:t>
                  </w:r>
                </w:p>
              </w:tc>
              <w:tc>
                <w:tcPr>
                  <w:tcW w:w="555" w:type="pct"/>
                  <w:vAlign w:val="center"/>
                </w:tcPr>
                <w:p w14:paraId="620CB3C4">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b w:val="0"/>
                      <w:bCs w:val="0"/>
                      <w:color w:val="auto"/>
                      <w:sz w:val="21"/>
                      <w:szCs w:val="21"/>
                      <w:vertAlign w:val="baseline"/>
                    </w:rPr>
                  </w:pPr>
                  <w:r>
                    <w:rPr>
                      <w:rFonts w:hint="eastAsia"/>
                      <w:b w:val="0"/>
                      <w:bCs w:val="0"/>
                      <w:color w:val="auto"/>
                      <w:sz w:val="21"/>
                      <w:szCs w:val="21"/>
                      <w:vertAlign w:val="baseline"/>
                    </w:rPr>
                    <w:t>900-047-49</w:t>
                  </w:r>
                </w:p>
              </w:tc>
              <w:tc>
                <w:tcPr>
                  <w:tcW w:w="555" w:type="pct"/>
                  <w:vMerge w:val="continue"/>
                  <w:vAlign w:val="center"/>
                </w:tcPr>
                <w:p w14:paraId="1D11A0D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b w:val="0"/>
                      <w:bCs w:val="0"/>
                      <w:color w:val="auto"/>
                      <w:sz w:val="21"/>
                      <w:szCs w:val="21"/>
                      <w:vertAlign w:val="baseline"/>
                    </w:rPr>
                  </w:pPr>
                </w:p>
              </w:tc>
              <w:tc>
                <w:tcPr>
                  <w:tcW w:w="555" w:type="pct"/>
                  <w:vMerge w:val="continue"/>
                  <w:vAlign w:val="center"/>
                </w:tcPr>
                <w:p w14:paraId="5E7E3505">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b w:val="0"/>
                      <w:bCs w:val="0"/>
                      <w:color w:val="auto"/>
                      <w:sz w:val="21"/>
                      <w:szCs w:val="21"/>
                      <w:vertAlign w:val="baseline"/>
                    </w:rPr>
                  </w:pPr>
                </w:p>
              </w:tc>
              <w:tc>
                <w:tcPr>
                  <w:tcW w:w="555" w:type="pct"/>
                  <w:vAlign w:val="center"/>
                </w:tcPr>
                <w:p w14:paraId="3FC67AD4">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b w:val="0"/>
                      <w:bCs w:val="0"/>
                      <w:color w:val="auto"/>
                      <w:sz w:val="21"/>
                      <w:szCs w:val="21"/>
                      <w:vertAlign w:val="baseline"/>
                    </w:rPr>
                  </w:pPr>
                  <w:r>
                    <w:rPr>
                      <w:rFonts w:hint="eastAsia"/>
                      <w:b w:val="0"/>
                      <w:bCs w:val="0"/>
                      <w:color w:val="auto"/>
                      <w:sz w:val="21"/>
                      <w:szCs w:val="21"/>
                      <w:vertAlign w:val="baseline"/>
                      <w:lang w:val="en-US" w:eastAsia="zh-CN"/>
                    </w:rPr>
                    <w:t>包装袋包装</w:t>
                  </w:r>
                </w:p>
              </w:tc>
              <w:tc>
                <w:tcPr>
                  <w:tcW w:w="555" w:type="pct"/>
                  <w:vMerge w:val="continue"/>
                  <w:vAlign w:val="center"/>
                </w:tcPr>
                <w:p w14:paraId="1F0C41C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b w:val="0"/>
                      <w:bCs w:val="0"/>
                      <w:color w:val="auto"/>
                      <w:sz w:val="21"/>
                      <w:szCs w:val="21"/>
                      <w:vertAlign w:val="baseline"/>
                    </w:rPr>
                  </w:pPr>
                </w:p>
              </w:tc>
              <w:tc>
                <w:tcPr>
                  <w:tcW w:w="556" w:type="pct"/>
                  <w:vMerge w:val="continue"/>
                  <w:vAlign w:val="center"/>
                </w:tcPr>
                <w:p w14:paraId="6A96C24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b w:val="0"/>
                      <w:bCs w:val="0"/>
                      <w:color w:val="auto"/>
                      <w:sz w:val="21"/>
                      <w:szCs w:val="21"/>
                      <w:vertAlign w:val="baseline"/>
                    </w:rPr>
                  </w:pPr>
                </w:p>
              </w:tc>
            </w:tr>
            <w:tr w14:paraId="261E3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vAlign w:val="center"/>
                </w:tcPr>
                <w:p w14:paraId="663A26A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4</w:t>
                  </w:r>
                </w:p>
              </w:tc>
              <w:tc>
                <w:tcPr>
                  <w:tcW w:w="719" w:type="pct"/>
                  <w:shd w:val="clear" w:color="auto" w:fill="auto"/>
                  <w:vAlign w:val="center"/>
                </w:tcPr>
                <w:p w14:paraId="6D365654">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毒性</w:t>
                  </w:r>
                  <w:r>
                    <w:rPr>
                      <w:rFonts w:hint="eastAsia"/>
                      <w:bCs/>
                      <w:color w:val="000000"/>
                      <w:sz w:val="21"/>
                      <w:szCs w:val="21"/>
                    </w:rPr>
                    <w:t>药材废弃物</w:t>
                  </w:r>
                </w:p>
              </w:tc>
              <w:tc>
                <w:tcPr>
                  <w:tcW w:w="555" w:type="pct"/>
                  <w:shd w:val="clear" w:color="auto" w:fill="auto"/>
                  <w:vAlign w:val="center"/>
                </w:tcPr>
                <w:p w14:paraId="59CC600F">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sz w:val="21"/>
                      <w:szCs w:val="21"/>
                    </w:rPr>
                    <w:t>HW03</w:t>
                  </w:r>
                </w:p>
              </w:tc>
              <w:tc>
                <w:tcPr>
                  <w:tcW w:w="555" w:type="pct"/>
                  <w:vAlign w:val="center"/>
                </w:tcPr>
                <w:p w14:paraId="533CAECD">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val="0"/>
                      <w:bCs w:val="0"/>
                      <w:color w:val="auto"/>
                      <w:sz w:val="21"/>
                      <w:szCs w:val="21"/>
                      <w:vertAlign w:val="baseline"/>
                    </w:rPr>
                  </w:pPr>
                  <w:r>
                    <w:rPr>
                      <w:rFonts w:hint="eastAsia" w:ascii="Times New Roman" w:hAnsi="Times New Roman" w:eastAsia="宋体" w:cs="Times New Roman"/>
                      <w:bCs/>
                      <w:color w:val="000000"/>
                      <w:sz w:val="21"/>
                      <w:szCs w:val="21"/>
                    </w:rPr>
                    <w:t>900-002-03</w:t>
                  </w:r>
                </w:p>
              </w:tc>
              <w:tc>
                <w:tcPr>
                  <w:tcW w:w="555" w:type="pct"/>
                  <w:vMerge w:val="continue"/>
                  <w:vAlign w:val="center"/>
                </w:tcPr>
                <w:p w14:paraId="72EA0E2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b w:val="0"/>
                      <w:bCs w:val="0"/>
                      <w:color w:val="auto"/>
                      <w:sz w:val="21"/>
                      <w:szCs w:val="21"/>
                      <w:vertAlign w:val="baseline"/>
                    </w:rPr>
                  </w:pPr>
                </w:p>
              </w:tc>
              <w:tc>
                <w:tcPr>
                  <w:tcW w:w="555" w:type="pct"/>
                  <w:vMerge w:val="continue"/>
                  <w:vAlign w:val="center"/>
                </w:tcPr>
                <w:p w14:paraId="3D2DA82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b w:val="0"/>
                      <w:bCs w:val="0"/>
                      <w:color w:val="auto"/>
                      <w:sz w:val="21"/>
                      <w:szCs w:val="21"/>
                      <w:vertAlign w:val="baseline"/>
                    </w:rPr>
                  </w:pPr>
                </w:p>
              </w:tc>
              <w:tc>
                <w:tcPr>
                  <w:tcW w:w="555" w:type="pct"/>
                  <w:vAlign w:val="center"/>
                </w:tcPr>
                <w:p w14:paraId="07861934">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容器盛装</w:t>
                  </w:r>
                </w:p>
              </w:tc>
              <w:tc>
                <w:tcPr>
                  <w:tcW w:w="555" w:type="pct"/>
                  <w:vMerge w:val="continue"/>
                  <w:vAlign w:val="center"/>
                </w:tcPr>
                <w:p w14:paraId="7A321D88">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val="0"/>
                      <w:bCs w:val="0"/>
                      <w:color w:val="auto"/>
                      <w:sz w:val="21"/>
                      <w:szCs w:val="21"/>
                      <w:vertAlign w:val="baseline"/>
                      <w:lang w:val="en-US" w:eastAsia="zh-CN"/>
                    </w:rPr>
                  </w:pPr>
                </w:p>
              </w:tc>
              <w:tc>
                <w:tcPr>
                  <w:tcW w:w="556" w:type="pct"/>
                  <w:vMerge w:val="continue"/>
                  <w:vAlign w:val="center"/>
                </w:tcPr>
                <w:p w14:paraId="2B4D577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b w:val="0"/>
                      <w:bCs w:val="0"/>
                      <w:color w:val="auto"/>
                      <w:sz w:val="21"/>
                      <w:szCs w:val="21"/>
                      <w:vertAlign w:val="baseline"/>
                    </w:rPr>
                  </w:pPr>
                </w:p>
              </w:tc>
            </w:tr>
            <w:tr w14:paraId="38581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vAlign w:val="center"/>
                </w:tcPr>
                <w:p w14:paraId="44DA071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5</w:t>
                  </w:r>
                </w:p>
              </w:tc>
              <w:tc>
                <w:tcPr>
                  <w:tcW w:w="719" w:type="pct"/>
                  <w:shd w:val="clear" w:color="auto" w:fill="auto"/>
                  <w:vAlign w:val="center"/>
                </w:tcPr>
                <w:p w14:paraId="112C2798">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毒性药渣</w:t>
                  </w:r>
                </w:p>
              </w:tc>
              <w:tc>
                <w:tcPr>
                  <w:tcW w:w="555" w:type="pct"/>
                  <w:shd w:val="clear" w:color="auto" w:fill="auto"/>
                  <w:vAlign w:val="center"/>
                </w:tcPr>
                <w:p w14:paraId="0D661674">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sz w:val="21"/>
                      <w:szCs w:val="21"/>
                    </w:rPr>
                    <w:t>HW03</w:t>
                  </w:r>
                </w:p>
              </w:tc>
              <w:tc>
                <w:tcPr>
                  <w:tcW w:w="555" w:type="pct"/>
                  <w:shd w:val="clear" w:color="auto" w:fill="auto"/>
                  <w:vAlign w:val="center"/>
                </w:tcPr>
                <w:p w14:paraId="207DEB68">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Cs/>
                      <w:color w:val="000000"/>
                      <w:sz w:val="21"/>
                      <w:szCs w:val="21"/>
                    </w:rPr>
                    <w:t>900-002-03</w:t>
                  </w:r>
                </w:p>
              </w:tc>
              <w:tc>
                <w:tcPr>
                  <w:tcW w:w="555" w:type="pct"/>
                  <w:vMerge w:val="continue"/>
                  <w:vAlign w:val="center"/>
                </w:tcPr>
                <w:p w14:paraId="3E12BD9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b w:val="0"/>
                      <w:bCs w:val="0"/>
                      <w:color w:val="auto"/>
                      <w:sz w:val="21"/>
                      <w:szCs w:val="21"/>
                      <w:vertAlign w:val="baseline"/>
                    </w:rPr>
                  </w:pPr>
                </w:p>
              </w:tc>
              <w:tc>
                <w:tcPr>
                  <w:tcW w:w="555" w:type="pct"/>
                  <w:vMerge w:val="continue"/>
                  <w:vAlign w:val="center"/>
                </w:tcPr>
                <w:p w14:paraId="51F7B2D2">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b w:val="0"/>
                      <w:bCs w:val="0"/>
                      <w:color w:val="auto"/>
                      <w:sz w:val="21"/>
                      <w:szCs w:val="21"/>
                      <w:vertAlign w:val="baseline"/>
                    </w:rPr>
                  </w:pPr>
                </w:p>
              </w:tc>
              <w:tc>
                <w:tcPr>
                  <w:tcW w:w="555" w:type="pct"/>
                  <w:vAlign w:val="center"/>
                </w:tcPr>
                <w:p w14:paraId="26A8D29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容器盛装</w:t>
                  </w:r>
                </w:p>
              </w:tc>
              <w:tc>
                <w:tcPr>
                  <w:tcW w:w="555" w:type="pct"/>
                  <w:vMerge w:val="continue"/>
                  <w:vAlign w:val="center"/>
                </w:tcPr>
                <w:p w14:paraId="5AC60FD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val="0"/>
                      <w:bCs w:val="0"/>
                      <w:color w:val="auto"/>
                      <w:sz w:val="21"/>
                      <w:szCs w:val="21"/>
                      <w:vertAlign w:val="baseline"/>
                      <w:lang w:val="en-US" w:eastAsia="zh-CN"/>
                    </w:rPr>
                  </w:pPr>
                </w:p>
              </w:tc>
              <w:tc>
                <w:tcPr>
                  <w:tcW w:w="556" w:type="pct"/>
                  <w:vMerge w:val="continue"/>
                  <w:vAlign w:val="center"/>
                </w:tcPr>
                <w:p w14:paraId="43525AC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b w:val="0"/>
                      <w:bCs w:val="0"/>
                      <w:color w:val="auto"/>
                      <w:sz w:val="21"/>
                      <w:szCs w:val="21"/>
                      <w:vertAlign w:val="baseline"/>
                    </w:rPr>
                  </w:pPr>
                </w:p>
              </w:tc>
            </w:tr>
            <w:tr w14:paraId="54ACA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vAlign w:val="center"/>
                </w:tcPr>
                <w:p w14:paraId="0F2CCB3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6</w:t>
                  </w:r>
                </w:p>
              </w:tc>
              <w:tc>
                <w:tcPr>
                  <w:tcW w:w="719" w:type="pct"/>
                  <w:shd w:val="clear" w:color="auto" w:fill="auto"/>
                  <w:vAlign w:val="center"/>
                </w:tcPr>
                <w:p w14:paraId="2E745A9F">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毒性饮片除尘器截留药尘</w:t>
                  </w:r>
                </w:p>
              </w:tc>
              <w:tc>
                <w:tcPr>
                  <w:tcW w:w="555" w:type="pct"/>
                  <w:shd w:val="clear" w:color="auto" w:fill="auto"/>
                  <w:vAlign w:val="center"/>
                </w:tcPr>
                <w:p w14:paraId="199FA455">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sz w:val="21"/>
                      <w:szCs w:val="21"/>
                    </w:rPr>
                    <w:t>HW03</w:t>
                  </w:r>
                </w:p>
              </w:tc>
              <w:tc>
                <w:tcPr>
                  <w:tcW w:w="555" w:type="pct"/>
                  <w:shd w:val="clear" w:color="auto" w:fill="auto"/>
                  <w:vAlign w:val="center"/>
                </w:tcPr>
                <w:p w14:paraId="416AC91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Cs/>
                      <w:color w:val="000000"/>
                      <w:sz w:val="21"/>
                      <w:szCs w:val="21"/>
                    </w:rPr>
                    <w:t>900-002-03</w:t>
                  </w:r>
                </w:p>
              </w:tc>
              <w:tc>
                <w:tcPr>
                  <w:tcW w:w="555" w:type="pct"/>
                  <w:vMerge w:val="continue"/>
                  <w:vAlign w:val="center"/>
                </w:tcPr>
                <w:p w14:paraId="7C61C6B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b w:val="0"/>
                      <w:bCs w:val="0"/>
                      <w:color w:val="auto"/>
                      <w:sz w:val="21"/>
                      <w:szCs w:val="21"/>
                      <w:vertAlign w:val="baseline"/>
                    </w:rPr>
                  </w:pPr>
                </w:p>
              </w:tc>
              <w:tc>
                <w:tcPr>
                  <w:tcW w:w="555" w:type="pct"/>
                  <w:vMerge w:val="continue"/>
                  <w:vAlign w:val="center"/>
                </w:tcPr>
                <w:p w14:paraId="34EAECE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b w:val="0"/>
                      <w:bCs w:val="0"/>
                      <w:color w:val="auto"/>
                      <w:sz w:val="21"/>
                      <w:szCs w:val="21"/>
                      <w:vertAlign w:val="baseline"/>
                    </w:rPr>
                  </w:pPr>
                </w:p>
              </w:tc>
              <w:tc>
                <w:tcPr>
                  <w:tcW w:w="555" w:type="pct"/>
                  <w:vAlign w:val="center"/>
                </w:tcPr>
                <w:p w14:paraId="6C1A4FA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容器盛装</w:t>
                  </w:r>
                </w:p>
              </w:tc>
              <w:tc>
                <w:tcPr>
                  <w:tcW w:w="555" w:type="pct"/>
                  <w:vMerge w:val="continue"/>
                  <w:vAlign w:val="center"/>
                </w:tcPr>
                <w:p w14:paraId="419B50D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val="0"/>
                      <w:bCs w:val="0"/>
                      <w:color w:val="auto"/>
                      <w:sz w:val="21"/>
                      <w:szCs w:val="21"/>
                      <w:vertAlign w:val="baseline"/>
                      <w:lang w:val="en-US" w:eastAsia="zh-CN"/>
                    </w:rPr>
                  </w:pPr>
                </w:p>
              </w:tc>
              <w:tc>
                <w:tcPr>
                  <w:tcW w:w="556" w:type="pct"/>
                  <w:vMerge w:val="continue"/>
                  <w:vAlign w:val="center"/>
                </w:tcPr>
                <w:p w14:paraId="6BF9DED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b w:val="0"/>
                      <w:bCs w:val="0"/>
                      <w:color w:val="auto"/>
                      <w:sz w:val="21"/>
                      <w:szCs w:val="21"/>
                      <w:vertAlign w:val="baseline"/>
                    </w:rPr>
                  </w:pPr>
                </w:p>
              </w:tc>
            </w:tr>
            <w:tr w14:paraId="47D91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vAlign w:val="center"/>
                </w:tcPr>
                <w:p w14:paraId="41A20968">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7</w:t>
                  </w:r>
                </w:p>
              </w:tc>
              <w:tc>
                <w:tcPr>
                  <w:tcW w:w="719" w:type="pct"/>
                  <w:shd w:val="clear" w:color="auto" w:fill="auto"/>
                  <w:vAlign w:val="center"/>
                </w:tcPr>
                <w:p w14:paraId="2D0B9DA0">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毒性饮片检验过程中不合格品</w:t>
                  </w:r>
                </w:p>
              </w:tc>
              <w:tc>
                <w:tcPr>
                  <w:tcW w:w="555" w:type="pct"/>
                  <w:shd w:val="clear" w:color="auto" w:fill="auto"/>
                  <w:vAlign w:val="center"/>
                </w:tcPr>
                <w:p w14:paraId="1DADB1B7">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sz w:val="21"/>
                      <w:szCs w:val="21"/>
                    </w:rPr>
                    <w:t>HW03</w:t>
                  </w:r>
                </w:p>
              </w:tc>
              <w:tc>
                <w:tcPr>
                  <w:tcW w:w="555" w:type="pct"/>
                  <w:vAlign w:val="center"/>
                </w:tcPr>
                <w:p w14:paraId="72C84E4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val="0"/>
                      <w:bCs w:val="0"/>
                      <w:color w:val="auto"/>
                      <w:sz w:val="21"/>
                      <w:szCs w:val="21"/>
                      <w:vertAlign w:val="baseline"/>
                    </w:rPr>
                  </w:pPr>
                  <w:r>
                    <w:rPr>
                      <w:rFonts w:hint="eastAsia" w:ascii="Times New Roman" w:hAnsi="Times New Roman" w:eastAsia="宋体" w:cs="Times New Roman"/>
                      <w:bCs/>
                      <w:color w:val="000000"/>
                      <w:sz w:val="21"/>
                      <w:szCs w:val="21"/>
                    </w:rPr>
                    <w:t>900-002-03</w:t>
                  </w:r>
                </w:p>
              </w:tc>
              <w:tc>
                <w:tcPr>
                  <w:tcW w:w="555" w:type="pct"/>
                  <w:vMerge w:val="continue"/>
                  <w:vAlign w:val="center"/>
                </w:tcPr>
                <w:p w14:paraId="4A40EB9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b w:val="0"/>
                      <w:bCs w:val="0"/>
                      <w:color w:val="auto"/>
                      <w:sz w:val="21"/>
                      <w:szCs w:val="21"/>
                      <w:vertAlign w:val="baseline"/>
                    </w:rPr>
                  </w:pPr>
                </w:p>
              </w:tc>
              <w:tc>
                <w:tcPr>
                  <w:tcW w:w="555" w:type="pct"/>
                  <w:vMerge w:val="continue"/>
                  <w:vAlign w:val="center"/>
                </w:tcPr>
                <w:p w14:paraId="44414E1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b w:val="0"/>
                      <w:bCs w:val="0"/>
                      <w:color w:val="auto"/>
                      <w:sz w:val="21"/>
                      <w:szCs w:val="21"/>
                      <w:vertAlign w:val="baseline"/>
                    </w:rPr>
                  </w:pPr>
                </w:p>
              </w:tc>
              <w:tc>
                <w:tcPr>
                  <w:tcW w:w="555" w:type="pct"/>
                  <w:vAlign w:val="center"/>
                </w:tcPr>
                <w:p w14:paraId="45A23F9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容器盛装</w:t>
                  </w:r>
                </w:p>
              </w:tc>
              <w:tc>
                <w:tcPr>
                  <w:tcW w:w="555" w:type="pct"/>
                  <w:vMerge w:val="continue"/>
                  <w:vAlign w:val="center"/>
                </w:tcPr>
                <w:p w14:paraId="4886D1B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val="0"/>
                      <w:bCs w:val="0"/>
                      <w:color w:val="auto"/>
                      <w:sz w:val="21"/>
                      <w:szCs w:val="21"/>
                      <w:vertAlign w:val="baseline"/>
                      <w:lang w:val="en-US" w:eastAsia="zh-CN"/>
                    </w:rPr>
                  </w:pPr>
                </w:p>
              </w:tc>
              <w:tc>
                <w:tcPr>
                  <w:tcW w:w="556" w:type="pct"/>
                  <w:vMerge w:val="continue"/>
                  <w:vAlign w:val="center"/>
                </w:tcPr>
                <w:p w14:paraId="51C6F9E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b w:val="0"/>
                      <w:bCs w:val="0"/>
                      <w:color w:val="auto"/>
                      <w:sz w:val="21"/>
                      <w:szCs w:val="21"/>
                      <w:vertAlign w:val="baseline"/>
                    </w:rPr>
                  </w:pPr>
                </w:p>
              </w:tc>
            </w:tr>
            <w:tr w14:paraId="797B4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vAlign w:val="center"/>
                </w:tcPr>
                <w:p w14:paraId="21907982">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8</w:t>
                  </w:r>
                </w:p>
              </w:tc>
              <w:tc>
                <w:tcPr>
                  <w:tcW w:w="719" w:type="pct"/>
                  <w:shd w:val="clear" w:color="auto" w:fill="auto"/>
                  <w:vAlign w:val="center"/>
                </w:tcPr>
                <w:p w14:paraId="0C099E23">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rPr>
                    <w:t>解毒池沉渣</w:t>
                  </w:r>
                </w:p>
              </w:tc>
              <w:tc>
                <w:tcPr>
                  <w:tcW w:w="555" w:type="pct"/>
                  <w:shd w:val="clear" w:color="auto" w:fill="auto"/>
                  <w:vAlign w:val="center"/>
                </w:tcPr>
                <w:p w14:paraId="7B34D794">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sz w:val="21"/>
                      <w:szCs w:val="21"/>
                    </w:rPr>
                    <w:t>HW03</w:t>
                  </w:r>
                </w:p>
              </w:tc>
              <w:tc>
                <w:tcPr>
                  <w:tcW w:w="555" w:type="pct"/>
                  <w:vAlign w:val="center"/>
                </w:tcPr>
                <w:p w14:paraId="53A06A8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val="0"/>
                      <w:bCs w:val="0"/>
                      <w:color w:val="auto"/>
                      <w:sz w:val="21"/>
                      <w:szCs w:val="21"/>
                      <w:vertAlign w:val="baseline"/>
                    </w:rPr>
                  </w:pPr>
                  <w:r>
                    <w:rPr>
                      <w:rFonts w:hint="eastAsia" w:ascii="Times New Roman" w:hAnsi="Times New Roman" w:eastAsia="宋体" w:cs="Times New Roman"/>
                      <w:bCs/>
                      <w:color w:val="000000"/>
                      <w:sz w:val="21"/>
                      <w:szCs w:val="21"/>
                    </w:rPr>
                    <w:t>900-002-03</w:t>
                  </w:r>
                </w:p>
              </w:tc>
              <w:tc>
                <w:tcPr>
                  <w:tcW w:w="555" w:type="pct"/>
                  <w:vMerge w:val="continue"/>
                  <w:vAlign w:val="center"/>
                </w:tcPr>
                <w:p w14:paraId="2AA6A57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b w:val="0"/>
                      <w:bCs w:val="0"/>
                      <w:color w:val="auto"/>
                      <w:sz w:val="21"/>
                      <w:szCs w:val="21"/>
                      <w:vertAlign w:val="baseline"/>
                    </w:rPr>
                  </w:pPr>
                </w:p>
              </w:tc>
              <w:tc>
                <w:tcPr>
                  <w:tcW w:w="555" w:type="pct"/>
                  <w:vMerge w:val="continue"/>
                  <w:vAlign w:val="center"/>
                </w:tcPr>
                <w:p w14:paraId="33DEB95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b w:val="0"/>
                      <w:bCs w:val="0"/>
                      <w:color w:val="auto"/>
                      <w:sz w:val="21"/>
                      <w:szCs w:val="21"/>
                      <w:vertAlign w:val="baseline"/>
                    </w:rPr>
                  </w:pPr>
                </w:p>
              </w:tc>
              <w:tc>
                <w:tcPr>
                  <w:tcW w:w="555" w:type="pct"/>
                  <w:vAlign w:val="center"/>
                </w:tcPr>
                <w:p w14:paraId="132F498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容器盛装</w:t>
                  </w:r>
                </w:p>
              </w:tc>
              <w:tc>
                <w:tcPr>
                  <w:tcW w:w="555" w:type="pct"/>
                  <w:vMerge w:val="continue"/>
                  <w:vAlign w:val="center"/>
                </w:tcPr>
                <w:p w14:paraId="157358F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b w:val="0"/>
                      <w:bCs w:val="0"/>
                      <w:color w:val="auto"/>
                      <w:sz w:val="21"/>
                      <w:szCs w:val="21"/>
                      <w:vertAlign w:val="baseline"/>
                      <w:lang w:val="en-US" w:eastAsia="zh-CN"/>
                    </w:rPr>
                  </w:pPr>
                </w:p>
              </w:tc>
              <w:tc>
                <w:tcPr>
                  <w:tcW w:w="556" w:type="pct"/>
                  <w:vMerge w:val="continue"/>
                  <w:vAlign w:val="center"/>
                </w:tcPr>
                <w:p w14:paraId="6C042B75">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b w:val="0"/>
                      <w:bCs w:val="0"/>
                      <w:color w:val="auto"/>
                      <w:sz w:val="21"/>
                      <w:szCs w:val="21"/>
                      <w:vertAlign w:val="baseline"/>
                    </w:rPr>
                  </w:pPr>
                </w:p>
              </w:tc>
            </w:tr>
          </w:tbl>
          <w:p w14:paraId="1DA3D937">
            <w:pPr>
              <w:keepNext w:val="0"/>
              <w:keepLines w:val="0"/>
              <w:pageBreakBefore w:val="0"/>
              <w:widowControl w:val="0"/>
              <w:kinsoku/>
              <w:wordWrap w:val="0"/>
              <w:overflowPunct/>
              <w:topLinePunct w:val="0"/>
              <w:autoSpaceDE/>
              <w:autoSpaceDN/>
              <w:bidi w:val="0"/>
              <w:adjustRightInd/>
              <w:snapToGrid/>
              <w:ind w:firstLine="0" w:firstLineChars="0"/>
              <w:textAlignment w:val="auto"/>
              <w:rPr>
                <w:rFonts w:hint="default" w:eastAsia="宋体"/>
                <w:b/>
                <w:bCs/>
                <w:color w:val="auto"/>
                <w:lang w:val="en-US" w:eastAsia="zh-CN"/>
              </w:rPr>
            </w:pPr>
            <w:r>
              <w:rPr>
                <w:b/>
                <w:bCs/>
                <w:color w:val="auto"/>
              </w:rPr>
              <w:t>3.</w:t>
            </w:r>
            <w:r>
              <w:rPr>
                <w:rFonts w:hint="eastAsia"/>
                <w:b/>
                <w:bCs/>
                <w:color w:val="auto"/>
                <w:lang w:val="en-US" w:eastAsia="zh-CN"/>
              </w:rPr>
              <w:t>固体废物管理要求</w:t>
            </w:r>
          </w:p>
          <w:p w14:paraId="1AFBD56D">
            <w:pPr>
              <w:keepNext w:val="0"/>
              <w:keepLines w:val="0"/>
              <w:pageBreakBefore w:val="0"/>
              <w:widowControl w:val="0"/>
              <w:kinsoku/>
              <w:wordWrap w:val="0"/>
              <w:overflowPunct/>
              <w:topLinePunct w:val="0"/>
              <w:autoSpaceDE/>
              <w:autoSpaceDN/>
              <w:bidi w:val="0"/>
              <w:adjustRightInd/>
              <w:snapToGrid/>
              <w:ind w:firstLine="482" w:firstLineChars="200"/>
              <w:textAlignment w:val="auto"/>
              <w:rPr>
                <w:rFonts w:hint="default" w:eastAsia="宋体"/>
                <w:b/>
                <w:bCs w:val="0"/>
                <w:color w:val="auto"/>
                <w:szCs w:val="21"/>
                <w:lang w:val="en-US" w:eastAsia="zh-CN"/>
              </w:rPr>
            </w:pPr>
            <w:r>
              <w:rPr>
                <w:rFonts w:hint="eastAsia"/>
                <w:b/>
                <w:bCs w:val="0"/>
                <w:color w:val="auto"/>
                <w:szCs w:val="21"/>
                <w:lang w:eastAsia="zh-CN"/>
              </w:rPr>
              <w:t>（</w:t>
            </w:r>
            <w:r>
              <w:rPr>
                <w:rFonts w:hint="eastAsia"/>
                <w:b/>
                <w:bCs w:val="0"/>
                <w:color w:val="auto"/>
                <w:szCs w:val="21"/>
                <w:lang w:val="en-US" w:eastAsia="zh-CN"/>
              </w:rPr>
              <w:t>1</w:t>
            </w:r>
            <w:r>
              <w:rPr>
                <w:rFonts w:hint="eastAsia"/>
                <w:b/>
                <w:bCs w:val="0"/>
                <w:color w:val="auto"/>
                <w:szCs w:val="21"/>
                <w:lang w:eastAsia="zh-CN"/>
              </w:rPr>
              <w:t>）</w:t>
            </w:r>
            <w:r>
              <w:rPr>
                <w:rFonts w:hint="eastAsia"/>
                <w:b/>
                <w:bCs w:val="0"/>
                <w:color w:val="auto"/>
                <w:szCs w:val="21"/>
                <w:lang w:val="en-US" w:eastAsia="zh-CN"/>
              </w:rPr>
              <w:t>一般固体废物</w:t>
            </w:r>
          </w:p>
          <w:p w14:paraId="21AD26A7">
            <w:pPr>
              <w:ind w:firstLine="480"/>
              <w:rPr>
                <w:bCs/>
                <w:color w:val="auto"/>
                <w:szCs w:val="21"/>
              </w:rPr>
            </w:pPr>
            <w:r>
              <w:rPr>
                <w:rFonts w:hint="eastAsia"/>
                <w:color w:val="auto"/>
              </w:rPr>
              <w:t>本项目一般固废暂存场所占地面积</w:t>
            </w:r>
            <w:r>
              <w:rPr>
                <w:rFonts w:hint="eastAsia"/>
                <w:color w:val="auto"/>
                <w:lang w:val="en-US" w:eastAsia="zh-CN"/>
              </w:rPr>
              <w:t>100</w:t>
            </w:r>
            <w:r>
              <w:rPr>
                <w:rFonts w:hint="eastAsia"/>
                <w:color w:val="auto"/>
              </w:rPr>
              <w:t>平方米，各类废物在暂存间内分类存放，存放场所有相应的防风、防渗漏、防流失措施，并设置明显的固废存储标志牌。</w:t>
            </w:r>
            <w:r>
              <w:rPr>
                <w:rFonts w:hint="eastAsia"/>
                <w:bCs/>
                <w:color w:val="auto"/>
                <w:szCs w:val="21"/>
              </w:rPr>
              <w:t>建立固废档案管理制度，详细记录贮存的一般工业固废种类、数量、去向，长期保存。</w:t>
            </w:r>
          </w:p>
          <w:p w14:paraId="640C9D2C">
            <w:pPr>
              <w:ind w:firstLine="480"/>
              <w:rPr>
                <w:rFonts w:hint="eastAsia"/>
                <w:color w:val="auto"/>
              </w:rPr>
            </w:pPr>
            <w:r>
              <w:rPr>
                <w:rFonts w:hint="eastAsia"/>
                <w:color w:val="auto"/>
              </w:rPr>
              <w:t>项目产生的废原料包装材料经厂内收集后出售给相关废旧物资回收厂家回收综合利用；对药材废弃物、药渣、药尘、污水站污泥进行分类后委托处置。固废外运利用过程必须符合环保有关要求，以防二次污染。</w:t>
            </w:r>
          </w:p>
          <w:p w14:paraId="1A969056">
            <w:pPr>
              <w:ind w:firstLine="480"/>
              <w:rPr>
                <w:color w:val="auto"/>
              </w:rPr>
            </w:pPr>
            <w:r>
              <w:rPr>
                <w:rFonts w:hint="eastAsia"/>
                <w:color w:val="auto"/>
                <w:lang w:val="en-US" w:eastAsia="zh-CN"/>
              </w:rPr>
              <w:t>参考</w:t>
            </w:r>
            <w:r>
              <w:rPr>
                <w:rFonts w:hint="eastAsia"/>
                <w:color w:val="auto"/>
              </w:rPr>
              <w:t>《一般工业固体废物贮存和填埋污染控制标准》（GB18599-2020）相关要求，结合项目情况，本评价对一般固废暂存间提出以下要求：</w:t>
            </w:r>
          </w:p>
          <w:p w14:paraId="1C8ECFD9">
            <w:pPr>
              <w:ind w:firstLine="480"/>
              <w:rPr>
                <w:color w:val="auto"/>
              </w:rPr>
            </w:pPr>
            <w:r>
              <w:rPr>
                <w:color w:val="auto"/>
              </w:rPr>
              <w:fldChar w:fldCharType="begin"/>
            </w:r>
            <w:r>
              <w:rPr>
                <w:color w:val="auto"/>
              </w:rPr>
              <w:instrText xml:space="preserve"> = 1 \* GB3 </w:instrText>
            </w:r>
            <w:r>
              <w:rPr>
                <w:color w:val="auto"/>
              </w:rPr>
              <w:fldChar w:fldCharType="separate"/>
            </w:r>
            <w:r>
              <w:rPr>
                <w:rFonts w:hint="eastAsia" w:ascii="宋体" w:hAnsi="宋体" w:cs="宋体"/>
                <w:color w:val="auto"/>
              </w:rPr>
              <w:t>①</w:t>
            </w:r>
            <w:r>
              <w:rPr>
                <w:color w:val="auto"/>
              </w:rPr>
              <w:fldChar w:fldCharType="end"/>
            </w:r>
            <w:r>
              <w:rPr>
                <w:rFonts w:hint="eastAsia"/>
                <w:color w:val="auto"/>
              </w:rPr>
              <w:t>应采取全密闭设计，确保防风、防雨、防晒。</w:t>
            </w:r>
          </w:p>
          <w:p w14:paraId="5187E853">
            <w:pPr>
              <w:ind w:firstLine="480"/>
              <w:rPr>
                <w:color w:val="auto"/>
              </w:rPr>
            </w:pPr>
            <w:r>
              <w:rPr>
                <w:color w:val="auto"/>
              </w:rPr>
              <w:fldChar w:fldCharType="begin"/>
            </w:r>
            <w:r>
              <w:rPr>
                <w:color w:val="auto"/>
              </w:rPr>
              <w:instrText xml:space="preserve"> = 2 \* GB3 </w:instrText>
            </w:r>
            <w:r>
              <w:rPr>
                <w:color w:val="auto"/>
              </w:rPr>
              <w:fldChar w:fldCharType="separate"/>
            </w:r>
            <w:r>
              <w:rPr>
                <w:rFonts w:hint="eastAsia" w:ascii="宋体" w:hAnsi="宋体" w:cs="宋体"/>
                <w:color w:val="auto"/>
              </w:rPr>
              <w:t>②</w:t>
            </w:r>
            <w:r>
              <w:rPr>
                <w:color w:val="auto"/>
              </w:rPr>
              <w:fldChar w:fldCharType="end"/>
            </w:r>
            <w:r>
              <w:rPr>
                <w:rFonts w:hint="eastAsia"/>
                <w:color w:val="auto"/>
              </w:rPr>
              <w:t>禁止其他固废废物或生活垃圾混入。</w:t>
            </w:r>
          </w:p>
          <w:p w14:paraId="5613A5C0">
            <w:pPr>
              <w:ind w:firstLine="480"/>
              <w:rPr>
                <w:color w:val="auto"/>
              </w:rPr>
            </w:pPr>
            <w:r>
              <w:rPr>
                <w:color w:val="auto"/>
              </w:rPr>
              <w:fldChar w:fldCharType="begin"/>
            </w:r>
            <w:r>
              <w:rPr>
                <w:color w:val="auto"/>
              </w:rPr>
              <w:instrText xml:space="preserve"> = 3 \* GB3 </w:instrText>
            </w:r>
            <w:r>
              <w:rPr>
                <w:color w:val="auto"/>
              </w:rPr>
              <w:fldChar w:fldCharType="separate"/>
            </w:r>
            <w:r>
              <w:rPr>
                <w:rFonts w:hint="eastAsia" w:ascii="宋体" w:hAnsi="宋体" w:cs="宋体"/>
                <w:color w:val="auto"/>
              </w:rPr>
              <w:t>③</w:t>
            </w:r>
            <w:r>
              <w:rPr>
                <w:color w:val="auto"/>
              </w:rPr>
              <w:fldChar w:fldCharType="end"/>
            </w:r>
            <w:r>
              <w:rPr>
                <w:rFonts w:hint="eastAsia"/>
                <w:color w:val="auto"/>
              </w:rPr>
              <w:t>做好基础防渗，采用钢筋混凝土防渗，确保渗透系数</w:t>
            </w:r>
            <w:r>
              <w:rPr>
                <w:color w:val="auto"/>
              </w:rPr>
              <w:t>≤1×10</w:t>
            </w:r>
            <w:r>
              <w:rPr>
                <w:color w:val="auto"/>
                <w:vertAlign w:val="superscript"/>
              </w:rPr>
              <w:t>-7</w:t>
            </w:r>
            <w:r>
              <w:rPr>
                <w:color w:val="auto"/>
              </w:rPr>
              <w:t>cm/s</w:t>
            </w:r>
            <w:r>
              <w:rPr>
                <w:rFonts w:hint="eastAsia"/>
                <w:color w:val="auto"/>
              </w:rPr>
              <w:t>。</w:t>
            </w:r>
          </w:p>
          <w:p w14:paraId="56D3C52A">
            <w:pPr>
              <w:ind w:firstLine="480"/>
              <w:rPr>
                <w:rFonts w:hint="eastAsia"/>
                <w:color w:val="auto"/>
              </w:rPr>
            </w:pPr>
            <w:r>
              <w:rPr>
                <w:color w:val="auto"/>
              </w:rPr>
              <w:fldChar w:fldCharType="begin"/>
            </w:r>
            <w:r>
              <w:rPr>
                <w:color w:val="auto"/>
              </w:rPr>
              <w:instrText xml:space="preserve"> = 4 \* GB3 </w:instrText>
            </w:r>
            <w:r>
              <w:rPr>
                <w:color w:val="auto"/>
              </w:rPr>
              <w:fldChar w:fldCharType="separate"/>
            </w:r>
            <w:r>
              <w:rPr>
                <w:rFonts w:hint="eastAsia" w:ascii="宋体" w:hAnsi="宋体" w:cs="宋体"/>
                <w:color w:val="auto"/>
              </w:rPr>
              <w:t>④</w:t>
            </w:r>
            <w:r>
              <w:rPr>
                <w:color w:val="auto"/>
              </w:rPr>
              <w:fldChar w:fldCharType="end"/>
            </w:r>
            <w:r>
              <w:rPr>
                <w:rFonts w:hint="eastAsia"/>
                <w:color w:val="auto"/>
              </w:rPr>
              <w:t>加强管理，按《环境保护图形标志－固体废物贮存（处置）场》（</w:t>
            </w:r>
            <w:r>
              <w:rPr>
                <w:color w:val="auto"/>
              </w:rPr>
              <w:t>GB15562.2-1995</w:t>
            </w:r>
            <w:r>
              <w:rPr>
                <w:rFonts w:hint="eastAsia"/>
                <w:color w:val="auto"/>
              </w:rPr>
              <w:t>）规定设置环境保护图形标志。</w:t>
            </w:r>
          </w:p>
          <w:p w14:paraId="3EFE25B0">
            <w:pPr>
              <w:ind w:firstLine="480"/>
              <w:rPr>
                <w:b/>
                <w:color w:val="000000"/>
                <w:sz w:val="24"/>
              </w:rPr>
            </w:pPr>
            <w:r>
              <w:rPr>
                <w:rFonts w:hint="eastAsia"/>
                <w:b/>
                <w:bCs w:val="0"/>
                <w:color w:val="auto"/>
                <w:szCs w:val="21"/>
                <w:lang w:eastAsia="zh-CN"/>
              </w:rPr>
              <w:t>（</w:t>
            </w:r>
            <w:r>
              <w:rPr>
                <w:rFonts w:hint="eastAsia"/>
                <w:b/>
                <w:bCs w:val="0"/>
                <w:color w:val="auto"/>
                <w:szCs w:val="21"/>
                <w:lang w:val="en-US" w:eastAsia="zh-CN"/>
              </w:rPr>
              <w:t>2</w:t>
            </w:r>
            <w:r>
              <w:rPr>
                <w:rFonts w:hint="eastAsia"/>
                <w:b/>
                <w:bCs w:val="0"/>
                <w:color w:val="auto"/>
                <w:szCs w:val="21"/>
                <w:lang w:eastAsia="zh-CN"/>
              </w:rPr>
              <w:t>）</w:t>
            </w:r>
            <w:r>
              <w:rPr>
                <w:rFonts w:hint="eastAsia"/>
                <w:b/>
                <w:color w:val="000000"/>
                <w:sz w:val="24"/>
              </w:rPr>
              <w:t>危险废物</w:t>
            </w:r>
          </w:p>
          <w:p w14:paraId="5927A12E">
            <w:pPr>
              <w:adjustRightInd w:val="0"/>
              <w:snapToGrid w:val="0"/>
              <w:spacing w:line="360" w:lineRule="auto"/>
              <w:ind w:firstLine="480" w:firstLineChars="200"/>
              <w:rPr>
                <w:bCs/>
                <w:sz w:val="24"/>
              </w:rPr>
            </w:pPr>
            <w:r>
              <w:rPr>
                <w:rFonts w:hint="eastAsia"/>
                <w:bCs/>
                <w:color w:val="000000"/>
                <w:sz w:val="24"/>
              </w:rPr>
              <w:t>本项目的危险废物为</w:t>
            </w:r>
            <w:r>
              <w:rPr>
                <w:rFonts w:hint="eastAsia"/>
                <w:bCs/>
                <w:color w:val="000000"/>
                <w:sz w:val="24"/>
                <w:lang w:val="en-US" w:eastAsia="zh-CN"/>
              </w:rPr>
              <w:t>医药废物、</w:t>
            </w:r>
            <w:r>
              <w:rPr>
                <w:rFonts w:hint="eastAsia"/>
                <w:bCs/>
                <w:color w:val="000000"/>
                <w:sz w:val="24"/>
              </w:rPr>
              <w:t>化学品包装物、实验室废液、废活性炭，需要分类贮存。本项目危险废物暂存场所的面积为</w:t>
            </w:r>
            <w:r>
              <w:rPr>
                <w:rFonts w:hint="eastAsia"/>
                <w:bCs/>
                <w:color w:val="000000"/>
                <w:sz w:val="24"/>
                <w:lang w:val="en-US" w:eastAsia="zh-CN"/>
              </w:rPr>
              <w:t>50m</w:t>
            </w:r>
            <w:r>
              <w:rPr>
                <w:rFonts w:hint="eastAsia"/>
                <w:bCs/>
                <w:color w:val="000000"/>
                <w:sz w:val="24"/>
                <w:vertAlign w:val="superscript"/>
                <w:lang w:val="en-US" w:eastAsia="zh-CN"/>
              </w:rPr>
              <w:t>2</w:t>
            </w:r>
            <w:r>
              <w:rPr>
                <w:rFonts w:hint="eastAsia"/>
                <w:bCs/>
                <w:color w:val="000000"/>
                <w:sz w:val="24"/>
              </w:rPr>
              <w:t>，</w:t>
            </w:r>
            <w:r>
              <w:rPr>
                <w:bCs/>
                <w:sz w:val="24"/>
              </w:rPr>
              <w:t>危废暂存间</w:t>
            </w:r>
            <w:r>
              <w:rPr>
                <w:rFonts w:hint="eastAsia"/>
                <w:bCs/>
                <w:sz w:val="24"/>
                <w:lang w:val="en-US" w:eastAsia="zh-CN"/>
              </w:rPr>
              <w:t>应</w:t>
            </w:r>
            <w:r>
              <w:rPr>
                <w:bCs/>
                <w:sz w:val="24"/>
              </w:rPr>
              <w:t>按照《危险废物贮存污染控制标准》（GB18597-20</w:t>
            </w:r>
            <w:r>
              <w:rPr>
                <w:rFonts w:hint="eastAsia"/>
                <w:bCs/>
                <w:sz w:val="24"/>
                <w:lang w:val="en-US" w:eastAsia="zh-CN"/>
              </w:rPr>
              <w:t>23</w:t>
            </w:r>
            <w:r>
              <w:rPr>
                <w:bCs/>
                <w:sz w:val="24"/>
              </w:rPr>
              <w:t>）标准要求进行建设，配备照明设施、安全防护服装就工具，并设有应急防护设施；不相容的危险废物必须分开存放并设隔断；做到“四防”（防风、防雨、防晒、防渗漏）要求；依据《危险废物贮存污染控制标准》（GB18597）附录A.1所示标签设置危险废物识别标志；环保制度上墙等要求。</w:t>
            </w:r>
          </w:p>
          <w:p w14:paraId="28332FCE">
            <w:pPr>
              <w:adjustRightInd w:val="0"/>
              <w:snapToGrid w:val="0"/>
              <w:spacing w:line="360" w:lineRule="auto"/>
              <w:ind w:firstLine="480" w:firstLineChars="200"/>
              <w:rPr>
                <w:bCs/>
                <w:sz w:val="24"/>
              </w:rPr>
            </w:pPr>
            <w:r>
              <w:rPr>
                <w:rFonts w:hint="eastAsia"/>
                <w:bCs/>
                <w:sz w:val="24"/>
              </w:rPr>
              <w:t>同时还必须</w:t>
            </w:r>
            <w:r>
              <w:rPr>
                <w:bCs/>
                <w:sz w:val="24"/>
              </w:rPr>
              <w:t>须做好危险废物情况的记录，记录上注明危险废物的名称、来源、数量、特征和包装容器的类别、入库日期、存放单位、废物出库日期及接受单位名称。</w:t>
            </w:r>
          </w:p>
          <w:p w14:paraId="3A95F10F">
            <w:pPr>
              <w:adjustRightInd w:val="0"/>
              <w:snapToGrid w:val="0"/>
              <w:spacing w:line="360" w:lineRule="auto"/>
              <w:ind w:firstLine="480" w:firstLineChars="200"/>
              <w:rPr>
                <w:bCs/>
                <w:sz w:val="24"/>
              </w:rPr>
            </w:pPr>
            <w:r>
              <w:rPr>
                <w:bCs/>
                <w:sz w:val="24"/>
              </w:rPr>
              <w:t>危险废物</w:t>
            </w:r>
            <w:r>
              <w:rPr>
                <w:rFonts w:hint="eastAsia"/>
                <w:bCs/>
                <w:sz w:val="24"/>
              </w:rPr>
              <w:t>转移</w:t>
            </w:r>
            <w:r>
              <w:rPr>
                <w:bCs/>
                <w:sz w:val="24"/>
              </w:rPr>
              <w:t>过程必须严格执行《</w:t>
            </w:r>
            <w:r>
              <w:rPr>
                <w:rFonts w:hint="eastAsia"/>
                <w:bCs/>
                <w:sz w:val="24"/>
              </w:rPr>
              <w:t>危险废物转移管理办法</w:t>
            </w:r>
            <w:r>
              <w:rPr>
                <w:bCs/>
                <w:sz w:val="24"/>
              </w:rPr>
              <w:t>》，</w:t>
            </w:r>
            <w:r>
              <w:rPr>
                <w:rFonts w:hint="eastAsia"/>
                <w:bCs/>
                <w:sz w:val="24"/>
              </w:rPr>
              <w:t>转移危险废物的，应当执行危险废物转移联单</w:t>
            </w:r>
            <w:r>
              <w:rPr>
                <w:bCs/>
                <w:sz w:val="24"/>
              </w:rPr>
              <w:t>制度，通过国家危险废物信息管理系统填写、运行危险废物电子转移联单，并依照国家有关规定公开危险废物转移相关污染环境防治信息</w:t>
            </w:r>
            <w:r>
              <w:rPr>
                <w:rFonts w:hint="eastAsia"/>
                <w:bCs/>
                <w:sz w:val="24"/>
              </w:rPr>
              <w:t>；运输危险废物的，应当遵守国家有关危险货物运输管理的规定。移出人应当履行以下义务：</w:t>
            </w:r>
          </w:p>
          <w:p w14:paraId="3F77BF8C">
            <w:pPr>
              <w:adjustRightInd w:val="0"/>
              <w:snapToGrid w:val="0"/>
              <w:spacing w:line="360" w:lineRule="auto"/>
              <w:ind w:firstLine="480" w:firstLineChars="200"/>
              <w:rPr>
                <w:rFonts w:hint="eastAsia"/>
                <w:bCs/>
                <w:sz w:val="24"/>
              </w:rPr>
            </w:pPr>
            <w:r>
              <w:rPr>
                <w:rFonts w:hint="eastAsia"/>
                <w:bCs/>
                <w:sz w:val="24"/>
              </w:rPr>
              <w:t>①对承运人或者接受人的主体资格和技术能力进行核实，依法签订书面合同，并在合同中约定运输、贮存、利用、处置危险废物的污染防治要求及相关责任；</w:t>
            </w:r>
          </w:p>
          <w:p w14:paraId="46333F3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Cs/>
                <w:sz w:val="24"/>
              </w:rPr>
            </w:pPr>
            <w:r>
              <w:rPr>
                <w:rFonts w:hint="eastAsia"/>
                <w:bCs/>
                <w:sz w:val="24"/>
              </w:rPr>
              <w:t>②制定危险废物管理计划，明确拟转移危险废物的种类、重量（数量）和流向等信息；</w:t>
            </w:r>
          </w:p>
          <w:p w14:paraId="54296DE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Cs/>
                <w:sz w:val="24"/>
              </w:rPr>
            </w:pPr>
            <w:r>
              <w:rPr>
                <w:rFonts w:hint="eastAsia"/>
                <w:bCs/>
                <w:sz w:val="24"/>
              </w:rPr>
              <w:t>③建立危险废物管理台账，对转移的危险废物进行计量称重，如实记录、妥善保管转移危险废物的种类、重量（数量）和接受人等相关信息；</w:t>
            </w:r>
          </w:p>
          <w:p w14:paraId="524A4D6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Cs/>
                <w:sz w:val="24"/>
              </w:rPr>
            </w:pPr>
            <w:r>
              <w:rPr>
                <w:rFonts w:hint="eastAsia"/>
                <w:bCs/>
                <w:sz w:val="24"/>
              </w:rPr>
              <w:t>④填写、运行危险废物转移联单，在危险废物转移联单中如实填写移出人、承运人、接受人信息，转移危险废物的种类、重量（数量）、危险特性等信息，以及突发环境事件的防范措施等；</w:t>
            </w:r>
          </w:p>
          <w:p w14:paraId="327B24B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Cs/>
                <w:sz w:val="24"/>
              </w:rPr>
            </w:pPr>
            <w:r>
              <w:rPr>
                <w:rFonts w:hint="eastAsia"/>
                <w:bCs/>
                <w:sz w:val="24"/>
              </w:rPr>
              <w:t>⑤及时核实接受人贮存、利用或者处置相关危险废物情况。</w:t>
            </w:r>
          </w:p>
          <w:p w14:paraId="57399BFA">
            <w:pPr>
              <w:keepNext w:val="0"/>
              <w:keepLines w:val="0"/>
              <w:pageBreakBefore w:val="0"/>
              <w:widowControl w:val="0"/>
              <w:kinsoku/>
              <w:wordWrap w:val="0"/>
              <w:overflowPunct/>
              <w:topLinePunct w:val="0"/>
              <w:autoSpaceDE/>
              <w:autoSpaceDN/>
              <w:bidi w:val="0"/>
              <w:adjustRightInd/>
              <w:snapToGrid/>
              <w:ind w:firstLine="0" w:firstLineChars="0"/>
              <w:textAlignment w:val="auto"/>
              <w:rPr>
                <w:b/>
                <w:color w:val="auto"/>
                <w:szCs w:val="21"/>
              </w:rPr>
            </w:pPr>
            <w:r>
              <w:rPr>
                <w:rFonts w:hint="eastAsia"/>
                <w:b/>
                <w:color w:val="auto"/>
                <w:szCs w:val="21"/>
              </w:rPr>
              <w:t>五、地下水、土壤环境保护措施</w:t>
            </w:r>
          </w:p>
          <w:p w14:paraId="1F1C24CF">
            <w:pPr>
              <w:ind w:firstLine="480"/>
              <w:rPr>
                <w:rFonts w:hint="eastAsia"/>
                <w:color w:val="auto"/>
              </w:rPr>
            </w:pPr>
            <w:r>
              <w:rPr>
                <w:rFonts w:hint="eastAsia"/>
                <w:color w:val="auto"/>
              </w:rPr>
              <w:t>项目针对潜在的地下水、土壤污染源和污染途径</w:t>
            </w:r>
            <w:r>
              <w:rPr>
                <w:rFonts w:hint="eastAsia"/>
                <w:color w:val="auto"/>
                <w:lang w:val="en-US" w:eastAsia="zh-CN"/>
              </w:rPr>
              <w:t>应</w:t>
            </w:r>
            <w:r>
              <w:rPr>
                <w:rFonts w:hint="eastAsia"/>
                <w:color w:val="auto"/>
              </w:rPr>
              <w:t>采取较为有效的防渗、密封等工程控制措施和污染防范措施，防止泄漏物污染厂区内土壤和地下水。具体措施如下：</w:t>
            </w:r>
          </w:p>
          <w:p w14:paraId="4AEB4E73">
            <w:pPr>
              <w:ind w:firstLine="480"/>
              <w:rPr>
                <w:color w:val="auto"/>
              </w:rPr>
            </w:pPr>
            <w:r>
              <w:rPr>
                <w:rFonts w:hint="eastAsia"/>
                <w:color w:val="auto"/>
              </w:rPr>
              <w:t>①源头控制措施</w:t>
            </w:r>
            <w:r>
              <w:rPr>
                <w:rFonts w:hint="eastAsia"/>
                <w:color w:val="auto"/>
                <w:lang w:eastAsia="zh-CN"/>
              </w:rPr>
              <w:t>：</w:t>
            </w:r>
            <w:r>
              <w:rPr>
                <w:rFonts w:hint="eastAsia"/>
                <w:color w:val="auto"/>
              </w:rPr>
              <w:t>项目所有生产工序均设置在车间内，车间依托现有现有车间。现有车间已采取了防渗、防腐的工程。在运营期通过加强管理、值班人员定时巡查、设备区定时检修维护，从源头上控制潜在污染源。</w:t>
            </w:r>
          </w:p>
          <w:p w14:paraId="2530FFF5">
            <w:pPr>
              <w:ind w:firstLine="480"/>
              <w:rPr>
                <w:color w:val="auto"/>
              </w:rPr>
            </w:pPr>
            <w:r>
              <w:rPr>
                <w:rFonts w:hint="eastAsia"/>
                <w:color w:val="auto"/>
              </w:rPr>
              <w:t>②分区防渗</w:t>
            </w:r>
            <w:r>
              <w:rPr>
                <w:rFonts w:hint="eastAsia"/>
                <w:color w:val="auto"/>
                <w:lang w:eastAsia="zh-CN"/>
              </w:rPr>
              <w:t>：</w:t>
            </w:r>
            <w:r>
              <w:rPr>
                <w:rFonts w:hint="eastAsia"/>
                <w:color w:val="auto"/>
              </w:rPr>
              <w:t>做好分区防渗工作，采取分区防渗的原则，将各个场地划分为重点防渗区、一般防渗区、简单防渗区，并采取相应的防渗措施，达到规定的防渗技术要求。本项目</w:t>
            </w:r>
            <w:r>
              <w:rPr>
                <w:rFonts w:hint="eastAsia"/>
                <w:color w:val="auto"/>
                <w:lang w:val="en-US" w:eastAsia="zh-CN"/>
              </w:rPr>
              <w:t>均为一般防渗区和简单防渗区</w:t>
            </w:r>
            <w:r>
              <w:rPr>
                <w:rFonts w:hint="eastAsia"/>
                <w:color w:val="auto"/>
              </w:rPr>
              <w:t>，按照《环境影响评价技术导则地下水环境》（HJ610-2016）</w:t>
            </w:r>
            <w:r>
              <w:rPr>
                <w:rFonts w:hint="eastAsia"/>
                <w:color w:val="auto"/>
                <w:lang w:val="en-US" w:eastAsia="zh-CN"/>
              </w:rPr>
              <w:t>标准进行建设</w:t>
            </w:r>
            <w:r>
              <w:rPr>
                <w:rFonts w:hint="eastAsia"/>
                <w:color w:val="auto"/>
              </w:rPr>
              <w:t>。</w:t>
            </w:r>
          </w:p>
          <w:p w14:paraId="4C4C9C54">
            <w:pPr>
              <w:keepNext w:val="0"/>
              <w:keepLines w:val="0"/>
              <w:pageBreakBefore w:val="0"/>
              <w:widowControl w:val="0"/>
              <w:kinsoku/>
              <w:wordWrap w:val="0"/>
              <w:overflowPunct/>
              <w:topLinePunct w:val="0"/>
              <w:autoSpaceDE/>
              <w:autoSpaceDN/>
              <w:bidi w:val="0"/>
              <w:adjustRightInd/>
              <w:snapToGrid/>
              <w:ind w:firstLine="0" w:firstLineChars="0"/>
              <w:textAlignment w:val="auto"/>
              <w:rPr>
                <w:b/>
                <w:bCs/>
                <w:color w:val="auto"/>
              </w:rPr>
            </w:pPr>
            <w:r>
              <w:rPr>
                <w:rFonts w:hint="eastAsia"/>
                <w:b/>
                <w:bCs/>
                <w:color w:val="auto"/>
              </w:rPr>
              <w:t>六、环境风险影响分析</w:t>
            </w:r>
          </w:p>
          <w:p w14:paraId="55AE34B6">
            <w:pPr>
              <w:keepNext w:val="0"/>
              <w:keepLines w:val="0"/>
              <w:pageBreakBefore w:val="0"/>
              <w:widowControl w:val="0"/>
              <w:kinsoku/>
              <w:wordWrap w:val="0"/>
              <w:overflowPunct/>
              <w:topLinePunct w:val="0"/>
              <w:autoSpaceDE/>
              <w:autoSpaceDN/>
              <w:bidi w:val="0"/>
              <w:adjustRightInd/>
              <w:snapToGrid/>
              <w:ind w:firstLine="0" w:firstLineChars="0"/>
              <w:textAlignment w:val="auto"/>
              <w:rPr>
                <w:b/>
                <w:bCs/>
                <w:color w:val="auto"/>
              </w:rPr>
            </w:pPr>
            <w:bookmarkStart w:id="9" w:name="_Toc19199642"/>
            <w:bookmarkStart w:id="10" w:name="_Toc20797"/>
            <w:r>
              <w:rPr>
                <w:rFonts w:hint="eastAsia"/>
                <w:b/>
                <w:bCs/>
                <w:color w:val="auto"/>
              </w:rPr>
              <w:t>1</w:t>
            </w:r>
            <w:r>
              <w:rPr>
                <w:b/>
                <w:bCs/>
                <w:color w:val="auto"/>
              </w:rPr>
              <w:t>.评价内容</w:t>
            </w:r>
          </w:p>
          <w:p w14:paraId="6A5113B7">
            <w:pPr>
              <w:ind w:firstLine="480"/>
              <w:rPr>
                <w:color w:val="auto"/>
              </w:rPr>
            </w:pPr>
            <w:r>
              <w:rPr>
                <w:color w:val="auto"/>
              </w:rPr>
              <w:t>本项目环境风险评价包括以下内容：</w:t>
            </w:r>
          </w:p>
          <w:p w14:paraId="56CA126F">
            <w:pPr>
              <w:ind w:firstLine="480"/>
              <w:rPr>
                <w:color w:val="auto"/>
              </w:rPr>
            </w:pPr>
            <w:r>
              <w:rPr>
                <w:color w:val="auto"/>
              </w:rPr>
              <w:t>（1）从环境风险源、扩散途径、保护目标三方面识别环境风险。环境风险识别包括生产设施和危险物质的识别，有毒有害物质扩散途径的识别以及可能受影响的环境保护目标的识别。</w:t>
            </w:r>
          </w:p>
          <w:p w14:paraId="1B86E311">
            <w:pPr>
              <w:ind w:firstLine="480"/>
              <w:rPr>
                <w:color w:val="auto"/>
              </w:rPr>
            </w:pPr>
            <w:r>
              <w:rPr>
                <w:color w:val="auto"/>
              </w:rPr>
              <w:t>（2）科学开展环境风险预测。通过环境风险识别，分析生产设施可能发生的火灾、爆炸，危险物质泄漏等事故，并充分考虑伴生/次生的危险物质等，设定最大可信事故情景，从环境因素方面考虑并预测评价突发环境事件对环境的影响范围和程度。</w:t>
            </w:r>
          </w:p>
          <w:p w14:paraId="66BA9944">
            <w:pPr>
              <w:ind w:firstLine="480"/>
              <w:rPr>
                <w:color w:val="auto"/>
              </w:rPr>
            </w:pPr>
            <w:r>
              <w:rPr>
                <w:color w:val="auto"/>
              </w:rPr>
              <w:t>（3）提出合理有效的环境风险防范和应急措施。结合风险预测结论，有针对性地提出环境风险防范和应急措施，并对措施的合理性和有效性进行充分论证。</w:t>
            </w:r>
          </w:p>
          <w:p w14:paraId="71F1C507">
            <w:pPr>
              <w:keepNext w:val="0"/>
              <w:keepLines w:val="0"/>
              <w:pageBreakBefore w:val="0"/>
              <w:widowControl w:val="0"/>
              <w:kinsoku/>
              <w:wordWrap w:val="0"/>
              <w:overflowPunct/>
              <w:topLinePunct w:val="0"/>
              <w:autoSpaceDE/>
              <w:autoSpaceDN/>
              <w:bidi w:val="0"/>
              <w:adjustRightInd/>
              <w:snapToGrid/>
              <w:ind w:firstLine="0" w:firstLineChars="0"/>
              <w:textAlignment w:val="auto"/>
              <w:rPr>
                <w:b/>
                <w:bCs/>
                <w:color w:val="auto"/>
              </w:rPr>
            </w:pPr>
            <w:r>
              <w:rPr>
                <w:rFonts w:hint="eastAsia"/>
                <w:b/>
                <w:bCs/>
                <w:color w:val="auto"/>
                <w:lang w:val="en-US" w:eastAsia="zh-CN"/>
              </w:rPr>
              <w:t>2</w:t>
            </w:r>
            <w:r>
              <w:rPr>
                <w:rFonts w:hint="eastAsia"/>
                <w:b/>
                <w:bCs/>
                <w:color w:val="auto"/>
              </w:rPr>
              <w:t>.</w:t>
            </w:r>
            <w:r>
              <w:rPr>
                <w:b/>
                <w:bCs/>
                <w:color w:val="auto"/>
              </w:rPr>
              <w:t>环境风险潜势初判</w:t>
            </w:r>
          </w:p>
          <w:p w14:paraId="1821FE18">
            <w:pPr>
              <w:ind w:firstLine="480"/>
              <w:rPr>
                <w:color w:val="auto"/>
              </w:rPr>
            </w:pPr>
            <w:r>
              <w:rPr>
                <w:color w:val="auto"/>
              </w:rPr>
              <w:t>根据《建设项目环境风险评价技术导则》（HJ169-2018）附录B，计算所涉及的每种危险物质在厂界内的最大存在总量与对应临界量的比值Q。</w:t>
            </w:r>
            <w:r>
              <w:rPr>
                <w:rFonts w:hint="eastAsia"/>
                <w:color w:val="auto"/>
              </w:rPr>
              <w:t>在不同厂区的同一种物质，按其在厂界内的最大存在总量计算。对于长输管线项目，按照两个截断阀室之间管段危险物质最大存在量计算。</w:t>
            </w:r>
          </w:p>
          <w:p w14:paraId="55158192">
            <w:pPr>
              <w:ind w:firstLine="0" w:firstLineChars="0"/>
              <w:jc w:val="center"/>
              <w:rPr>
                <w:color w:val="auto"/>
              </w:rPr>
            </w:pPr>
            <w:bookmarkStart w:id="11" w:name="_Toc31695"/>
            <w:r>
              <w:rPr>
                <w:color w:val="auto"/>
              </w:rPr>
              <w:t>Q=q</w:t>
            </w:r>
            <w:r>
              <w:rPr>
                <w:color w:val="auto"/>
                <w:vertAlign w:val="subscript"/>
              </w:rPr>
              <w:t>1</w:t>
            </w:r>
            <w:r>
              <w:rPr>
                <w:color w:val="auto"/>
              </w:rPr>
              <w:t>/Q</w:t>
            </w:r>
            <w:r>
              <w:rPr>
                <w:color w:val="auto"/>
                <w:vertAlign w:val="subscript"/>
              </w:rPr>
              <w:t>1</w:t>
            </w:r>
            <w:r>
              <w:rPr>
                <w:color w:val="auto"/>
              </w:rPr>
              <w:t>+q</w:t>
            </w:r>
            <w:r>
              <w:rPr>
                <w:color w:val="auto"/>
                <w:vertAlign w:val="subscript"/>
              </w:rPr>
              <w:t>2</w:t>
            </w:r>
            <w:r>
              <w:rPr>
                <w:color w:val="auto"/>
              </w:rPr>
              <w:t>/Q</w:t>
            </w:r>
            <w:r>
              <w:rPr>
                <w:color w:val="auto"/>
                <w:vertAlign w:val="subscript"/>
              </w:rPr>
              <w:t>2</w:t>
            </w:r>
            <w:r>
              <w:rPr>
                <w:color w:val="auto"/>
              </w:rPr>
              <w:t>+……+q</w:t>
            </w:r>
            <w:r>
              <w:rPr>
                <w:color w:val="auto"/>
                <w:vertAlign w:val="subscript"/>
              </w:rPr>
              <w:t>n</w:t>
            </w:r>
            <w:r>
              <w:rPr>
                <w:color w:val="auto"/>
              </w:rPr>
              <w:t>/Q</w:t>
            </w:r>
            <w:r>
              <w:rPr>
                <w:color w:val="auto"/>
                <w:vertAlign w:val="subscript"/>
              </w:rPr>
              <w:t>n</w:t>
            </w:r>
            <w:r>
              <w:rPr>
                <w:color w:val="auto"/>
              </w:rPr>
              <w:t>≥…………（1）</w:t>
            </w:r>
            <w:bookmarkEnd w:id="11"/>
          </w:p>
          <w:p w14:paraId="5E52A278">
            <w:pPr>
              <w:ind w:firstLine="480"/>
              <w:rPr>
                <w:color w:val="auto"/>
              </w:rPr>
            </w:pPr>
            <w:r>
              <w:rPr>
                <w:color w:val="auto"/>
              </w:rPr>
              <w:t>式中：q</w:t>
            </w:r>
            <w:r>
              <w:rPr>
                <w:color w:val="auto"/>
                <w:vertAlign w:val="subscript"/>
              </w:rPr>
              <w:t>1</w:t>
            </w:r>
            <w:r>
              <w:rPr>
                <w:rFonts w:hint="eastAsia"/>
                <w:color w:val="auto"/>
              </w:rPr>
              <w:t>，</w:t>
            </w:r>
            <w:r>
              <w:rPr>
                <w:color w:val="auto"/>
              </w:rPr>
              <w:t>q</w:t>
            </w:r>
            <w:r>
              <w:rPr>
                <w:color w:val="auto"/>
                <w:vertAlign w:val="subscript"/>
              </w:rPr>
              <w:t>2</w:t>
            </w:r>
            <w:r>
              <w:rPr>
                <w:color w:val="auto"/>
              </w:rPr>
              <w:t>，……q</w:t>
            </w:r>
            <w:r>
              <w:rPr>
                <w:color w:val="auto"/>
                <w:vertAlign w:val="subscript"/>
              </w:rPr>
              <w:t>n</w:t>
            </w:r>
            <w:r>
              <w:rPr>
                <w:color w:val="auto"/>
              </w:rPr>
              <w:t>——每种危险物质的最大存在总量，t；</w:t>
            </w:r>
          </w:p>
          <w:p w14:paraId="2B7E29AE">
            <w:pPr>
              <w:ind w:firstLine="1132" w:firstLineChars="472"/>
              <w:rPr>
                <w:color w:val="auto"/>
              </w:rPr>
            </w:pPr>
            <w:r>
              <w:rPr>
                <w:color w:val="auto"/>
              </w:rPr>
              <w:t>Q</w:t>
            </w:r>
            <w:r>
              <w:rPr>
                <w:color w:val="auto"/>
                <w:vertAlign w:val="subscript"/>
              </w:rPr>
              <w:t>1</w:t>
            </w:r>
            <w:r>
              <w:rPr>
                <w:color w:val="auto"/>
              </w:rPr>
              <w:t>，Q</w:t>
            </w:r>
            <w:r>
              <w:rPr>
                <w:color w:val="auto"/>
                <w:vertAlign w:val="subscript"/>
              </w:rPr>
              <w:t>2</w:t>
            </w:r>
            <w:r>
              <w:rPr>
                <w:color w:val="auto"/>
              </w:rPr>
              <w:t>，……Q</w:t>
            </w:r>
            <w:r>
              <w:rPr>
                <w:color w:val="auto"/>
                <w:vertAlign w:val="subscript"/>
              </w:rPr>
              <w:t>n</w:t>
            </w:r>
            <w:r>
              <w:rPr>
                <w:color w:val="auto"/>
              </w:rPr>
              <w:t>——每种危险物质的临界量，t。</w:t>
            </w:r>
          </w:p>
          <w:p w14:paraId="48BAB4DA">
            <w:pPr>
              <w:ind w:firstLine="1132" w:firstLineChars="472"/>
              <w:rPr>
                <w:color w:val="auto"/>
              </w:rPr>
            </w:pPr>
            <w:r>
              <w:rPr>
                <w:color w:val="auto"/>
              </w:rPr>
              <w:t>当Q＜1时，该项目环境风险潜势为</w:t>
            </w:r>
            <w:r>
              <w:rPr>
                <w:color w:val="auto"/>
              </w:rPr>
              <w:fldChar w:fldCharType="begin"/>
            </w:r>
            <w:r>
              <w:rPr>
                <w:color w:val="auto"/>
              </w:rPr>
              <w:instrText xml:space="preserve"> = 1 \* ROMAN </w:instrText>
            </w:r>
            <w:r>
              <w:rPr>
                <w:color w:val="auto"/>
              </w:rPr>
              <w:fldChar w:fldCharType="separate"/>
            </w:r>
            <w:r>
              <w:rPr>
                <w:color w:val="auto"/>
              </w:rPr>
              <w:t>I</w:t>
            </w:r>
            <w:r>
              <w:rPr>
                <w:color w:val="auto"/>
              </w:rPr>
              <w:fldChar w:fldCharType="end"/>
            </w:r>
            <w:r>
              <w:rPr>
                <w:color w:val="auto"/>
              </w:rPr>
              <w:t>。</w:t>
            </w:r>
          </w:p>
          <w:p w14:paraId="0DFCFA73">
            <w:pPr>
              <w:ind w:firstLine="1161" w:firstLineChars="484"/>
              <w:rPr>
                <w:color w:val="auto"/>
              </w:rPr>
            </w:pPr>
            <w:r>
              <w:rPr>
                <w:color w:val="auto"/>
              </w:rPr>
              <w:t>Q≥1时，将Q值划分为（1）1≤Q＜10；（2）10≤Q＜100；（3）100≤Q。</w:t>
            </w:r>
          </w:p>
          <w:p w14:paraId="67EA73AF">
            <w:pPr>
              <w:keepNext w:val="0"/>
              <w:keepLines w:val="0"/>
              <w:pageBreakBefore w:val="0"/>
              <w:widowControl w:val="0"/>
              <w:numPr>
                <w:ilvl w:val="0"/>
                <w:numId w:val="9"/>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lang w:val="zh-CN"/>
              </w:rPr>
            </w:pPr>
            <w:r>
              <w:rPr>
                <w:rFonts w:hint="eastAsia" w:ascii="Times New Roman" w:hAnsi="Times New Roman" w:eastAsia="宋体" w:cs="Times New Roman"/>
                <w:b/>
                <w:bCs/>
                <w:color w:val="auto"/>
                <w:sz w:val="21"/>
                <w:szCs w:val="21"/>
                <w:lang w:val="zh-CN"/>
              </w:rPr>
              <w:t>风险物质临界量一览表</w:t>
            </w:r>
          </w:p>
          <w:tbl>
            <w:tblPr>
              <w:tblStyle w:val="20"/>
              <w:tblW w:w="49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01"/>
              <w:gridCol w:w="1501"/>
              <w:gridCol w:w="1583"/>
              <w:gridCol w:w="1428"/>
              <w:gridCol w:w="1132"/>
              <w:gridCol w:w="853"/>
            </w:tblGrid>
            <w:tr w14:paraId="0B46E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38" w:type="pct"/>
                  <w:vAlign w:val="center"/>
                </w:tcPr>
                <w:p w14:paraId="0C232F2B">
                  <w:pPr>
                    <w:spacing w:line="240" w:lineRule="auto"/>
                    <w:ind w:firstLine="0" w:firstLineChars="0"/>
                    <w:jc w:val="center"/>
                    <w:rPr>
                      <w:color w:val="auto"/>
                      <w:sz w:val="21"/>
                      <w:szCs w:val="21"/>
                      <w:u w:val="none"/>
                    </w:rPr>
                  </w:pPr>
                  <w:r>
                    <w:rPr>
                      <w:rFonts w:hint="eastAsia"/>
                      <w:color w:val="auto"/>
                      <w:sz w:val="21"/>
                      <w:szCs w:val="21"/>
                      <w:u w:val="none"/>
                    </w:rPr>
                    <w:t>风险物质</w:t>
                  </w:r>
                </w:p>
              </w:tc>
              <w:tc>
                <w:tcPr>
                  <w:tcW w:w="938" w:type="pct"/>
                  <w:vAlign w:val="center"/>
                </w:tcPr>
                <w:p w14:paraId="740A903A">
                  <w:pPr>
                    <w:spacing w:line="240" w:lineRule="auto"/>
                    <w:ind w:firstLine="0" w:firstLineChars="0"/>
                    <w:jc w:val="center"/>
                    <w:rPr>
                      <w:color w:val="auto"/>
                      <w:sz w:val="21"/>
                      <w:szCs w:val="21"/>
                      <w:u w:val="none"/>
                    </w:rPr>
                  </w:pPr>
                  <w:r>
                    <w:rPr>
                      <w:rFonts w:hint="eastAsia"/>
                      <w:color w:val="auto"/>
                      <w:sz w:val="21"/>
                      <w:szCs w:val="21"/>
                      <w:u w:val="none"/>
                    </w:rPr>
                    <w:t>CAS号</w:t>
                  </w:r>
                </w:p>
              </w:tc>
              <w:tc>
                <w:tcPr>
                  <w:tcW w:w="989" w:type="pct"/>
                  <w:vAlign w:val="center"/>
                </w:tcPr>
                <w:p w14:paraId="2E33021D">
                  <w:pPr>
                    <w:spacing w:line="240" w:lineRule="auto"/>
                    <w:ind w:firstLine="0" w:firstLineChars="0"/>
                    <w:jc w:val="center"/>
                    <w:rPr>
                      <w:color w:val="auto"/>
                      <w:sz w:val="21"/>
                      <w:szCs w:val="21"/>
                      <w:u w:val="none"/>
                    </w:rPr>
                  </w:pPr>
                  <w:r>
                    <w:rPr>
                      <w:color w:val="auto"/>
                      <w:sz w:val="21"/>
                      <w:szCs w:val="21"/>
                      <w:u w:val="none"/>
                    </w:rPr>
                    <w:t>最大存在量（t）</w:t>
                  </w:r>
                </w:p>
              </w:tc>
              <w:tc>
                <w:tcPr>
                  <w:tcW w:w="892" w:type="pct"/>
                  <w:vAlign w:val="center"/>
                </w:tcPr>
                <w:p w14:paraId="51279AA2">
                  <w:pPr>
                    <w:spacing w:line="240" w:lineRule="auto"/>
                    <w:ind w:firstLine="0" w:firstLineChars="0"/>
                    <w:jc w:val="center"/>
                    <w:rPr>
                      <w:color w:val="auto"/>
                      <w:sz w:val="21"/>
                      <w:szCs w:val="21"/>
                      <w:u w:val="none"/>
                    </w:rPr>
                  </w:pPr>
                  <w:r>
                    <w:rPr>
                      <w:color w:val="auto"/>
                      <w:sz w:val="21"/>
                      <w:szCs w:val="21"/>
                      <w:u w:val="none"/>
                    </w:rPr>
                    <w:t>折算后（t）</w:t>
                  </w:r>
                </w:p>
              </w:tc>
              <w:tc>
                <w:tcPr>
                  <w:tcW w:w="707" w:type="pct"/>
                  <w:vAlign w:val="center"/>
                </w:tcPr>
                <w:p w14:paraId="36CB3327">
                  <w:pPr>
                    <w:spacing w:line="240" w:lineRule="auto"/>
                    <w:ind w:firstLine="0" w:firstLineChars="0"/>
                    <w:jc w:val="center"/>
                    <w:rPr>
                      <w:color w:val="auto"/>
                      <w:sz w:val="21"/>
                      <w:szCs w:val="21"/>
                      <w:u w:val="none"/>
                    </w:rPr>
                  </w:pPr>
                  <w:r>
                    <w:rPr>
                      <w:rFonts w:hint="eastAsia"/>
                      <w:color w:val="auto"/>
                      <w:sz w:val="21"/>
                      <w:szCs w:val="21"/>
                      <w:u w:val="none"/>
                    </w:rPr>
                    <w:t>临界量</w:t>
                  </w:r>
                  <w:r>
                    <w:rPr>
                      <w:color w:val="auto"/>
                      <w:sz w:val="21"/>
                      <w:szCs w:val="21"/>
                      <w:u w:val="none"/>
                    </w:rPr>
                    <w:t>（t）</w:t>
                  </w:r>
                </w:p>
              </w:tc>
              <w:tc>
                <w:tcPr>
                  <w:tcW w:w="533" w:type="pct"/>
                  <w:vAlign w:val="center"/>
                </w:tcPr>
                <w:p w14:paraId="22C5A4F9">
                  <w:pPr>
                    <w:spacing w:line="240" w:lineRule="auto"/>
                    <w:ind w:firstLine="0" w:firstLineChars="0"/>
                    <w:jc w:val="center"/>
                    <w:rPr>
                      <w:color w:val="auto"/>
                      <w:sz w:val="21"/>
                      <w:szCs w:val="21"/>
                      <w:u w:val="none"/>
                    </w:rPr>
                  </w:pPr>
                  <w:r>
                    <w:rPr>
                      <w:rFonts w:hint="eastAsia"/>
                      <w:color w:val="auto"/>
                      <w:sz w:val="21"/>
                      <w:szCs w:val="21"/>
                      <w:u w:val="none"/>
                    </w:rPr>
                    <w:t>Q</w:t>
                  </w:r>
                </w:p>
              </w:tc>
            </w:tr>
            <w:tr w14:paraId="159F0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38" w:type="pct"/>
                  <w:vAlign w:val="center"/>
                </w:tcPr>
                <w:p w14:paraId="3F690352">
                  <w:pPr>
                    <w:spacing w:line="240" w:lineRule="auto"/>
                    <w:ind w:firstLine="0" w:firstLineChars="0"/>
                    <w:jc w:val="center"/>
                    <w:rPr>
                      <w:color w:val="auto"/>
                      <w:sz w:val="21"/>
                      <w:szCs w:val="21"/>
                      <w:u w:val="none"/>
                    </w:rPr>
                  </w:pPr>
                  <w:r>
                    <w:rPr>
                      <w:rFonts w:hint="eastAsia"/>
                      <w:color w:val="auto"/>
                      <w:sz w:val="21"/>
                      <w:szCs w:val="21"/>
                      <w:u w:val="none"/>
                    </w:rPr>
                    <w:t>盐酸</w:t>
                  </w:r>
                </w:p>
              </w:tc>
              <w:tc>
                <w:tcPr>
                  <w:tcW w:w="938" w:type="pct"/>
                  <w:vAlign w:val="center"/>
                </w:tcPr>
                <w:p w14:paraId="1C640C2F">
                  <w:pPr>
                    <w:spacing w:line="240" w:lineRule="auto"/>
                    <w:ind w:firstLine="0" w:firstLineChars="0"/>
                    <w:jc w:val="center"/>
                    <w:rPr>
                      <w:color w:val="auto"/>
                      <w:sz w:val="21"/>
                      <w:szCs w:val="21"/>
                      <w:u w:val="none"/>
                    </w:rPr>
                  </w:pPr>
                  <w:r>
                    <w:rPr>
                      <w:rFonts w:hint="eastAsia"/>
                      <w:color w:val="auto"/>
                      <w:sz w:val="21"/>
                      <w:szCs w:val="21"/>
                      <w:u w:val="none"/>
                    </w:rPr>
                    <w:t>7647-01-0</w:t>
                  </w:r>
                </w:p>
              </w:tc>
              <w:tc>
                <w:tcPr>
                  <w:tcW w:w="989" w:type="pct"/>
                  <w:vAlign w:val="center"/>
                </w:tcPr>
                <w:p w14:paraId="4B2C24F8">
                  <w:pPr>
                    <w:spacing w:line="240" w:lineRule="auto"/>
                    <w:ind w:firstLine="0" w:firstLineChars="0"/>
                    <w:jc w:val="center"/>
                    <w:rPr>
                      <w:color w:val="auto"/>
                      <w:sz w:val="21"/>
                      <w:szCs w:val="21"/>
                      <w:u w:val="none"/>
                    </w:rPr>
                  </w:pPr>
                  <w:r>
                    <w:rPr>
                      <w:rFonts w:hint="eastAsia"/>
                      <w:color w:val="auto"/>
                      <w:sz w:val="21"/>
                      <w:szCs w:val="21"/>
                      <w:u w:val="none"/>
                      <w:lang w:val="en-US" w:eastAsia="zh-CN"/>
                    </w:rPr>
                    <w:t>0.002</w:t>
                  </w:r>
                  <w:r>
                    <w:rPr>
                      <w:color w:val="auto"/>
                      <w:sz w:val="21"/>
                      <w:szCs w:val="21"/>
                      <w:u w:val="none"/>
                    </w:rPr>
                    <w:t>（31%）</w:t>
                  </w:r>
                </w:p>
              </w:tc>
              <w:tc>
                <w:tcPr>
                  <w:tcW w:w="892" w:type="pct"/>
                  <w:vAlign w:val="center"/>
                </w:tcPr>
                <w:p w14:paraId="131656AE">
                  <w:pPr>
                    <w:spacing w:line="240" w:lineRule="auto"/>
                    <w:ind w:firstLine="0" w:firstLineChars="0"/>
                    <w:jc w:val="center"/>
                    <w:rPr>
                      <w:color w:val="auto"/>
                      <w:sz w:val="21"/>
                      <w:szCs w:val="21"/>
                      <w:u w:val="none"/>
                    </w:rPr>
                  </w:pPr>
                  <w:r>
                    <w:rPr>
                      <w:rFonts w:hint="eastAsia"/>
                      <w:color w:val="auto"/>
                      <w:sz w:val="21"/>
                      <w:szCs w:val="21"/>
                      <w:u w:val="none"/>
                      <w:lang w:val="en-US" w:eastAsia="zh-CN"/>
                    </w:rPr>
                    <w:t>0.0016</w:t>
                  </w:r>
                  <w:r>
                    <w:rPr>
                      <w:color w:val="auto"/>
                      <w:sz w:val="21"/>
                      <w:szCs w:val="21"/>
                      <w:u w:val="none"/>
                    </w:rPr>
                    <w:t>（37%）</w:t>
                  </w:r>
                </w:p>
              </w:tc>
              <w:tc>
                <w:tcPr>
                  <w:tcW w:w="707" w:type="pct"/>
                  <w:vAlign w:val="center"/>
                </w:tcPr>
                <w:p w14:paraId="39002A19">
                  <w:pPr>
                    <w:spacing w:line="240" w:lineRule="auto"/>
                    <w:ind w:firstLine="0" w:firstLineChars="0"/>
                    <w:jc w:val="center"/>
                    <w:rPr>
                      <w:color w:val="auto"/>
                      <w:sz w:val="21"/>
                      <w:szCs w:val="21"/>
                      <w:u w:val="none"/>
                    </w:rPr>
                  </w:pPr>
                  <w:r>
                    <w:rPr>
                      <w:rFonts w:hint="eastAsia"/>
                      <w:color w:val="auto"/>
                      <w:sz w:val="21"/>
                      <w:szCs w:val="21"/>
                      <w:u w:val="none"/>
                    </w:rPr>
                    <w:t>7.5</w:t>
                  </w:r>
                </w:p>
              </w:tc>
              <w:tc>
                <w:tcPr>
                  <w:tcW w:w="533" w:type="pct"/>
                  <w:vAlign w:val="center"/>
                </w:tcPr>
                <w:p w14:paraId="787615B7">
                  <w:pPr>
                    <w:spacing w:line="240" w:lineRule="auto"/>
                    <w:ind w:firstLine="0" w:firstLineChars="0"/>
                    <w:jc w:val="center"/>
                    <w:rPr>
                      <w:rFonts w:hint="default" w:eastAsia="宋体"/>
                      <w:color w:val="auto"/>
                      <w:sz w:val="21"/>
                      <w:szCs w:val="21"/>
                      <w:u w:val="none"/>
                      <w:lang w:val="en-US" w:eastAsia="zh-CN"/>
                    </w:rPr>
                  </w:pPr>
                  <w:r>
                    <w:rPr>
                      <w:rFonts w:hint="eastAsia"/>
                      <w:color w:val="auto"/>
                      <w:sz w:val="21"/>
                      <w:szCs w:val="21"/>
                      <w:u w:val="none"/>
                      <w:lang w:val="en-US" w:eastAsia="zh-CN"/>
                    </w:rPr>
                    <w:t>0.0002</w:t>
                  </w:r>
                </w:p>
              </w:tc>
            </w:tr>
            <w:tr w14:paraId="676C2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38" w:type="pct"/>
                  <w:shd w:val="clear" w:color="auto" w:fill="auto"/>
                  <w:vAlign w:val="center"/>
                </w:tcPr>
                <w:p w14:paraId="6908083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硝酸</w:t>
                  </w:r>
                </w:p>
              </w:tc>
              <w:tc>
                <w:tcPr>
                  <w:tcW w:w="938" w:type="pct"/>
                  <w:vAlign w:val="center"/>
                </w:tcPr>
                <w:p w14:paraId="48ECAE4A">
                  <w:pPr>
                    <w:spacing w:line="240" w:lineRule="auto"/>
                    <w:ind w:firstLine="0" w:firstLineChars="0"/>
                    <w:jc w:val="center"/>
                    <w:rPr>
                      <w:rFonts w:hint="default" w:eastAsia="宋体"/>
                      <w:color w:val="auto"/>
                      <w:sz w:val="21"/>
                      <w:szCs w:val="21"/>
                      <w:u w:val="none"/>
                      <w:lang w:val="en-US" w:eastAsia="zh-CN"/>
                    </w:rPr>
                  </w:pPr>
                  <w:r>
                    <w:rPr>
                      <w:rFonts w:hint="eastAsia"/>
                      <w:color w:val="auto"/>
                      <w:sz w:val="21"/>
                      <w:szCs w:val="21"/>
                      <w:u w:val="none"/>
                      <w:lang w:val="en-US" w:eastAsia="zh-CN"/>
                    </w:rPr>
                    <w:t>7696-37-2</w:t>
                  </w:r>
                </w:p>
              </w:tc>
              <w:tc>
                <w:tcPr>
                  <w:tcW w:w="989" w:type="pct"/>
                  <w:vAlign w:val="center"/>
                </w:tcPr>
                <w:p w14:paraId="6E7D3BF0">
                  <w:pPr>
                    <w:spacing w:line="240" w:lineRule="auto"/>
                    <w:ind w:firstLine="0" w:firstLineChars="0"/>
                    <w:jc w:val="center"/>
                    <w:rPr>
                      <w:color w:val="auto"/>
                      <w:sz w:val="21"/>
                      <w:szCs w:val="21"/>
                      <w:u w:val="none"/>
                    </w:rPr>
                  </w:pPr>
                  <w:r>
                    <w:rPr>
                      <w:rFonts w:hint="eastAsia"/>
                      <w:color w:val="auto"/>
                      <w:sz w:val="21"/>
                      <w:szCs w:val="21"/>
                      <w:u w:val="none"/>
                      <w:lang w:val="en-US" w:eastAsia="zh-CN"/>
                    </w:rPr>
                    <w:t>0.002</w:t>
                  </w:r>
                </w:p>
              </w:tc>
              <w:tc>
                <w:tcPr>
                  <w:tcW w:w="892" w:type="pct"/>
                  <w:vAlign w:val="center"/>
                </w:tcPr>
                <w:p w14:paraId="2ED2D34C">
                  <w:pPr>
                    <w:spacing w:line="240" w:lineRule="auto"/>
                    <w:ind w:firstLine="0" w:firstLineChars="0"/>
                    <w:jc w:val="center"/>
                    <w:rPr>
                      <w:rFonts w:hint="eastAsia" w:eastAsia="宋体"/>
                      <w:color w:val="auto"/>
                      <w:sz w:val="21"/>
                      <w:szCs w:val="21"/>
                      <w:u w:val="none"/>
                      <w:lang w:val="en-US" w:eastAsia="zh-CN"/>
                    </w:rPr>
                  </w:pPr>
                  <w:r>
                    <w:rPr>
                      <w:rFonts w:hint="eastAsia"/>
                      <w:color w:val="auto"/>
                      <w:sz w:val="21"/>
                      <w:szCs w:val="21"/>
                      <w:u w:val="none"/>
                      <w:lang w:val="en-US" w:eastAsia="zh-CN"/>
                    </w:rPr>
                    <w:t>/</w:t>
                  </w:r>
                </w:p>
              </w:tc>
              <w:tc>
                <w:tcPr>
                  <w:tcW w:w="707" w:type="pct"/>
                  <w:vAlign w:val="center"/>
                </w:tcPr>
                <w:p w14:paraId="5B14F69A">
                  <w:pPr>
                    <w:spacing w:line="240" w:lineRule="auto"/>
                    <w:ind w:firstLine="0" w:firstLineChars="0"/>
                    <w:jc w:val="center"/>
                    <w:rPr>
                      <w:rFonts w:hint="default" w:eastAsia="宋体"/>
                      <w:color w:val="auto"/>
                      <w:sz w:val="21"/>
                      <w:szCs w:val="21"/>
                      <w:u w:val="none"/>
                      <w:lang w:val="en-US" w:eastAsia="zh-CN"/>
                    </w:rPr>
                  </w:pPr>
                  <w:r>
                    <w:rPr>
                      <w:rFonts w:hint="eastAsia"/>
                      <w:color w:val="auto"/>
                      <w:sz w:val="21"/>
                      <w:szCs w:val="21"/>
                      <w:u w:val="none"/>
                      <w:lang w:val="en-US" w:eastAsia="zh-CN"/>
                    </w:rPr>
                    <w:t>7.5</w:t>
                  </w:r>
                </w:p>
              </w:tc>
              <w:tc>
                <w:tcPr>
                  <w:tcW w:w="533" w:type="pct"/>
                  <w:vAlign w:val="center"/>
                </w:tcPr>
                <w:p w14:paraId="3AAE4C9B">
                  <w:pPr>
                    <w:spacing w:line="240" w:lineRule="auto"/>
                    <w:ind w:firstLine="0" w:firstLineChars="0"/>
                    <w:jc w:val="center"/>
                    <w:rPr>
                      <w:rFonts w:hint="eastAsia"/>
                      <w:color w:val="auto"/>
                      <w:sz w:val="21"/>
                      <w:szCs w:val="21"/>
                      <w:u w:val="none"/>
                    </w:rPr>
                  </w:pPr>
                  <w:r>
                    <w:rPr>
                      <w:rFonts w:hint="eastAsia"/>
                      <w:color w:val="auto"/>
                      <w:sz w:val="21"/>
                      <w:szCs w:val="21"/>
                      <w:u w:val="none"/>
                      <w:lang w:val="en-US" w:eastAsia="zh-CN"/>
                    </w:rPr>
                    <w:t>0.0003</w:t>
                  </w:r>
                </w:p>
              </w:tc>
            </w:tr>
            <w:tr w14:paraId="25769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38" w:type="pct"/>
                  <w:shd w:val="clear" w:color="auto" w:fill="auto"/>
                  <w:vAlign w:val="center"/>
                </w:tcPr>
                <w:p w14:paraId="04034AF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硫酸</w:t>
                  </w:r>
                </w:p>
              </w:tc>
              <w:tc>
                <w:tcPr>
                  <w:tcW w:w="938" w:type="pct"/>
                  <w:vAlign w:val="center"/>
                </w:tcPr>
                <w:p w14:paraId="0B0FCDCD">
                  <w:pPr>
                    <w:spacing w:line="240" w:lineRule="auto"/>
                    <w:ind w:firstLine="0" w:firstLineChars="0"/>
                    <w:jc w:val="center"/>
                    <w:rPr>
                      <w:rFonts w:hint="default" w:eastAsia="宋体"/>
                      <w:color w:val="auto"/>
                      <w:sz w:val="21"/>
                      <w:szCs w:val="21"/>
                      <w:u w:val="none"/>
                      <w:lang w:val="en-US" w:eastAsia="zh-CN"/>
                    </w:rPr>
                  </w:pPr>
                  <w:r>
                    <w:rPr>
                      <w:rFonts w:hint="eastAsia"/>
                      <w:color w:val="auto"/>
                      <w:sz w:val="21"/>
                      <w:szCs w:val="21"/>
                      <w:u w:val="none"/>
                      <w:lang w:val="en-US" w:eastAsia="zh-CN"/>
                    </w:rPr>
                    <w:t>8014-95-7</w:t>
                  </w:r>
                </w:p>
              </w:tc>
              <w:tc>
                <w:tcPr>
                  <w:tcW w:w="989" w:type="pct"/>
                  <w:vAlign w:val="center"/>
                </w:tcPr>
                <w:p w14:paraId="74B675F4">
                  <w:pPr>
                    <w:spacing w:line="240" w:lineRule="auto"/>
                    <w:ind w:firstLine="0" w:firstLineChars="0"/>
                    <w:jc w:val="center"/>
                    <w:rPr>
                      <w:color w:val="auto"/>
                      <w:sz w:val="21"/>
                      <w:szCs w:val="21"/>
                      <w:u w:val="none"/>
                    </w:rPr>
                  </w:pPr>
                  <w:r>
                    <w:rPr>
                      <w:rFonts w:hint="eastAsia"/>
                      <w:color w:val="auto"/>
                      <w:sz w:val="21"/>
                      <w:szCs w:val="21"/>
                      <w:u w:val="none"/>
                      <w:lang w:val="en-US" w:eastAsia="zh-CN"/>
                    </w:rPr>
                    <w:t>0.002</w:t>
                  </w:r>
                </w:p>
              </w:tc>
              <w:tc>
                <w:tcPr>
                  <w:tcW w:w="892" w:type="pct"/>
                  <w:vAlign w:val="center"/>
                </w:tcPr>
                <w:p w14:paraId="69B2AA6D">
                  <w:pPr>
                    <w:spacing w:line="240" w:lineRule="auto"/>
                    <w:ind w:firstLine="0" w:firstLineChars="0"/>
                    <w:jc w:val="center"/>
                    <w:rPr>
                      <w:rFonts w:hint="eastAsia" w:eastAsia="宋体"/>
                      <w:color w:val="auto"/>
                      <w:sz w:val="21"/>
                      <w:szCs w:val="21"/>
                      <w:u w:val="none"/>
                      <w:lang w:val="en-US" w:eastAsia="zh-CN"/>
                    </w:rPr>
                  </w:pPr>
                  <w:r>
                    <w:rPr>
                      <w:rFonts w:hint="eastAsia"/>
                      <w:color w:val="auto"/>
                      <w:sz w:val="21"/>
                      <w:szCs w:val="21"/>
                      <w:u w:val="none"/>
                      <w:lang w:val="en-US" w:eastAsia="zh-CN"/>
                    </w:rPr>
                    <w:t>/</w:t>
                  </w:r>
                </w:p>
              </w:tc>
              <w:tc>
                <w:tcPr>
                  <w:tcW w:w="707" w:type="pct"/>
                  <w:vAlign w:val="center"/>
                </w:tcPr>
                <w:p w14:paraId="6633AD40">
                  <w:pPr>
                    <w:spacing w:line="240" w:lineRule="auto"/>
                    <w:ind w:firstLine="0" w:firstLineChars="0"/>
                    <w:jc w:val="center"/>
                    <w:rPr>
                      <w:rFonts w:hint="eastAsia" w:eastAsia="宋体"/>
                      <w:color w:val="auto"/>
                      <w:sz w:val="21"/>
                      <w:szCs w:val="21"/>
                      <w:u w:val="none"/>
                      <w:lang w:val="en-US" w:eastAsia="zh-CN"/>
                    </w:rPr>
                  </w:pPr>
                  <w:r>
                    <w:rPr>
                      <w:rFonts w:hint="eastAsia"/>
                      <w:color w:val="auto"/>
                      <w:sz w:val="21"/>
                      <w:szCs w:val="21"/>
                      <w:u w:val="none"/>
                      <w:lang w:val="en-US" w:eastAsia="zh-CN"/>
                    </w:rPr>
                    <w:t>5</w:t>
                  </w:r>
                </w:p>
              </w:tc>
              <w:tc>
                <w:tcPr>
                  <w:tcW w:w="533" w:type="pct"/>
                  <w:vAlign w:val="center"/>
                </w:tcPr>
                <w:p w14:paraId="107BE2FE">
                  <w:pPr>
                    <w:spacing w:line="240" w:lineRule="auto"/>
                    <w:ind w:firstLine="0" w:firstLineChars="0"/>
                    <w:jc w:val="center"/>
                    <w:rPr>
                      <w:rFonts w:hint="default" w:eastAsia="宋体"/>
                      <w:color w:val="auto"/>
                      <w:sz w:val="21"/>
                      <w:szCs w:val="21"/>
                      <w:u w:val="none"/>
                      <w:lang w:val="en-US" w:eastAsia="zh-CN"/>
                    </w:rPr>
                  </w:pPr>
                  <w:r>
                    <w:rPr>
                      <w:rFonts w:hint="eastAsia"/>
                      <w:color w:val="auto"/>
                      <w:sz w:val="21"/>
                      <w:szCs w:val="21"/>
                      <w:u w:val="none"/>
                      <w:lang w:val="en-US" w:eastAsia="zh-CN"/>
                    </w:rPr>
                    <w:t>0.0004</w:t>
                  </w:r>
                </w:p>
              </w:tc>
            </w:tr>
            <w:tr w14:paraId="73855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38" w:type="pct"/>
                  <w:shd w:val="clear" w:color="auto" w:fill="auto"/>
                  <w:vAlign w:val="center"/>
                </w:tcPr>
                <w:p w14:paraId="33CB7200">
                  <w:pPr>
                    <w:spacing w:line="240" w:lineRule="auto"/>
                    <w:ind w:firstLine="0" w:firstLineChars="0"/>
                    <w:jc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乙醇</w:t>
                  </w:r>
                </w:p>
              </w:tc>
              <w:tc>
                <w:tcPr>
                  <w:tcW w:w="938" w:type="pct"/>
                  <w:vAlign w:val="center"/>
                </w:tcPr>
                <w:p w14:paraId="5A78D137">
                  <w:pPr>
                    <w:spacing w:line="240" w:lineRule="auto"/>
                    <w:ind w:firstLine="0" w:firstLineChars="0"/>
                    <w:jc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64-17-5</w:t>
                  </w:r>
                </w:p>
              </w:tc>
              <w:tc>
                <w:tcPr>
                  <w:tcW w:w="989" w:type="pct"/>
                  <w:vAlign w:val="center"/>
                </w:tcPr>
                <w:p w14:paraId="673953BA">
                  <w:pPr>
                    <w:spacing w:line="240" w:lineRule="auto"/>
                    <w:ind w:firstLine="0" w:firstLineChars="0"/>
                    <w:jc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0.002</w:t>
                  </w:r>
                </w:p>
              </w:tc>
              <w:tc>
                <w:tcPr>
                  <w:tcW w:w="892" w:type="pct"/>
                  <w:vAlign w:val="center"/>
                </w:tcPr>
                <w:p w14:paraId="237743F0">
                  <w:pPr>
                    <w:spacing w:line="240" w:lineRule="auto"/>
                    <w:ind w:firstLine="0" w:firstLineChars="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w:t>
                  </w:r>
                </w:p>
              </w:tc>
              <w:tc>
                <w:tcPr>
                  <w:tcW w:w="707" w:type="pct"/>
                  <w:vAlign w:val="center"/>
                </w:tcPr>
                <w:p w14:paraId="251BC893">
                  <w:pPr>
                    <w:spacing w:line="240" w:lineRule="auto"/>
                    <w:ind w:firstLine="0" w:firstLineChars="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500</w:t>
                  </w:r>
                </w:p>
              </w:tc>
              <w:tc>
                <w:tcPr>
                  <w:tcW w:w="533" w:type="pct"/>
                  <w:vAlign w:val="center"/>
                </w:tcPr>
                <w:p w14:paraId="4DFAA00F">
                  <w:pPr>
                    <w:spacing w:line="240" w:lineRule="auto"/>
                    <w:ind w:firstLine="0" w:firstLineChars="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0.000004</w:t>
                  </w:r>
                </w:p>
              </w:tc>
            </w:tr>
            <w:tr w14:paraId="764E1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38" w:type="pct"/>
                  <w:shd w:val="clear" w:color="auto" w:fill="auto"/>
                  <w:vAlign w:val="center"/>
                </w:tcPr>
                <w:p w14:paraId="63382F89">
                  <w:pPr>
                    <w:spacing w:line="240" w:lineRule="auto"/>
                    <w:ind w:firstLine="0" w:firstLineChars="0"/>
                    <w:jc w:val="center"/>
                    <w:rPr>
                      <w:rFonts w:hint="default" w:ascii="Times New Roman" w:hAnsi="Times New Roman" w:eastAsia="宋体" w:cs="Times New Roman"/>
                      <w:b/>
                      <w:bCs/>
                      <w:color w:val="FF0000"/>
                      <w:sz w:val="21"/>
                      <w:szCs w:val="21"/>
                      <w:u w:val="single"/>
                      <w:lang w:val="en-US" w:eastAsia="zh-CN"/>
                    </w:rPr>
                  </w:pPr>
                  <w:r>
                    <w:rPr>
                      <w:rFonts w:hint="eastAsia" w:cs="Times New Roman"/>
                      <w:b/>
                      <w:bCs/>
                      <w:color w:val="FF0000"/>
                      <w:sz w:val="21"/>
                      <w:szCs w:val="21"/>
                      <w:u w:val="single"/>
                      <w:lang w:val="en-US" w:eastAsia="zh-CN"/>
                    </w:rPr>
                    <w:t>丙酮</w:t>
                  </w:r>
                </w:p>
              </w:tc>
              <w:tc>
                <w:tcPr>
                  <w:tcW w:w="938" w:type="pct"/>
                  <w:vAlign w:val="center"/>
                </w:tcPr>
                <w:p w14:paraId="3A320FF4">
                  <w:pPr>
                    <w:spacing w:line="240" w:lineRule="auto"/>
                    <w:ind w:firstLine="0" w:firstLineChars="0"/>
                    <w:jc w:val="center"/>
                    <w:rPr>
                      <w:rFonts w:hint="eastAsia" w:ascii="Times New Roman" w:hAnsi="Times New Roman" w:eastAsia="宋体" w:cs="Times New Roman"/>
                      <w:b/>
                      <w:bCs/>
                      <w:color w:val="FF0000"/>
                      <w:sz w:val="21"/>
                      <w:szCs w:val="21"/>
                      <w:u w:val="single"/>
                      <w:lang w:val="en-US" w:eastAsia="zh-CN"/>
                    </w:rPr>
                  </w:pPr>
                  <w:r>
                    <w:rPr>
                      <w:rFonts w:hint="eastAsia" w:ascii="Times New Roman" w:hAnsi="Times New Roman" w:eastAsia="宋体" w:cs="Times New Roman"/>
                      <w:b/>
                      <w:bCs/>
                      <w:color w:val="FF0000"/>
                      <w:sz w:val="21"/>
                      <w:szCs w:val="21"/>
                      <w:u w:val="single"/>
                      <w:lang w:val="en-US" w:eastAsia="zh-CN"/>
                    </w:rPr>
                    <w:t>67-64-1</w:t>
                  </w:r>
                </w:p>
              </w:tc>
              <w:tc>
                <w:tcPr>
                  <w:tcW w:w="989" w:type="pct"/>
                  <w:vAlign w:val="center"/>
                </w:tcPr>
                <w:p w14:paraId="3B47E93F">
                  <w:pPr>
                    <w:spacing w:line="240" w:lineRule="auto"/>
                    <w:ind w:firstLine="0" w:firstLineChars="0"/>
                    <w:jc w:val="center"/>
                    <w:rPr>
                      <w:rFonts w:hint="eastAsia" w:ascii="Times New Roman" w:hAnsi="Times New Roman" w:eastAsia="宋体" w:cs="Times New Roman"/>
                      <w:b/>
                      <w:bCs/>
                      <w:color w:val="FF0000"/>
                      <w:sz w:val="21"/>
                      <w:szCs w:val="21"/>
                      <w:u w:val="single"/>
                      <w:lang w:val="en-US" w:eastAsia="zh-CN"/>
                    </w:rPr>
                  </w:pPr>
                  <w:r>
                    <w:rPr>
                      <w:rFonts w:hint="eastAsia" w:ascii="Times New Roman" w:hAnsi="Times New Roman" w:eastAsia="宋体" w:cs="Times New Roman"/>
                      <w:b/>
                      <w:bCs/>
                      <w:color w:val="FF0000"/>
                      <w:sz w:val="21"/>
                      <w:szCs w:val="21"/>
                      <w:u w:val="single"/>
                      <w:lang w:val="en-US" w:eastAsia="zh-CN"/>
                    </w:rPr>
                    <w:t>0.002</w:t>
                  </w:r>
                </w:p>
              </w:tc>
              <w:tc>
                <w:tcPr>
                  <w:tcW w:w="892" w:type="pct"/>
                  <w:vAlign w:val="center"/>
                </w:tcPr>
                <w:p w14:paraId="506B12D0">
                  <w:pPr>
                    <w:spacing w:line="240" w:lineRule="auto"/>
                    <w:ind w:firstLine="0" w:firstLineChars="0"/>
                    <w:jc w:val="center"/>
                    <w:rPr>
                      <w:rFonts w:hint="eastAsia" w:ascii="Times New Roman" w:hAnsi="Times New Roman" w:eastAsia="宋体" w:cs="Times New Roman"/>
                      <w:b/>
                      <w:bCs/>
                      <w:color w:val="FF0000"/>
                      <w:sz w:val="21"/>
                      <w:szCs w:val="21"/>
                      <w:u w:val="single"/>
                      <w:lang w:val="en-US" w:eastAsia="zh-CN"/>
                    </w:rPr>
                  </w:pPr>
                  <w:r>
                    <w:rPr>
                      <w:rFonts w:hint="eastAsia" w:ascii="Times New Roman" w:hAnsi="Times New Roman" w:eastAsia="宋体" w:cs="Times New Roman"/>
                      <w:b/>
                      <w:bCs/>
                      <w:color w:val="FF0000"/>
                      <w:sz w:val="21"/>
                      <w:szCs w:val="21"/>
                      <w:u w:val="single"/>
                      <w:lang w:val="en-US" w:eastAsia="zh-CN"/>
                    </w:rPr>
                    <w:t>/</w:t>
                  </w:r>
                </w:p>
              </w:tc>
              <w:tc>
                <w:tcPr>
                  <w:tcW w:w="707" w:type="pct"/>
                  <w:vAlign w:val="center"/>
                </w:tcPr>
                <w:p w14:paraId="729FAA21">
                  <w:pPr>
                    <w:spacing w:line="240" w:lineRule="auto"/>
                    <w:ind w:firstLine="0" w:firstLineChars="0"/>
                    <w:jc w:val="center"/>
                    <w:rPr>
                      <w:rFonts w:hint="default" w:ascii="Times New Roman" w:hAnsi="Times New Roman" w:eastAsia="宋体" w:cs="Times New Roman"/>
                      <w:b/>
                      <w:bCs/>
                      <w:color w:val="FF0000"/>
                      <w:sz w:val="21"/>
                      <w:szCs w:val="21"/>
                      <w:u w:val="single"/>
                      <w:lang w:val="en-US" w:eastAsia="zh-CN"/>
                    </w:rPr>
                  </w:pPr>
                  <w:r>
                    <w:rPr>
                      <w:rFonts w:hint="eastAsia" w:cs="Times New Roman"/>
                      <w:b/>
                      <w:bCs/>
                      <w:color w:val="FF0000"/>
                      <w:sz w:val="21"/>
                      <w:szCs w:val="21"/>
                      <w:u w:val="single"/>
                      <w:lang w:val="en-US" w:eastAsia="zh-CN"/>
                    </w:rPr>
                    <w:t>10</w:t>
                  </w:r>
                </w:p>
              </w:tc>
              <w:tc>
                <w:tcPr>
                  <w:tcW w:w="533" w:type="pct"/>
                  <w:vAlign w:val="center"/>
                </w:tcPr>
                <w:p w14:paraId="5BD8745D">
                  <w:pPr>
                    <w:spacing w:line="240" w:lineRule="auto"/>
                    <w:ind w:firstLine="0" w:firstLineChars="0"/>
                    <w:jc w:val="center"/>
                    <w:rPr>
                      <w:rFonts w:hint="default" w:ascii="Times New Roman" w:hAnsi="Times New Roman" w:eastAsia="宋体" w:cs="Times New Roman"/>
                      <w:b/>
                      <w:bCs/>
                      <w:color w:val="FF0000"/>
                      <w:sz w:val="21"/>
                      <w:szCs w:val="21"/>
                      <w:u w:val="single"/>
                      <w:lang w:val="en-US" w:eastAsia="zh-CN"/>
                    </w:rPr>
                  </w:pPr>
                  <w:r>
                    <w:rPr>
                      <w:rFonts w:hint="eastAsia" w:cs="Times New Roman"/>
                      <w:b/>
                      <w:bCs/>
                      <w:color w:val="FF0000"/>
                      <w:sz w:val="21"/>
                      <w:szCs w:val="21"/>
                      <w:u w:val="single"/>
                      <w:lang w:val="en-US" w:eastAsia="zh-CN"/>
                    </w:rPr>
                    <w:t>0.0002</w:t>
                  </w:r>
                </w:p>
              </w:tc>
            </w:tr>
            <w:tr w14:paraId="30447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38" w:type="pct"/>
                  <w:shd w:val="clear" w:color="auto" w:fill="auto"/>
                  <w:vAlign w:val="center"/>
                </w:tcPr>
                <w:p w14:paraId="31D5BC65">
                  <w:pPr>
                    <w:spacing w:line="240" w:lineRule="auto"/>
                    <w:ind w:firstLine="0" w:firstLineChars="0"/>
                    <w:jc w:val="center"/>
                    <w:rPr>
                      <w:rFonts w:hint="default" w:ascii="Times New Roman" w:hAnsi="Times New Roman" w:eastAsia="宋体" w:cs="Times New Roman"/>
                      <w:b/>
                      <w:bCs/>
                      <w:color w:val="FF0000"/>
                      <w:sz w:val="21"/>
                      <w:szCs w:val="21"/>
                      <w:u w:val="single"/>
                      <w:lang w:val="en-US" w:eastAsia="zh-CN"/>
                    </w:rPr>
                  </w:pPr>
                  <w:r>
                    <w:rPr>
                      <w:rFonts w:hint="eastAsia" w:cs="Times New Roman"/>
                      <w:b/>
                      <w:bCs/>
                      <w:color w:val="FF0000"/>
                      <w:sz w:val="21"/>
                      <w:szCs w:val="21"/>
                      <w:u w:val="single"/>
                      <w:lang w:val="en-US" w:eastAsia="zh-CN"/>
                    </w:rPr>
                    <w:t>甲醇</w:t>
                  </w:r>
                </w:p>
              </w:tc>
              <w:tc>
                <w:tcPr>
                  <w:tcW w:w="938" w:type="pct"/>
                  <w:vAlign w:val="center"/>
                </w:tcPr>
                <w:p w14:paraId="473FF230">
                  <w:pPr>
                    <w:spacing w:line="240" w:lineRule="auto"/>
                    <w:ind w:firstLine="0" w:firstLineChars="0"/>
                    <w:jc w:val="center"/>
                    <w:rPr>
                      <w:rFonts w:hint="eastAsia" w:ascii="Times New Roman" w:hAnsi="Times New Roman" w:eastAsia="宋体" w:cs="Times New Roman"/>
                      <w:b/>
                      <w:bCs/>
                      <w:color w:val="FF0000"/>
                      <w:sz w:val="21"/>
                      <w:szCs w:val="21"/>
                      <w:u w:val="single"/>
                      <w:lang w:val="en-US" w:eastAsia="zh-CN"/>
                    </w:rPr>
                  </w:pPr>
                  <w:r>
                    <w:rPr>
                      <w:rFonts w:hint="eastAsia" w:ascii="Times New Roman" w:hAnsi="Times New Roman" w:eastAsia="宋体" w:cs="Times New Roman"/>
                      <w:b/>
                      <w:bCs/>
                      <w:color w:val="FF0000"/>
                      <w:sz w:val="21"/>
                      <w:szCs w:val="21"/>
                      <w:u w:val="single"/>
                      <w:lang w:val="en-US" w:eastAsia="zh-CN"/>
                    </w:rPr>
                    <w:t>67-56-1</w:t>
                  </w:r>
                </w:p>
              </w:tc>
              <w:tc>
                <w:tcPr>
                  <w:tcW w:w="989" w:type="pct"/>
                  <w:vAlign w:val="center"/>
                </w:tcPr>
                <w:p w14:paraId="4EDC1D17">
                  <w:pPr>
                    <w:spacing w:line="240" w:lineRule="auto"/>
                    <w:ind w:firstLine="0" w:firstLineChars="0"/>
                    <w:jc w:val="center"/>
                    <w:rPr>
                      <w:rFonts w:hint="eastAsia" w:ascii="Times New Roman" w:hAnsi="Times New Roman" w:eastAsia="宋体" w:cs="Times New Roman"/>
                      <w:b/>
                      <w:bCs/>
                      <w:color w:val="FF0000"/>
                      <w:sz w:val="21"/>
                      <w:szCs w:val="21"/>
                      <w:u w:val="single"/>
                      <w:lang w:val="en-US" w:eastAsia="zh-CN"/>
                    </w:rPr>
                  </w:pPr>
                  <w:r>
                    <w:rPr>
                      <w:rFonts w:hint="eastAsia" w:ascii="Times New Roman" w:hAnsi="Times New Roman" w:eastAsia="宋体" w:cs="Times New Roman"/>
                      <w:b/>
                      <w:bCs/>
                      <w:color w:val="FF0000"/>
                      <w:sz w:val="21"/>
                      <w:szCs w:val="21"/>
                      <w:u w:val="single"/>
                      <w:lang w:val="en-US" w:eastAsia="zh-CN"/>
                    </w:rPr>
                    <w:t>0.002</w:t>
                  </w:r>
                </w:p>
              </w:tc>
              <w:tc>
                <w:tcPr>
                  <w:tcW w:w="892" w:type="pct"/>
                  <w:vAlign w:val="center"/>
                </w:tcPr>
                <w:p w14:paraId="3638EB1E">
                  <w:pPr>
                    <w:spacing w:line="240" w:lineRule="auto"/>
                    <w:ind w:firstLine="0" w:firstLineChars="0"/>
                    <w:jc w:val="center"/>
                    <w:rPr>
                      <w:rFonts w:hint="eastAsia" w:ascii="Times New Roman" w:hAnsi="Times New Roman" w:eastAsia="宋体" w:cs="Times New Roman"/>
                      <w:b/>
                      <w:bCs/>
                      <w:color w:val="FF0000"/>
                      <w:sz w:val="21"/>
                      <w:szCs w:val="21"/>
                      <w:u w:val="single"/>
                      <w:lang w:val="en-US" w:eastAsia="zh-CN"/>
                    </w:rPr>
                  </w:pPr>
                  <w:r>
                    <w:rPr>
                      <w:rFonts w:hint="eastAsia" w:ascii="Times New Roman" w:hAnsi="Times New Roman" w:eastAsia="宋体" w:cs="Times New Roman"/>
                      <w:b/>
                      <w:bCs/>
                      <w:color w:val="FF0000"/>
                      <w:sz w:val="21"/>
                      <w:szCs w:val="21"/>
                      <w:u w:val="single"/>
                      <w:lang w:val="en-US" w:eastAsia="zh-CN"/>
                    </w:rPr>
                    <w:t>/</w:t>
                  </w:r>
                </w:p>
              </w:tc>
              <w:tc>
                <w:tcPr>
                  <w:tcW w:w="707" w:type="pct"/>
                  <w:vAlign w:val="center"/>
                </w:tcPr>
                <w:p w14:paraId="23D92081">
                  <w:pPr>
                    <w:spacing w:line="240" w:lineRule="auto"/>
                    <w:ind w:firstLine="0" w:firstLineChars="0"/>
                    <w:jc w:val="center"/>
                    <w:rPr>
                      <w:rFonts w:hint="default" w:ascii="Times New Roman" w:hAnsi="Times New Roman" w:eastAsia="宋体" w:cs="Times New Roman"/>
                      <w:b/>
                      <w:bCs/>
                      <w:color w:val="FF0000"/>
                      <w:sz w:val="21"/>
                      <w:szCs w:val="21"/>
                      <w:u w:val="single"/>
                      <w:lang w:val="en-US" w:eastAsia="zh-CN"/>
                    </w:rPr>
                  </w:pPr>
                  <w:r>
                    <w:rPr>
                      <w:rFonts w:hint="eastAsia" w:cs="Times New Roman"/>
                      <w:b/>
                      <w:bCs/>
                      <w:color w:val="FF0000"/>
                      <w:sz w:val="21"/>
                      <w:szCs w:val="21"/>
                      <w:u w:val="single"/>
                      <w:lang w:val="en-US" w:eastAsia="zh-CN"/>
                    </w:rPr>
                    <w:t>10</w:t>
                  </w:r>
                </w:p>
              </w:tc>
              <w:tc>
                <w:tcPr>
                  <w:tcW w:w="533" w:type="pct"/>
                  <w:vAlign w:val="center"/>
                </w:tcPr>
                <w:p w14:paraId="627CC020">
                  <w:pPr>
                    <w:spacing w:line="240" w:lineRule="auto"/>
                    <w:ind w:firstLine="0" w:firstLineChars="0"/>
                    <w:jc w:val="center"/>
                    <w:rPr>
                      <w:rFonts w:hint="eastAsia" w:ascii="Times New Roman" w:hAnsi="Times New Roman" w:eastAsia="宋体" w:cs="Times New Roman"/>
                      <w:b/>
                      <w:bCs/>
                      <w:color w:val="FF0000"/>
                      <w:sz w:val="21"/>
                      <w:szCs w:val="21"/>
                      <w:u w:val="single"/>
                      <w:lang w:val="en-US" w:eastAsia="zh-CN"/>
                    </w:rPr>
                  </w:pPr>
                  <w:r>
                    <w:rPr>
                      <w:rFonts w:hint="eastAsia" w:cs="Times New Roman"/>
                      <w:b/>
                      <w:bCs/>
                      <w:color w:val="FF0000"/>
                      <w:sz w:val="21"/>
                      <w:szCs w:val="21"/>
                      <w:u w:val="single"/>
                      <w:lang w:val="en-US" w:eastAsia="zh-CN"/>
                    </w:rPr>
                    <w:t>0.0002</w:t>
                  </w:r>
                </w:p>
              </w:tc>
            </w:tr>
          </w:tbl>
          <w:p w14:paraId="3E9C1C80">
            <w:pPr>
              <w:rPr>
                <w:rFonts w:hint="eastAsia"/>
              </w:rPr>
            </w:pPr>
            <w:r>
              <w:rPr>
                <w:color w:val="auto"/>
                <w:u w:val="none"/>
              </w:rPr>
              <w:t>根据《建设项目环境风险评价技术导则》（HJ 169-2018）附录B</w:t>
            </w:r>
            <w:r>
              <w:rPr>
                <w:rFonts w:hint="eastAsia"/>
                <w:color w:val="auto"/>
                <w:u w:val="none"/>
              </w:rPr>
              <w:t>判定，本项目主要风险物质Q值</w:t>
            </w:r>
            <w:r>
              <w:rPr>
                <w:rFonts w:hint="eastAsia"/>
                <w:color w:val="auto"/>
                <w:u w:val="none"/>
                <w:lang w:val="en-US" w:eastAsia="zh-CN"/>
              </w:rPr>
              <w:t>为0.001304，远远小于1，风险潜势为</w:t>
            </w:r>
            <w:r>
              <w:rPr>
                <w:color w:val="auto"/>
                <w:u w:val="none"/>
              </w:rPr>
              <w:t>Ⅰ</w:t>
            </w:r>
            <w:r>
              <w:rPr>
                <w:rFonts w:hint="eastAsia"/>
                <w:color w:val="auto"/>
                <w:lang w:eastAsia="zh-CN"/>
              </w:rPr>
              <w:t>，</w:t>
            </w:r>
            <w:r>
              <w:rPr>
                <w:rFonts w:hint="eastAsia"/>
              </w:rPr>
              <w:t>根据《建设项目环境风险评价技术导则》（HJ169-2018）评价等级划分原则，确定本次环境风险评价的评价等级为简单分析，对涉及的危险物质、环境影响途径、环境危害后果、风险防范措施等方面给出定性的说明。</w:t>
            </w:r>
          </w:p>
          <w:p w14:paraId="7ACE3A15">
            <w:pPr>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b/>
                <w:bCs/>
                <w:color w:val="auto"/>
                <w:lang w:val="en-US" w:eastAsia="zh-CN"/>
              </w:rPr>
            </w:pPr>
            <w:r>
              <w:rPr>
                <w:rFonts w:hint="eastAsia"/>
                <w:b/>
                <w:bCs/>
                <w:color w:val="auto"/>
                <w:lang w:val="en-US" w:eastAsia="zh-CN"/>
              </w:rPr>
              <w:t>3.环境风险识别</w:t>
            </w:r>
          </w:p>
          <w:p w14:paraId="403CAB0E">
            <w:pPr>
              <w:ind w:firstLine="480"/>
              <w:rPr>
                <w:rFonts w:hint="eastAsia"/>
                <w:color w:val="auto"/>
              </w:rPr>
            </w:pPr>
            <w:r>
              <w:rPr>
                <w:rFonts w:hint="eastAsia"/>
                <w:color w:val="auto"/>
              </w:rPr>
              <w:t>风险识别范围包括生产设施风险识别和生产过程所涉及的物质风险识别。生产设施风险识别主要有生产装置、贮运系统、公用工程系统、工程环保设施及辅助生产设施等；物质风险识别范围主要有原材料及辅助材料、燃料、中间产品、最终产品以及生产过程排放的“三废”污染物等。</w:t>
            </w:r>
          </w:p>
          <w:p w14:paraId="6EC1BA8C">
            <w:pPr>
              <w:ind w:firstLine="480"/>
              <w:rPr>
                <w:rFonts w:hint="eastAsia"/>
                <w:color w:val="auto"/>
              </w:rPr>
            </w:pPr>
            <w:r>
              <w:rPr>
                <w:rFonts w:hint="eastAsia"/>
                <w:color w:val="auto"/>
              </w:rPr>
              <w:t>项目涉及风险物质主要为实验室各种试剂，试剂贮存于综合楼实验用品储藏室。</w:t>
            </w:r>
          </w:p>
          <w:p w14:paraId="73B72F7A">
            <w:pPr>
              <w:ind w:firstLine="480"/>
              <w:rPr>
                <w:rFonts w:hint="eastAsia"/>
                <w:color w:val="auto"/>
              </w:rPr>
            </w:pPr>
            <w:r>
              <w:rPr>
                <w:rFonts w:hint="eastAsia"/>
                <w:color w:val="auto"/>
              </w:rPr>
              <w:t>可能影响环境的途径</w:t>
            </w:r>
            <w:r>
              <w:rPr>
                <w:rFonts w:hint="eastAsia"/>
                <w:color w:val="auto"/>
                <w:lang w:eastAsia="zh-CN"/>
              </w:rPr>
              <w:t>：</w:t>
            </w:r>
            <w:r>
              <w:rPr>
                <w:rFonts w:hint="eastAsia"/>
                <w:color w:val="auto"/>
              </w:rPr>
              <w:t>（1）实验室使用种类繁多的易燃、易爆、有毒化学药品以及有些实验需要在高温、高压、真空或高转速等特殊条件下进行密切相关，操作不慎或稍有疏忽，就可能发生着火、爆炸等事故。</w:t>
            </w:r>
          </w:p>
          <w:p w14:paraId="74E1DD3F">
            <w:pPr>
              <w:ind w:firstLine="480"/>
              <w:rPr>
                <w:rFonts w:hint="eastAsia"/>
                <w:color w:val="auto"/>
              </w:rPr>
            </w:pPr>
            <w:r>
              <w:rPr>
                <w:rFonts w:hint="eastAsia"/>
                <w:color w:val="auto"/>
              </w:rPr>
              <w:t>（2）中药材储存过程中由于管理不善导致的火灾事故。</w:t>
            </w:r>
          </w:p>
          <w:p w14:paraId="0AA10D43">
            <w:pPr>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eastAsia="宋体" w:cs="Times New Roman"/>
                <w:b/>
                <w:bCs/>
                <w:color w:val="auto"/>
                <w:lang w:val="en-US" w:eastAsia="zh-CN"/>
              </w:rPr>
            </w:pPr>
            <w:r>
              <w:rPr>
                <w:rFonts w:hint="eastAsia" w:cs="Times New Roman"/>
                <w:b/>
                <w:bCs/>
                <w:color w:val="auto"/>
                <w:lang w:val="en-US" w:eastAsia="zh-CN"/>
              </w:rPr>
              <w:t>4</w:t>
            </w:r>
            <w:r>
              <w:rPr>
                <w:rFonts w:hint="eastAsia" w:ascii="Times New Roman" w:hAnsi="Times New Roman" w:eastAsia="宋体" w:cs="Times New Roman"/>
                <w:b/>
                <w:bCs/>
                <w:color w:val="auto"/>
                <w:lang w:val="en-US" w:eastAsia="zh-CN"/>
              </w:rPr>
              <w:t>.环境风险分析</w:t>
            </w:r>
          </w:p>
          <w:p w14:paraId="3EE0479F">
            <w:pPr>
              <w:ind w:firstLine="480"/>
              <w:rPr>
                <w:rFonts w:hint="eastAsia"/>
                <w:color w:val="auto"/>
              </w:rPr>
            </w:pPr>
            <w:r>
              <w:rPr>
                <w:rFonts w:hint="eastAsia"/>
                <w:color w:val="auto"/>
              </w:rPr>
              <w:t>实验室风险主要为化学试剂瓶罐破裂，化学试剂发生泄漏，进而对操作人员带来毒性、腐蚀性等不利影响。由于化学试剂瓶罐均在项目实验室内部，项目针对化学试剂制定严格的安全操作管理规定，最大限度地杜绝化学试剂瓶罐破裂泄漏现象的发生，不会对项目外环境带来显著不利影响。根据统计结果显示，实验室安全事故的主要类型有火灾、爆炸和其他事故等。风险事故发生的原因主要如下：</w:t>
            </w:r>
          </w:p>
          <w:p w14:paraId="641BE787">
            <w:pPr>
              <w:ind w:firstLine="480"/>
              <w:rPr>
                <w:rFonts w:hint="eastAsia"/>
                <w:color w:val="auto"/>
              </w:rPr>
            </w:pPr>
            <w:r>
              <w:rPr>
                <w:rFonts w:hint="eastAsia"/>
                <w:color w:val="auto"/>
              </w:rPr>
              <w:t>（1）因违反操作规程或误操作引发的事故最多，占事故总起数的27%；</w:t>
            </w:r>
          </w:p>
          <w:p w14:paraId="32D36A99">
            <w:pPr>
              <w:ind w:firstLine="480"/>
              <w:rPr>
                <w:rFonts w:hint="eastAsia"/>
                <w:color w:val="auto"/>
              </w:rPr>
            </w:pPr>
            <w:r>
              <w:rPr>
                <w:rFonts w:hint="eastAsia"/>
                <w:color w:val="auto"/>
              </w:rPr>
              <w:t>（2）设备老化其次，占事故总数的15%；</w:t>
            </w:r>
          </w:p>
          <w:p w14:paraId="3B75129D">
            <w:pPr>
              <w:ind w:firstLine="480"/>
              <w:rPr>
                <w:rFonts w:hint="eastAsia"/>
                <w:color w:val="auto"/>
              </w:rPr>
            </w:pPr>
            <w:r>
              <w:rPr>
                <w:rFonts w:hint="eastAsia"/>
                <w:color w:val="auto"/>
              </w:rPr>
              <w:t>（3）故障或缺陷，占事故总数的14%；</w:t>
            </w:r>
          </w:p>
          <w:p w14:paraId="5390B9DE">
            <w:pPr>
              <w:ind w:firstLine="480"/>
              <w:rPr>
                <w:rFonts w:hint="eastAsia"/>
                <w:color w:val="auto"/>
              </w:rPr>
            </w:pPr>
            <w:r>
              <w:rPr>
                <w:rFonts w:hint="eastAsia"/>
                <w:color w:val="auto"/>
              </w:rPr>
              <w:t>（4）线路老化或短路，占事故总数的12%。</w:t>
            </w:r>
          </w:p>
          <w:p w14:paraId="78946F79">
            <w:pPr>
              <w:ind w:firstLine="480"/>
              <w:rPr>
                <w:rFonts w:hint="eastAsia"/>
                <w:color w:val="auto"/>
              </w:rPr>
            </w:pPr>
            <w:r>
              <w:rPr>
                <w:rFonts w:hint="eastAsia"/>
                <w:color w:val="auto"/>
              </w:rPr>
              <w:t>火灾发生原因有：</w:t>
            </w:r>
          </w:p>
          <w:p w14:paraId="01ABD593">
            <w:pPr>
              <w:ind w:firstLine="480"/>
              <w:rPr>
                <w:rFonts w:hint="eastAsia"/>
                <w:color w:val="auto"/>
              </w:rPr>
            </w:pPr>
            <w:r>
              <w:rPr>
                <w:rFonts w:hint="eastAsia"/>
                <w:color w:val="auto"/>
              </w:rPr>
              <w:t>①点燃的酒精灯碰翻或酒精喷灯使用不当。</w:t>
            </w:r>
          </w:p>
          <w:p w14:paraId="2931E201">
            <w:pPr>
              <w:ind w:firstLine="480"/>
              <w:rPr>
                <w:rFonts w:hint="eastAsia"/>
                <w:color w:val="auto"/>
              </w:rPr>
            </w:pPr>
            <w:r>
              <w:rPr>
                <w:rFonts w:hint="eastAsia"/>
                <w:color w:val="auto"/>
              </w:rPr>
              <w:t>②可燃物质如酒精等因接触火焰或处在较高温度下着火燃烧。</w:t>
            </w:r>
          </w:p>
          <w:p w14:paraId="38C7974B">
            <w:pPr>
              <w:ind w:firstLine="480"/>
              <w:rPr>
                <w:rFonts w:hint="eastAsia"/>
                <w:color w:val="auto"/>
              </w:rPr>
            </w:pPr>
            <w:r>
              <w:rPr>
                <w:rFonts w:hint="eastAsia"/>
                <w:color w:val="auto"/>
              </w:rPr>
              <w:t>③化学反应引起的燃烧或爆炸。</w:t>
            </w:r>
          </w:p>
          <w:p w14:paraId="6BF41CC4">
            <w:pPr>
              <w:ind w:firstLine="480"/>
              <w:rPr>
                <w:rFonts w:hint="eastAsia"/>
                <w:color w:val="auto"/>
              </w:rPr>
            </w:pPr>
            <w:r>
              <w:rPr>
                <w:rFonts w:hint="eastAsia"/>
                <w:color w:val="auto"/>
              </w:rPr>
              <w:t>爆炸发生原因有：</w:t>
            </w:r>
          </w:p>
          <w:p w14:paraId="10D82F87">
            <w:pPr>
              <w:ind w:firstLine="480"/>
              <w:rPr>
                <w:rFonts w:hint="eastAsia"/>
                <w:color w:val="auto"/>
              </w:rPr>
            </w:pPr>
            <w:r>
              <w:rPr>
                <w:rFonts w:hint="eastAsia"/>
                <w:color w:val="auto"/>
              </w:rPr>
              <w:t>①仪器装置错误，在加热过程中形成密闭系统，或操作大意，冷水流入灼热的容器。</w:t>
            </w:r>
          </w:p>
          <w:p w14:paraId="139D8329">
            <w:pPr>
              <w:ind w:firstLine="480"/>
              <w:rPr>
                <w:rFonts w:hint="eastAsia"/>
                <w:color w:val="auto"/>
              </w:rPr>
            </w:pPr>
            <w:r>
              <w:rPr>
                <w:rFonts w:hint="eastAsia"/>
                <w:color w:val="auto"/>
              </w:rPr>
              <w:t>②气体通路发生堵塞故障。</w:t>
            </w:r>
          </w:p>
          <w:p w14:paraId="7E7DB705">
            <w:pPr>
              <w:ind w:firstLine="480"/>
              <w:rPr>
                <w:rFonts w:hint="eastAsia"/>
                <w:color w:val="auto"/>
              </w:rPr>
            </w:pPr>
            <w:r>
              <w:rPr>
                <w:rFonts w:hint="eastAsia"/>
                <w:color w:val="auto"/>
              </w:rPr>
              <w:t>③在密闭容器里加热易挥发的有机试剂。</w:t>
            </w:r>
          </w:p>
          <w:p w14:paraId="630640B3">
            <w:pPr>
              <w:ind w:firstLine="480"/>
              <w:rPr>
                <w:rFonts w:hint="eastAsia"/>
                <w:color w:val="auto"/>
              </w:rPr>
            </w:pPr>
            <w:r>
              <w:rPr>
                <w:rFonts w:hint="eastAsia"/>
                <w:color w:val="auto"/>
              </w:rPr>
              <w:t>④减压试验时使用薄壁玻璃容器，或造成压力突变。</w:t>
            </w:r>
          </w:p>
          <w:p w14:paraId="024A36DD">
            <w:pPr>
              <w:ind w:firstLine="480"/>
              <w:rPr>
                <w:rFonts w:hint="eastAsia"/>
                <w:color w:val="auto"/>
              </w:rPr>
            </w:pPr>
            <w:r>
              <w:rPr>
                <w:rFonts w:hint="eastAsia"/>
                <w:color w:val="auto"/>
              </w:rPr>
              <w:t>为预防和减少实验室安全事故的对策，实验室应当建立健全安全管理制度，如“危险化学品安全管理办法”、“岗位安全责任制度”、“特种仪器设备使用、维修及保养管理规定”、“压力气瓶安全使用管理规定”、“剧毒品管理办法”和“危险化学品废弃物处理规定”等；加大实验室建设和投入力度，完善实验室建筑的功能设计、保证安全设施的投入，消防设施要符合防火、防爆的要求；加强实验室安全教育；重视和加强化学实验室废弃物的处理。</w:t>
            </w:r>
          </w:p>
          <w:p w14:paraId="6E5079F2">
            <w:pPr>
              <w:ind w:firstLine="480"/>
              <w:rPr>
                <w:rFonts w:hint="eastAsia"/>
                <w:color w:val="auto"/>
              </w:rPr>
            </w:pPr>
            <w:r>
              <w:rPr>
                <w:rFonts w:hint="eastAsia"/>
                <w:color w:val="auto"/>
              </w:rPr>
              <w:t>中药材储存过程中若火灾事故发生，在应急救援中，会在事故现场喷射大量的消防水等进行灭火，消防用水在短时间内会大量漫流，如果没有做好事故应急防范措施，则会影响周边环境，消防废水会进入附近水体或土壤，对局部水体、土壤造成污染，甚至通过土壤下渗，破坏地下水环境。同时项目在泄露、火灾等事故应急救援中可能会产生大量的废灭火剂、拦截、堵漏材料，均可能掺杂一定的有毒有害物质，若事故排放后随意丢弃、排放，将对环境产生二次污染。</w:t>
            </w:r>
          </w:p>
          <w:p w14:paraId="13A24F30">
            <w:pPr>
              <w:keepNext w:val="0"/>
              <w:keepLines w:val="0"/>
              <w:pageBreakBefore w:val="0"/>
              <w:widowControl w:val="0"/>
              <w:kinsoku/>
              <w:wordWrap w:val="0"/>
              <w:overflowPunct/>
              <w:topLinePunct w:val="0"/>
              <w:autoSpaceDE/>
              <w:autoSpaceDN/>
              <w:bidi w:val="0"/>
              <w:adjustRightInd/>
              <w:snapToGrid/>
              <w:ind w:firstLine="0" w:firstLineChars="0"/>
              <w:textAlignment w:val="auto"/>
              <w:rPr>
                <w:rFonts w:hint="eastAsia" w:ascii="Times New Roman" w:hAnsi="Times New Roman" w:eastAsia="宋体" w:cs="Times New Roman"/>
                <w:b/>
                <w:bCs/>
                <w:color w:val="auto"/>
                <w:lang w:val="en-US" w:eastAsia="zh-CN"/>
              </w:rPr>
            </w:pPr>
            <w:r>
              <w:rPr>
                <w:rFonts w:hint="eastAsia" w:cs="Times New Roman"/>
                <w:b/>
                <w:bCs/>
                <w:color w:val="auto"/>
                <w:lang w:val="en-US" w:eastAsia="zh-CN"/>
              </w:rPr>
              <w:t>5.</w:t>
            </w:r>
            <w:r>
              <w:rPr>
                <w:rFonts w:hint="eastAsia" w:ascii="Times New Roman" w:hAnsi="Times New Roman" w:eastAsia="宋体" w:cs="Times New Roman"/>
                <w:b/>
                <w:bCs/>
                <w:color w:val="auto"/>
                <w:lang w:val="en-US" w:eastAsia="zh-CN"/>
              </w:rPr>
              <w:t>环境风险防范措施及应急要求</w:t>
            </w:r>
          </w:p>
          <w:p w14:paraId="3FE05BB3">
            <w:pPr>
              <w:ind w:firstLine="480"/>
              <w:rPr>
                <w:rFonts w:hint="eastAsia"/>
                <w:color w:val="auto"/>
              </w:rPr>
            </w:pPr>
            <w:r>
              <w:rPr>
                <w:rFonts w:hint="eastAsia"/>
                <w:color w:val="auto"/>
              </w:rPr>
              <w:t>（1）风险防范</w:t>
            </w:r>
          </w:p>
          <w:p w14:paraId="63915C80">
            <w:pPr>
              <w:ind w:firstLine="480"/>
              <w:rPr>
                <w:rFonts w:hint="eastAsia"/>
                <w:color w:val="auto"/>
              </w:rPr>
            </w:pPr>
            <w:r>
              <w:rPr>
                <w:rFonts w:hint="eastAsia"/>
                <w:color w:val="auto"/>
              </w:rPr>
              <w:t>a.企业必须严格执行《化学危险物品安全管理条例》及其实施细则等法规、制度和标准，并建立化学危险物品管理制度。</w:t>
            </w:r>
          </w:p>
          <w:p w14:paraId="727BB1AE">
            <w:pPr>
              <w:ind w:firstLine="480"/>
              <w:rPr>
                <w:rFonts w:hint="eastAsia"/>
                <w:color w:val="auto"/>
              </w:rPr>
            </w:pPr>
            <w:r>
              <w:rPr>
                <w:rFonts w:hint="eastAsia"/>
                <w:color w:val="auto"/>
              </w:rPr>
              <w:t>b.危险物品的运输必须严格执行《危险货物运输规则》和《汽车危险货物运输规则》中的有关规定。</w:t>
            </w:r>
          </w:p>
          <w:p w14:paraId="706B35C1">
            <w:pPr>
              <w:ind w:firstLine="480"/>
              <w:rPr>
                <w:rFonts w:hint="eastAsia"/>
                <w:color w:val="auto"/>
              </w:rPr>
            </w:pPr>
            <w:r>
              <w:rPr>
                <w:rFonts w:hint="eastAsia"/>
                <w:color w:val="auto"/>
              </w:rPr>
              <w:t>c.储存安全防范措施，本项目涉及到的乙醇、高锰酸钾等于甲类火灾危险化学品，由于存储量很少，可不设单独库房，但应该远离火种、热源，避免接触高温物体，保持容器密封。</w:t>
            </w:r>
          </w:p>
          <w:p w14:paraId="5DB0D6CE">
            <w:pPr>
              <w:ind w:firstLine="480"/>
              <w:rPr>
                <w:rFonts w:hint="eastAsia"/>
                <w:color w:val="auto"/>
              </w:rPr>
            </w:pPr>
            <w:r>
              <w:rPr>
                <w:rFonts w:hint="eastAsia"/>
                <w:color w:val="auto"/>
              </w:rPr>
              <w:t>d.应加强安全消防设施的检查及管理，保证其处于即用状态。</w:t>
            </w:r>
          </w:p>
          <w:p w14:paraId="44AF1586">
            <w:pPr>
              <w:ind w:firstLine="480"/>
              <w:rPr>
                <w:rFonts w:hint="eastAsia"/>
                <w:color w:val="auto"/>
              </w:rPr>
            </w:pPr>
            <w:r>
              <w:rPr>
                <w:rFonts w:hint="eastAsia"/>
                <w:color w:val="auto"/>
              </w:rPr>
              <w:t>e.强化安全生产管理，应制定岗位责任制，严格遵守操作规程。</w:t>
            </w:r>
          </w:p>
          <w:p w14:paraId="2D03ED75">
            <w:pPr>
              <w:ind w:firstLine="480"/>
              <w:rPr>
                <w:rFonts w:hint="eastAsia"/>
                <w:color w:val="auto"/>
              </w:rPr>
            </w:pPr>
            <w:r>
              <w:rPr>
                <w:rFonts w:hint="eastAsia"/>
                <w:color w:val="auto"/>
              </w:rPr>
              <w:t>f.实验室设置自动喷水灭火系统及气体灭火系统。根据防火分区和报警阀携带的最大喷头数，配置水力报警系统，水力报警阀就近设置在各保护场所。每层设置一定数量的MF/ABC型（5kg）干粉灭火器，实验室每间需设置一个MF/ABC型（5kg）干粉灭火器。</w:t>
            </w:r>
          </w:p>
          <w:p w14:paraId="075D6884">
            <w:pPr>
              <w:ind w:firstLine="480"/>
              <w:rPr>
                <w:rFonts w:hint="eastAsia"/>
                <w:b/>
                <w:bCs/>
                <w:color w:val="auto"/>
                <w:u w:val="single"/>
              </w:rPr>
            </w:pPr>
            <w:r>
              <w:rPr>
                <w:rFonts w:hint="eastAsia"/>
                <w:b/>
                <w:bCs/>
                <w:color w:val="auto"/>
                <w:u w:val="single"/>
              </w:rPr>
              <w:t>g.</w:t>
            </w:r>
            <w:r>
              <w:rPr>
                <w:rFonts w:hint="eastAsia"/>
                <w:b/>
                <w:bCs/>
                <w:color w:val="auto"/>
                <w:u w:val="single"/>
                <w:lang w:val="en-US" w:eastAsia="zh-CN"/>
              </w:rPr>
              <w:t>设置</w:t>
            </w:r>
            <w:r>
              <w:rPr>
                <w:rFonts w:hint="eastAsia"/>
                <w:b/>
                <w:bCs/>
                <w:color w:val="auto"/>
                <w:u w:val="single"/>
              </w:rPr>
              <w:t>事故池</w:t>
            </w:r>
            <w:r>
              <w:rPr>
                <w:rFonts w:hint="eastAsia"/>
                <w:b/>
                <w:bCs/>
                <w:color w:val="auto"/>
                <w:u w:val="single"/>
                <w:lang w:eastAsia="zh-CN"/>
              </w:rPr>
              <w:t>：</w:t>
            </w:r>
            <w:r>
              <w:rPr>
                <w:rFonts w:hint="eastAsia"/>
                <w:b/>
                <w:bCs/>
                <w:color w:val="auto"/>
                <w:u w:val="single"/>
              </w:rPr>
              <w:t>事故情况下一旦物料及其消防水外泄，将很容易渗入地下，造成地下水体污染，进而也可能对地表水水质产生影响；因此应对地面进行硬化，并对其设置围堰及导流系统等措施，以防止事故情况下排污、排水造成的泄漏，从而通过地表下渗至地下，对地下水造成污染。</w:t>
            </w:r>
          </w:p>
          <w:p w14:paraId="22144E47">
            <w:pPr>
              <w:pStyle w:val="19"/>
              <w:keepNext w:val="0"/>
              <w:keepLines w:val="0"/>
              <w:pageBreakBefore w:val="0"/>
              <w:widowControl w:val="0"/>
              <w:kinsoku/>
              <w:wordWrap w:val="0"/>
              <w:overflowPunct/>
              <w:topLinePunct w:val="0"/>
              <w:autoSpaceDE/>
              <w:autoSpaceDN/>
              <w:bidi w:val="0"/>
              <w:adjustRightInd/>
              <w:snapToGrid/>
              <w:spacing w:after="0"/>
              <w:ind w:left="0" w:leftChars="0"/>
              <w:textAlignment w:val="auto"/>
              <w:rPr>
                <w:rFonts w:hint="eastAsia" w:ascii="Times New Roman" w:hAnsi="Times New Roman" w:eastAsia="宋体" w:cs="Times New Roman"/>
                <w:b/>
                <w:bCs/>
                <w:color w:val="auto"/>
                <w:u w:val="single"/>
              </w:rPr>
            </w:pPr>
            <w:r>
              <w:rPr>
                <w:rFonts w:hint="eastAsia"/>
                <w:b/>
                <w:bCs/>
                <w:color w:val="auto"/>
                <w:u w:val="single"/>
              </w:rPr>
              <w:t>建设单位应建设一定容量的事故池，以接纳事故情况下排放的污水，保证事故情况下不向外环境排放污水。在事故结束之后，将事故池中的污水在保证不会导致污</w:t>
            </w:r>
            <w:r>
              <w:rPr>
                <w:rFonts w:hint="eastAsia" w:ascii="Times New Roman" w:hAnsi="Times New Roman" w:eastAsia="宋体" w:cs="Times New Roman"/>
                <w:b/>
                <w:bCs/>
                <w:color w:val="auto"/>
                <w:u w:val="single"/>
              </w:rPr>
              <w:t>水站负荷过载的情况下将污水逐步排入污水处理站进行处理。事故应急池设为地下式，便于废水自流入，并保持日常处于空置状态。</w:t>
            </w:r>
          </w:p>
          <w:p w14:paraId="5166A25B">
            <w:pPr>
              <w:pStyle w:val="19"/>
              <w:keepNext w:val="0"/>
              <w:keepLines w:val="0"/>
              <w:pageBreakBefore w:val="0"/>
              <w:widowControl w:val="0"/>
              <w:kinsoku/>
              <w:wordWrap w:val="0"/>
              <w:overflowPunct/>
              <w:topLinePunct w:val="0"/>
              <w:autoSpaceDE/>
              <w:autoSpaceDN/>
              <w:bidi w:val="0"/>
              <w:adjustRightInd/>
              <w:snapToGrid/>
              <w:spacing w:after="0"/>
              <w:ind w:left="0" w:leftChars="0"/>
              <w:textAlignment w:val="auto"/>
              <w:rPr>
                <w:rFonts w:hint="eastAsia"/>
                <w:b/>
                <w:bCs/>
                <w:color w:val="auto"/>
                <w:u w:val="single"/>
              </w:rPr>
            </w:pPr>
            <w:r>
              <w:rPr>
                <w:rFonts w:hint="eastAsia"/>
                <w:b/>
                <w:bCs/>
                <w:color w:val="auto"/>
                <w:u w:val="single"/>
                <w:lang w:val="en-US" w:eastAsia="zh-CN"/>
              </w:rPr>
              <w:t>参照《石油化工企业设计防火规范》（GB50160-2008）及中石油《事故状态下水体污染的预防与控制要求》（Q/SY1190-2013）中事故缓冲设施有效总容积进行计算</w:t>
            </w:r>
            <w:r>
              <w:rPr>
                <w:rFonts w:hint="eastAsia"/>
                <w:b/>
                <w:bCs/>
                <w:color w:val="auto"/>
                <w:u w:val="single"/>
                <w:lang w:eastAsia="zh-CN"/>
              </w:rPr>
              <w:t>，</w:t>
            </w:r>
            <w:r>
              <w:rPr>
                <w:rFonts w:hint="eastAsia"/>
                <w:b/>
                <w:bCs/>
                <w:color w:val="auto"/>
                <w:u w:val="single"/>
              </w:rPr>
              <w:t>应急事故废水最大量的确定采用公式法计算，具体算法如下：</w:t>
            </w:r>
          </w:p>
          <w:p w14:paraId="5E938433">
            <w:pPr>
              <w:pStyle w:val="19"/>
              <w:keepNext w:val="0"/>
              <w:keepLines w:val="0"/>
              <w:pageBreakBefore w:val="0"/>
              <w:widowControl w:val="0"/>
              <w:kinsoku/>
              <w:wordWrap w:val="0"/>
              <w:overflowPunct/>
              <w:topLinePunct w:val="0"/>
              <w:autoSpaceDE/>
              <w:autoSpaceDN/>
              <w:bidi w:val="0"/>
              <w:adjustRightInd/>
              <w:snapToGrid/>
              <w:spacing w:after="0"/>
              <w:ind w:left="0" w:leftChars="0"/>
              <w:jc w:val="center"/>
              <w:textAlignment w:val="auto"/>
              <w:rPr>
                <w:rFonts w:hint="default" w:eastAsia="宋体"/>
                <w:b/>
                <w:bCs/>
                <w:color w:val="auto"/>
                <w:u w:val="single"/>
                <w:lang w:val="en-US" w:eastAsia="zh-CN"/>
              </w:rPr>
            </w:pPr>
            <w:r>
              <w:rPr>
                <w:rFonts w:hint="eastAsia"/>
                <w:b/>
                <w:bCs/>
                <w:color w:val="auto"/>
                <w:u w:val="single"/>
              </w:rPr>
              <w:t>V</w:t>
            </w:r>
            <w:r>
              <w:rPr>
                <w:rFonts w:hint="eastAsia"/>
                <w:b/>
                <w:bCs/>
                <w:color w:val="auto"/>
                <w:u w:val="single"/>
                <w:vertAlign w:val="subscript"/>
              </w:rPr>
              <w:t>总</w:t>
            </w:r>
            <w:r>
              <w:rPr>
                <w:rFonts w:hint="eastAsia"/>
                <w:b/>
                <w:bCs/>
                <w:color w:val="auto"/>
                <w:u w:val="single"/>
              </w:rPr>
              <w:t>＝（V</w:t>
            </w:r>
            <w:r>
              <w:rPr>
                <w:rFonts w:hint="eastAsia"/>
                <w:b/>
                <w:bCs/>
                <w:color w:val="auto"/>
                <w:u w:val="single"/>
                <w:vertAlign w:val="subscript"/>
              </w:rPr>
              <w:t>1</w:t>
            </w:r>
            <w:r>
              <w:rPr>
                <w:rFonts w:hint="eastAsia"/>
                <w:b/>
                <w:bCs/>
                <w:color w:val="auto"/>
                <w:u w:val="single"/>
              </w:rPr>
              <w:t>＋V</w:t>
            </w:r>
            <w:r>
              <w:rPr>
                <w:rFonts w:hint="eastAsia"/>
                <w:b/>
                <w:bCs/>
                <w:color w:val="auto"/>
                <w:u w:val="single"/>
                <w:vertAlign w:val="subscript"/>
              </w:rPr>
              <w:t>2</w:t>
            </w:r>
            <w:r>
              <w:rPr>
                <w:rFonts w:hint="eastAsia"/>
                <w:b/>
                <w:bCs/>
                <w:color w:val="auto"/>
                <w:u w:val="single"/>
              </w:rPr>
              <w:t>-V</w:t>
            </w:r>
            <w:r>
              <w:rPr>
                <w:rFonts w:hint="eastAsia"/>
                <w:b/>
                <w:bCs/>
                <w:color w:val="auto"/>
                <w:u w:val="single"/>
                <w:vertAlign w:val="subscript"/>
              </w:rPr>
              <w:t>3</w:t>
            </w:r>
            <w:r>
              <w:rPr>
                <w:rFonts w:hint="eastAsia"/>
                <w:b/>
                <w:bCs/>
                <w:color w:val="auto"/>
                <w:u w:val="single"/>
              </w:rPr>
              <w:t>）max＋V</w:t>
            </w:r>
            <w:r>
              <w:rPr>
                <w:rFonts w:hint="eastAsia"/>
                <w:b/>
                <w:bCs/>
                <w:color w:val="auto"/>
                <w:u w:val="single"/>
                <w:vertAlign w:val="subscript"/>
              </w:rPr>
              <w:t>4</w:t>
            </w:r>
            <w:r>
              <w:rPr>
                <w:rFonts w:hint="eastAsia"/>
                <w:b/>
                <w:bCs/>
                <w:color w:val="auto"/>
                <w:u w:val="single"/>
              </w:rPr>
              <w:t>＋</w:t>
            </w:r>
            <w:r>
              <w:rPr>
                <w:rFonts w:hint="eastAsia"/>
                <w:b/>
                <w:bCs/>
                <w:color w:val="auto"/>
                <w:u w:val="single"/>
                <w:lang w:val="en-US" w:eastAsia="zh-CN"/>
              </w:rPr>
              <w:t>V</w:t>
            </w:r>
            <w:r>
              <w:rPr>
                <w:rFonts w:hint="eastAsia"/>
                <w:b/>
                <w:bCs/>
                <w:color w:val="auto"/>
                <w:u w:val="single"/>
                <w:vertAlign w:val="subscript"/>
                <w:lang w:val="en-US" w:eastAsia="zh-CN"/>
              </w:rPr>
              <w:t>5</w:t>
            </w:r>
          </w:p>
          <w:p w14:paraId="7075402F">
            <w:pPr>
              <w:pStyle w:val="19"/>
              <w:keepNext w:val="0"/>
              <w:keepLines w:val="0"/>
              <w:pageBreakBefore w:val="0"/>
              <w:widowControl w:val="0"/>
              <w:kinsoku/>
              <w:wordWrap w:val="0"/>
              <w:overflowPunct/>
              <w:topLinePunct w:val="0"/>
              <w:autoSpaceDE/>
              <w:autoSpaceDN/>
              <w:bidi w:val="0"/>
              <w:adjustRightInd/>
              <w:snapToGrid/>
              <w:spacing w:after="0"/>
              <w:ind w:left="0" w:leftChars="0"/>
              <w:textAlignment w:val="auto"/>
              <w:rPr>
                <w:rFonts w:hint="eastAsia"/>
                <w:b/>
                <w:bCs/>
                <w:color w:val="auto"/>
                <w:sz w:val="18"/>
                <w:szCs w:val="18"/>
                <w:u w:val="single"/>
              </w:rPr>
            </w:pPr>
            <w:r>
              <w:rPr>
                <w:rFonts w:hint="eastAsia"/>
                <w:b/>
                <w:bCs/>
                <w:color w:val="auto"/>
                <w:sz w:val="18"/>
                <w:szCs w:val="18"/>
                <w:u w:val="single"/>
              </w:rPr>
              <w:t>注：（V</w:t>
            </w:r>
            <w:r>
              <w:rPr>
                <w:rFonts w:hint="eastAsia"/>
                <w:b/>
                <w:bCs/>
                <w:color w:val="auto"/>
                <w:sz w:val="18"/>
                <w:szCs w:val="18"/>
                <w:u w:val="single"/>
                <w:vertAlign w:val="subscript"/>
              </w:rPr>
              <w:t>1</w:t>
            </w:r>
            <w:r>
              <w:rPr>
                <w:rFonts w:hint="eastAsia"/>
                <w:b/>
                <w:bCs/>
                <w:color w:val="auto"/>
                <w:sz w:val="18"/>
                <w:szCs w:val="18"/>
                <w:u w:val="single"/>
              </w:rPr>
              <w:t>＋V</w:t>
            </w:r>
            <w:r>
              <w:rPr>
                <w:rFonts w:hint="eastAsia"/>
                <w:b/>
                <w:bCs/>
                <w:color w:val="auto"/>
                <w:sz w:val="18"/>
                <w:szCs w:val="18"/>
                <w:u w:val="single"/>
                <w:vertAlign w:val="subscript"/>
              </w:rPr>
              <w:t>2</w:t>
            </w:r>
            <w:r>
              <w:rPr>
                <w:rFonts w:hint="eastAsia"/>
                <w:b/>
                <w:bCs/>
                <w:color w:val="auto"/>
                <w:sz w:val="18"/>
                <w:szCs w:val="18"/>
                <w:u w:val="single"/>
              </w:rPr>
              <w:t>-V3）max是指对收集系统范围内不同罐组或装置分别计算V</w:t>
            </w:r>
            <w:r>
              <w:rPr>
                <w:rFonts w:hint="eastAsia"/>
                <w:b/>
                <w:bCs/>
                <w:color w:val="auto"/>
                <w:sz w:val="18"/>
                <w:szCs w:val="18"/>
                <w:u w:val="single"/>
                <w:vertAlign w:val="subscript"/>
              </w:rPr>
              <w:t>1</w:t>
            </w:r>
            <w:r>
              <w:rPr>
                <w:rFonts w:hint="eastAsia"/>
                <w:b/>
                <w:bCs/>
                <w:color w:val="auto"/>
                <w:sz w:val="18"/>
                <w:szCs w:val="18"/>
                <w:u w:val="single"/>
              </w:rPr>
              <w:t>＋V</w:t>
            </w:r>
            <w:r>
              <w:rPr>
                <w:rFonts w:hint="eastAsia"/>
                <w:b/>
                <w:bCs/>
                <w:color w:val="auto"/>
                <w:sz w:val="18"/>
                <w:szCs w:val="18"/>
                <w:u w:val="single"/>
                <w:vertAlign w:val="subscript"/>
              </w:rPr>
              <w:t>2</w:t>
            </w:r>
            <w:r>
              <w:rPr>
                <w:rFonts w:hint="eastAsia"/>
                <w:b/>
                <w:bCs/>
                <w:color w:val="auto"/>
                <w:sz w:val="18"/>
                <w:szCs w:val="18"/>
                <w:u w:val="single"/>
              </w:rPr>
              <w:t>-V3，取其中最大值；</w:t>
            </w:r>
          </w:p>
          <w:p w14:paraId="547F582A">
            <w:pPr>
              <w:pStyle w:val="19"/>
              <w:keepNext w:val="0"/>
              <w:keepLines w:val="0"/>
              <w:pageBreakBefore w:val="0"/>
              <w:widowControl w:val="0"/>
              <w:kinsoku/>
              <w:wordWrap w:val="0"/>
              <w:overflowPunct/>
              <w:topLinePunct w:val="0"/>
              <w:autoSpaceDE/>
              <w:autoSpaceDN/>
              <w:bidi w:val="0"/>
              <w:adjustRightInd/>
              <w:snapToGrid/>
              <w:spacing w:after="0"/>
              <w:ind w:left="0" w:leftChars="0"/>
              <w:textAlignment w:val="auto"/>
              <w:rPr>
                <w:rFonts w:hint="eastAsia"/>
                <w:b/>
                <w:bCs/>
                <w:color w:val="auto"/>
                <w:u w:val="single"/>
              </w:rPr>
            </w:pPr>
            <w:r>
              <w:rPr>
                <w:rFonts w:hint="eastAsia"/>
                <w:b/>
                <w:bCs/>
                <w:color w:val="auto"/>
                <w:u w:val="single"/>
              </w:rPr>
              <w:t>V</w:t>
            </w:r>
            <w:r>
              <w:rPr>
                <w:rFonts w:hint="eastAsia"/>
                <w:b/>
                <w:bCs/>
                <w:color w:val="auto"/>
                <w:u w:val="single"/>
                <w:vertAlign w:val="subscript"/>
              </w:rPr>
              <w:t>1</w:t>
            </w:r>
            <w:r>
              <w:rPr>
                <w:rFonts w:hint="eastAsia"/>
                <w:b/>
                <w:bCs/>
                <w:color w:val="auto"/>
                <w:u w:val="single"/>
              </w:rPr>
              <w:t>—收集系统范围内发生事故的一个罐组或一套装置的物料量（注：储存相同物料的罐组按一个最大储罐计，装置物料量按存留最大物料量的一台反应器或中间储罐计）；本项目最大罐体为中药</w:t>
            </w:r>
            <w:r>
              <w:rPr>
                <w:rFonts w:hint="eastAsia"/>
                <w:b/>
                <w:bCs/>
                <w:color w:val="auto"/>
                <w:u w:val="single"/>
                <w:lang w:val="en-US" w:eastAsia="zh-CN"/>
              </w:rPr>
              <w:t>发酵</w:t>
            </w:r>
            <w:r>
              <w:rPr>
                <w:rFonts w:hint="eastAsia"/>
                <w:b/>
                <w:bCs/>
                <w:color w:val="auto"/>
                <w:u w:val="single"/>
              </w:rPr>
              <w:t>罐</w:t>
            </w:r>
            <w:r>
              <w:rPr>
                <w:rFonts w:hint="eastAsia"/>
                <w:b/>
                <w:bCs/>
                <w:color w:val="auto"/>
                <w:u w:val="single"/>
                <w:lang w:val="en-US" w:eastAsia="zh-CN"/>
              </w:rPr>
              <w:t>2000L</w:t>
            </w:r>
            <w:r>
              <w:rPr>
                <w:rFonts w:hint="eastAsia"/>
                <w:b/>
                <w:bCs/>
                <w:color w:val="auto"/>
                <w:u w:val="single"/>
              </w:rPr>
              <w:t>。</w:t>
            </w:r>
          </w:p>
          <w:p w14:paraId="52C3D2B7">
            <w:pPr>
              <w:pStyle w:val="19"/>
              <w:keepNext w:val="0"/>
              <w:keepLines w:val="0"/>
              <w:pageBreakBefore w:val="0"/>
              <w:widowControl w:val="0"/>
              <w:kinsoku/>
              <w:wordWrap w:val="0"/>
              <w:overflowPunct/>
              <w:topLinePunct w:val="0"/>
              <w:autoSpaceDE/>
              <w:autoSpaceDN/>
              <w:bidi w:val="0"/>
              <w:adjustRightInd/>
              <w:snapToGrid/>
              <w:spacing w:after="0"/>
              <w:ind w:left="0" w:leftChars="0"/>
              <w:textAlignment w:val="auto"/>
              <w:rPr>
                <w:rFonts w:hint="eastAsia"/>
                <w:b/>
                <w:bCs/>
                <w:color w:val="auto"/>
                <w:u w:val="single"/>
              </w:rPr>
            </w:pPr>
            <w:r>
              <w:rPr>
                <w:rFonts w:hint="eastAsia"/>
                <w:b/>
                <w:bCs/>
                <w:color w:val="auto"/>
                <w:u w:val="single"/>
              </w:rPr>
              <w:t>V</w:t>
            </w:r>
            <w:r>
              <w:rPr>
                <w:rFonts w:hint="eastAsia"/>
                <w:b/>
                <w:bCs/>
                <w:color w:val="auto"/>
                <w:u w:val="single"/>
                <w:vertAlign w:val="subscript"/>
              </w:rPr>
              <w:t>2</w:t>
            </w:r>
            <w:r>
              <w:rPr>
                <w:rFonts w:hint="eastAsia"/>
                <w:b/>
                <w:bCs/>
                <w:color w:val="auto"/>
                <w:u w:val="single"/>
              </w:rPr>
              <w:t>—发生事故的储罐或装置的消防水量，m</w:t>
            </w:r>
            <w:r>
              <w:rPr>
                <w:rFonts w:hint="eastAsia"/>
                <w:b/>
                <w:bCs/>
                <w:color w:val="auto"/>
                <w:u w:val="single"/>
                <w:vertAlign w:val="superscript"/>
              </w:rPr>
              <w:t>3</w:t>
            </w:r>
            <w:r>
              <w:rPr>
                <w:rFonts w:hint="eastAsia"/>
                <w:b/>
                <w:bCs/>
                <w:color w:val="auto"/>
                <w:u w:val="single"/>
              </w:rPr>
              <w:t>；</w:t>
            </w:r>
          </w:p>
          <w:p w14:paraId="44E4EEEE">
            <w:pPr>
              <w:pStyle w:val="19"/>
              <w:keepNext w:val="0"/>
              <w:keepLines w:val="0"/>
              <w:pageBreakBefore w:val="0"/>
              <w:widowControl w:val="0"/>
              <w:kinsoku/>
              <w:wordWrap w:val="0"/>
              <w:overflowPunct/>
              <w:topLinePunct w:val="0"/>
              <w:autoSpaceDE/>
              <w:autoSpaceDN/>
              <w:bidi w:val="0"/>
              <w:adjustRightInd/>
              <w:snapToGrid/>
              <w:spacing w:after="0"/>
              <w:ind w:left="0" w:leftChars="0"/>
              <w:jc w:val="center"/>
              <w:textAlignment w:val="auto"/>
              <w:rPr>
                <w:rFonts w:hint="eastAsia"/>
                <w:b/>
                <w:bCs/>
                <w:color w:val="auto"/>
                <w:u w:val="single"/>
                <w:vertAlign w:val="subscript"/>
              </w:rPr>
            </w:pPr>
            <w:r>
              <w:rPr>
                <w:rFonts w:hint="eastAsia"/>
                <w:b/>
                <w:bCs/>
                <w:color w:val="auto"/>
                <w:u w:val="single"/>
              </w:rPr>
              <w:t>V</w:t>
            </w:r>
            <w:r>
              <w:rPr>
                <w:rFonts w:hint="eastAsia"/>
                <w:b/>
                <w:bCs/>
                <w:color w:val="auto"/>
                <w:u w:val="single"/>
                <w:vertAlign w:val="subscript"/>
              </w:rPr>
              <w:t>2</w:t>
            </w:r>
            <w:r>
              <w:rPr>
                <w:rFonts w:hint="eastAsia"/>
                <w:b/>
                <w:bCs/>
                <w:color w:val="auto"/>
                <w:u w:val="single"/>
              </w:rPr>
              <w:t>=∑Q</w:t>
            </w:r>
            <w:r>
              <w:rPr>
                <w:rFonts w:hint="eastAsia"/>
                <w:b/>
                <w:bCs/>
                <w:color w:val="auto"/>
                <w:u w:val="single"/>
                <w:vertAlign w:val="subscript"/>
              </w:rPr>
              <w:t>消</w:t>
            </w:r>
            <w:r>
              <w:rPr>
                <w:rFonts w:hint="eastAsia"/>
                <w:b/>
                <w:bCs/>
                <w:color w:val="auto"/>
                <w:u w:val="single"/>
              </w:rPr>
              <w:t>t</w:t>
            </w:r>
            <w:r>
              <w:rPr>
                <w:rFonts w:hint="eastAsia"/>
                <w:b/>
                <w:bCs/>
                <w:color w:val="auto"/>
                <w:u w:val="single"/>
                <w:vertAlign w:val="subscript"/>
              </w:rPr>
              <w:t>消</w:t>
            </w:r>
          </w:p>
          <w:p w14:paraId="2E18B7ED">
            <w:pPr>
              <w:pStyle w:val="19"/>
              <w:keepNext w:val="0"/>
              <w:keepLines w:val="0"/>
              <w:pageBreakBefore w:val="0"/>
              <w:widowControl w:val="0"/>
              <w:kinsoku/>
              <w:wordWrap w:val="0"/>
              <w:overflowPunct/>
              <w:topLinePunct w:val="0"/>
              <w:autoSpaceDE/>
              <w:autoSpaceDN/>
              <w:bidi w:val="0"/>
              <w:adjustRightInd/>
              <w:snapToGrid/>
              <w:spacing w:after="0"/>
              <w:ind w:left="0" w:leftChars="0"/>
              <w:textAlignment w:val="auto"/>
              <w:rPr>
                <w:rFonts w:hint="eastAsia"/>
                <w:b/>
                <w:bCs/>
                <w:color w:val="auto"/>
                <w:u w:val="single"/>
              </w:rPr>
            </w:pPr>
            <w:r>
              <w:rPr>
                <w:rFonts w:hint="eastAsia"/>
                <w:b/>
                <w:bCs/>
                <w:color w:val="auto"/>
                <w:u w:val="single"/>
              </w:rPr>
              <w:t>Q</w:t>
            </w:r>
            <w:r>
              <w:rPr>
                <w:rFonts w:hint="eastAsia"/>
                <w:b/>
                <w:bCs/>
                <w:color w:val="auto"/>
                <w:u w:val="single"/>
                <w:vertAlign w:val="subscript"/>
              </w:rPr>
              <w:t>消</w:t>
            </w:r>
            <w:r>
              <w:rPr>
                <w:rFonts w:hint="eastAsia"/>
                <w:b/>
                <w:bCs/>
                <w:color w:val="auto"/>
                <w:u w:val="single"/>
              </w:rPr>
              <w:t>—发生事故的储罐或装置的同时使用的消防设施给水流量，项目事故消防水用量</w:t>
            </w:r>
            <w:r>
              <w:rPr>
                <w:rFonts w:hint="eastAsia"/>
                <w:b/>
                <w:bCs/>
                <w:color w:val="auto"/>
                <w:u w:val="single"/>
                <w:lang w:val="en-US" w:eastAsia="zh-CN"/>
              </w:rPr>
              <w:t>3</w:t>
            </w:r>
            <w:r>
              <w:rPr>
                <w:rFonts w:hint="eastAsia"/>
                <w:b/>
                <w:bCs/>
                <w:color w:val="auto"/>
                <w:u w:val="single"/>
              </w:rPr>
              <w:t>0L/s计；t</w:t>
            </w:r>
            <w:r>
              <w:rPr>
                <w:rFonts w:hint="eastAsia"/>
                <w:b/>
                <w:bCs/>
                <w:color w:val="auto"/>
                <w:u w:val="single"/>
                <w:vertAlign w:val="subscript"/>
              </w:rPr>
              <w:t>消</w:t>
            </w:r>
            <w:r>
              <w:rPr>
                <w:rFonts w:hint="eastAsia"/>
                <w:b/>
                <w:bCs/>
                <w:color w:val="auto"/>
                <w:u w:val="single"/>
              </w:rPr>
              <w:t>—消防设施对应的设计消防历时，事故持续时间假定为2h；则V</w:t>
            </w:r>
            <w:r>
              <w:rPr>
                <w:rFonts w:hint="eastAsia"/>
                <w:b/>
                <w:bCs/>
                <w:color w:val="auto"/>
                <w:u w:val="single"/>
                <w:vertAlign w:val="subscript"/>
              </w:rPr>
              <w:t>2</w:t>
            </w:r>
            <w:r>
              <w:rPr>
                <w:rFonts w:hint="eastAsia"/>
                <w:b/>
                <w:bCs/>
                <w:color w:val="auto"/>
                <w:u w:val="single"/>
              </w:rPr>
              <w:t>=2</w:t>
            </w:r>
            <w:r>
              <w:rPr>
                <w:rFonts w:hint="eastAsia"/>
                <w:b/>
                <w:bCs/>
                <w:color w:val="auto"/>
                <w:u w:val="single"/>
                <w:lang w:val="en-US" w:eastAsia="zh-CN"/>
              </w:rPr>
              <w:t>16</w:t>
            </w:r>
            <w:r>
              <w:rPr>
                <w:rFonts w:hint="eastAsia"/>
                <w:b/>
                <w:bCs/>
                <w:color w:val="auto"/>
                <w:u w:val="single"/>
              </w:rPr>
              <w:t>m</w:t>
            </w:r>
            <w:r>
              <w:rPr>
                <w:rFonts w:hint="eastAsia"/>
                <w:b/>
                <w:bCs/>
                <w:color w:val="auto"/>
                <w:u w:val="single"/>
                <w:vertAlign w:val="superscript"/>
              </w:rPr>
              <w:t>3</w:t>
            </w:r>
            <w:r>
              <w:rPr>
                <w:rFonts w:hint="eastAsia"/>
                <w:b/>
                <w:bCs/>
                <w:color w:val="auto"/>
                <w:u w:val="single"/>
              </w:rPr>
              <w:t>；</w:t>
            </w:r>
          </w:p>
          <w:p w14:paraId="1B3C8B04">
            <w:pPr>
              <w:pStyle w:val="19"/>
              <w:keepNext w:val="0"/>
              <w:keepLines w:val="0"/>
              <w:pageBreakBefore w:val="0"/>
              <w:widowControl w:val="0"/>
              <w:kinsoku/>
              <w:wordWrap w:val="0"/>
              <w:overflowPunct/>
              <w:topLinePunct w:val="0"/>
              <w:autoSpaceDE/>
              <w:autoSpaceDN/>
              <w:bidi w:val="0"/>
              <w:adjustRightInd/>
              <w:snapToGrid/>
              <w:spacing w:after="0"/>
              <w:ind w:left="0" w:leftChars="0"/>
              <w:textAlignment w:val="auto"/>
              <w:rPr>
                <w:rFonts w:hint="eastAsia"/>
                <w:b/>
                <w:bCs/>
                <w:color w:val="auto"/>
                <w:u w:val="single"/>
              </w:rPr>
            </w:pPr>
            <w:r>
              <w:rPr>
                <w:rFonts w:hint="eastAsia"/>
                <w:b/>
                <w:bCs/>
                <w:color w:val="auto"/>
                <w:u w:val="single"/>
              </w:rPr>
              <w:t>V</w:t>
            </w:r>
            <w:r>
              <w:rPr>
                <w:rFonts w:hint="eastAsia"/>
                <w:b/>
                <w:bCs/>
                <w:color w:val="auto"/>
                <w:u w:val="single"/>
                <w:vertAlign w:val="subscript"/>
              </w:rPr>
              <w:t>3</w:t>
            </w:r>
            <w:r>
              <w:rPr>
                <w:rFonts w:hint="eastAsia"/>
                <w:b/>
                <w:bCs/>
                <w:color w:val="auto"/>
                <w:u w:val="single"/>
              </w:rPr>
              <w:t>—发生事故时可以转输到其他储存或处理设施的物料量，m</w:t>
            </w:r>
            <w:r>
              <w:rPr>
                <w:rFonts w:hint="eastAsia"/>
                <w:b/>
                <w:bCs/>
                <w:color w:val="auto"/>
                <w:u w:val="single"/>
                <w:vertAlign w:val="superscript"/>
              </w:rPr>
              <w:t>3</w:t>
            </w:r>
            <w:r>
              <w:rPr>
                <w:rFonts w:hint="eastAsia"/>
                <w:b/>
                <w:bCs/>
                <w:color w:val="auto"/>
                <w:u w:val="single"/>
              </w:rPr>
              <w:t>，本项目无其他处理设施，取值为0；</w:t>
            </w:r>
          </w:p>
          <w:p w14:paraId="7554F13E">
            <w:pPr>
              <w:pStyle w:val="19"/>
              <w:keepNext w:val="0"/>
              <w:keepLines w:val="0"/>
              <w:pageBreakBefore w:val="0"/>
              <w:widowControl w:val="0"/>
              <w:kinsoku/>
              <w:wordWrap w:val="0"/>
              <w:overflowPunct/>
              <w:topLinePunct w:val="0"/>
              <w:autoSpaceDE/>
              <w:autoSpaceDN/>
              <w:bidi w:val="0"/>
              <w:adjustRightInd/>
              <w:snapToGrid/>
              <w:spacing w:after="0"/>
              <w:ind w:left="0" w:leftChars="0"/>
              <w:textAlignment w:val="auto"/>
              <w:rPr>
                <w:rFonts w:hint="eastAsia"/>
                <w:b/>
                <w:bCs/>
                <w:color w:val="auto"/>
                <w:u w:val="single"/>
              </w:rPr>
            </w:pPr>
            <w:r>
              <w:rPr>
                <w:rFonts w:hint="eastAsia"/>
                <w:b/>
                <w:bCs/>
                <w:color w:val="auto"/>
                <w:u w:val="single"/>
              </w:rPr>
              <w:t>V</w:t>
            </w:r>
            <w:r>
              <w:rPr>
                <w:rFonts w:hint="eastAsia"/>
                <w:b/>
                <w:bCs/>
                <w:color w:val="auto"/>
                <w:u w:val="single"/>
                <w:vertAlign w:val="subscript"/>
              </w:rPr>
              <w:t>4</w:t>
            </w:r>
            <w:r>
              <w:rPr>
                <w:rFonts w:hint="eastAsia"/>
                <w:b/>
                <w:bCs/>
                <w:color w:val="auto"/>
                <w:u w:val="single"/>
              </w:rPr>
              <w:t>—发生事故时仍必须进入该收集系统的生产废水量，m</w:t>
            </w:r>
            <w:r>
              <w:rPr>
                <w:rFonts w:hint="eastAsia"/>
                <w:b/>
                <w:bCs/>
                <w:color w:val="auto"/>
                <w:u w:val="single"/>
                <w:vertAlign w:val="superscript"/>
              </w:rPr>
              <w:t>3</w:t>
            </w:r>
            <w:r>
              <w:rPr>
                <w:rFonts w:hint="eastAsia"/>
                <w:b/>
                <w:bCs/>
                <w:color w:val="auto"/>
                <w:u w:val="single"/>
              </w:rPr>
              <w:t>，取值为0；</w:t>
            </w:r>
          </w:p>
          <w:p w14:paraId="3ED79530">
            <w:pPr>
              <w:pStyle w:val="19"/>
              <w:keepNext w:val="0"/>
              <w:keepLines w:val="0"/>
              <w:pageBreakBefore w:val="0"/>
              <w:widowControl w:val="0"/>
              <w:kinsoku/>
              <w:wordWrap w:val="0"/>
              <w:overflowPunct/>
              <w:topLinePunct w:val="0"/>
              <w:autoSpaceDE/>
              <w:autoSpaceDN/>
              <w:bidi w:val="0"/>
              <w:adjustRightInd/>
              <w:snapToGrid/>
              <w:spacing w:after="0"/>
              <w:ind w:left="0" w:leftChars="0"/>
              <w:textAlignment w:val="auto"/>
              <w:rPr>
                <w:rFonts w:hint="eastAsia"/>
                <w:b/>
                <w:bCs/>
                <w:color w:val="auto"/>
                <w:u w:val="single"/>
              </w:rPr>
            </w:pPr>
            <w:r>
              <w:rPr>
                <w:rFonts w:hint="eastAsia"/>
                <w:b/>
                <w:bCs/>
                <w:color w:val="auto"/>
                <w:u w:val="single"/>
              </w:rPr>
              <w:t>V</w:t>
            </w:r>
            <w:r>
              <w:rPr>
                <w:rFonts w:hint="eastAsia"/>
                <w:b/>
                <w:bCs/>
                <w:color w:val="auto"/>
                <w:u w:val="single"/>
                <w:vertAlign w:val="subscript"/>
              </w:rPr>
              <w:t>5</w:t>
            </w:r>
            <w:r>
              <w:rPr>
                <w:rFonts w:hint="eastAsia"/>
                <w:b/>
                <w:bCs/>
                <w:color w:val="auto"/>
                <w:u w:val="single"/>
              </w:rPr>
              <w:t>——发生事故时可能进入该收集系统的降雨量，</w:t>
            </w:r>
            <w:r>
              <w:rPr>
                <w:rFonts w:hint="eastAsia"/>
                <w:b/>
                <w:bCs/>
                <w:color w:val="auto"/>
                <w:u w:val="single"/>
                <w:lang w:val="en-US" w:eastAsia="zh-CN"/>
              </w:rPr>
              <w:t>本项目初期雨水不需收集，</w:t>
            </w:r>
            <w:r>
              <w:rPr>
                <w:rFonts w:hint="eastAsia"/>
                <w:b/>
                <w:bCs/>
                <w:color w:val="auto"/>
                <w:u w:val="single"/>
              </w:rPr>
              <w:t>取值为0；</w:t>
            </w:r>
          </w:p>
          <w:p w14:paraId="26867D5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u w:val="single"/>
                <w:lang w:val="en-US" w:eastAsia="zh-CN"/>
              </w:rPr>
            </w:pPr>
            <w:r>
              <w:rPr>
                <w:rFonts w:hint="default" w:ascii="Times New Roman" w:hAnsi="Times New Roman" w:eastAsia="宋体" w:cs="Times New Roman"/>
                <w:b/>
                <w:bCs/>
                <w:color w:val="auto"/>
                <w:sz w:val="24"/>
                <w:szCs w:val="24"/>
                <w:highlight w:val="none"/>
                <w:u w:val="single"/>
                <w:lang w:val="en-US" w:eastAsia="zh-CN"/>
              </w:rPr>
              <w:t>计算得：V</w:t>
            </w:r>
            <w:r>
              <w:rPr>
                <w:rFonts w:hint="default" w:ascii="Times New Roman" w:hAnsi="Times New Roman" w:eastAsia="宋体" w:cs="Times New Roman"/>
                <w:b/>
                <w:bCs/>
                <w:color w:val="auto"/>
                <w:sz w:val="24"/>
                <w:szCs w:val="24"/>
                <w:highlight w:val="none"/>
                <w:u w:val="single"/>
                <w:vertAlign w:val="subscript"/>
                <w:lang w:val="en-US" w:eastAsia="zh-CN"/>
              </w:rPr>
              <w:t>总</w:t>
            </w:r>
            <w:r>
              <w:rPr>
                <w:rFonts w:hint="default" w:ascii="Times New Roman" w:hAnsi="Times New Roman" w:eastAsia="宋体" w:cs="Times New Roman"/>
                <w:b/>
                <w:bCs/>
                <w:color w:val="auto"/>
                <w:sz w:val="24"/>
                <w:szCs w:val="24"/>
                <w:highlight w:val="none"/>
                <w:u w:val="single"/>
                <w:lang w:val="en-US" w:eastAsia="zh-CN"/>
              </w:rPr>
              <w:t>=</w:t>
            </w:r>
            <w:r>
              <w:rPr>
                <w:rFonts w:hint="eastAsia" w:cs="Times New Roman"/>
                <w:b/>
                <w:bCs/>
                <w:color w:val="auto"/>
                <w:sz w:val="24"/>
                <w:szCs w:val="24"/>
                <w:highlight w:val="none"/>
                <w:u w:val="single"/>
                <w:lang w:val="en-US" w:eastAsia="zh-CN"/>
              </w:rPr>
              <w:t>（</w:t>
            </w:r>
            <w:r>
              <w:rPr>
                <w:rFonts w:hint="default" w:ascii="Times New Roman" w:hAnsi="Times New Roman" w:eastAsia="宋体" w:cs="Times New Roman"/>
                <w:b/>
                <w:bCs/>
                <w:color w:val="auto"/>
                <w:sz w:val="24"/>
                <w:szCs w:val="24"/>
                <w:highlight w:val="none"/>
                <w:u w:val="single"/>
                <w:lang w:val="en-US" w:eastAsia="zh-CN"/>
              </w:rPr>
              <w:t>V</w:t>
            </w:r>
            <w:r>
              <w:rPr>
                <w:rFonts w:hint="default" w:ascii="Times New Roman" w:hAnsi="Times New Roman" w:eastAsia="宋体" w:cs="Times New Roman"/>
                <w:b/>
                <w:bCs/>
                <w:color w:val="auto"/>
                <w:sz w:val="24"/>
                <w:szCs w:val="24"/>
                <w:highlight w:val="none"/>
                <w:u w:val="single"/>
                <w:vertAlign w:val="subscript"/>
                <w:lang w:val="en-US" w:eastAsia="zh-CN"/>
              </w:rPr>
              <w:t>1</w:t>
            </w:r>
            <w:r>
              <w:rPr>
                <w:rFonts w:hint="default" w:ascii="Times New Roman" w:hAnsi="Times New Roman" w:eastAsia="宋体" w:cs="Times New Roman"/>
                <w:b/>
                <w:bCs/>
                <w:color w:val="auto"/>
                <w:sz w:val="24"/>
                <w:szCs w:val="24"/>
                <w:highlight w:val="none"/>
                <w:u w:val="single"/>
                <w:lang w:val="en-US" w:eastAsia="zh-CN"/>
              </w:rPr>
              <w:t>+V</w:t>
            </w:r>
            <w:r>
              <w:rPr>
                <w:rFonts w:hint="default" w:ascii="Times New Roman" w:hAnsi="Times New Roman" w:eastAsia="宋体" w:cs="Times New Roman"/>
                <w:b/>
                <w:bCs/>
                <w:color w:val="auto"/>
                <w:sz w:val="24"/>
                <w:szCs w:val="24"/>
                <w:highlight w:val="none"/>
                <w:u w:val="single"/>
                <w:vertAlign w:val="subscript"/>
                <w:lang w:val="en-US" w:eastAsia="zh-CN"/>
              </w:rPr>
              <w:t>2</w:t>
            </w:r>
            <w:r>
              <w:rPr>
                <w:rFonts w:hint="default" w:ascii="Times New Roman" w:hAnsi="Times New Roman" w:eastAsia="宋体" w:cs="Times New Roman"/>
                <w:b/>
                <w:bCs/>
                <w:color w:val="auto"/>
                <w:sz w:val="24"/>
                <w:szCs w:val="24"/>
                <w:highlight w:val="none"/>
                <w:u w:val="single"/>
                <w:lang w:val="en-US" w:eastAsia="zh-CN"/>
              </w:rPr>
              <w:t>-V</w:t>
            </w:r>
            <w:r>
              <w:rPr>
                <w:rFonts w:hint="default" w:ascii="Times New Roman" w:hAnsi="Times New Roman" w:eastAsia="宋体" w:cs="Times New Roman"/>
                <w:b/>
                <w:bCs/>
                <w:color w:val="auto"/>
                <w:sz w:val="24"/>
                <w:szCs w:val="24"/>
                <w:highlight w:val="none"/>
                <w:u w:val="single"/>
                <w:vertAlign w:val="subscript"/>
                <w:lang w:val="en-US" w:eastAsia="zh-CN"/>
              </w:rPr>
              <w:t>3</w:t>
            </w:r>
            <w:r>
              <w:rPr>
                <w:rFonts w:hint="eastAsia" w:cs="Times New Roman"/>
                <w:b/>
                <w:bCs/>
                <w:color w:val="auto"/>
                <w:sz w:val="24"/>
                <w:szCs w:val="24"/>
                <w:highlight w:val="none"/>
                <w:u w:val="single"/>
                <w:lang w:val="en-US" w:eastAsia="zh-CN"/>
              </w:rPr>
              <w:t>）</w:t>
            </w:r>
            <w:r>
              <w:rPr>
                <w:rFonts w:hint="default" w:ascii="Times New Roman" w:hAnsi="Times New Roman" w:eastAsia="宋体" w:cs="Times New Roman"/>
                <w:b/>
                <w:bCs/>
                <w:color w:val="auto"/>
                <w:sz w:val="24"/>
                <w:szCs w:val="24"/>
                <w:highlight w:val="none"/>
                <w:u w:val="single"/>
                <w:vertAlign w:val="subscript"/>
                <w:lang w:val="en-US" w:eastAsia="zh-CN"/>
              </w:rPr>
              <w:t>max</w:t>
            </w:r>
            <w:r>
              <w:rPr>
                <w:rFonts w:hint="default" w:ascii="Times New Roman" w:hAnsi="Times New Roman" w:eastAsia="宋体" w:cs="Times New Roman"/>
                <w:b/>
                <w:bCs/>
                <w:color w:val="auto"/>
                <w:sz w:val="24"/>
                <w:szCs w:val="24"/>
                <w:highlight w:val="none"/>
                <w:u w:val="single"/>
                <w:lang w:val="en-US" w:eastAsia="zh-CN"/>
              </w:rPr>
              <w:t>+V</w:t>
            </w:r>
            <w:r>
              <w:rPr>
                <w:rFonts w:hint="default" w:ascii="Times New Roman" w:hAnsi="Times New Roman" w:eastAsia="宋体" w:cs="Times New Roman"/>
                <w:b/>
                <w:bCs/>
                <w:color w:val="auto"/>
                <w:sz w:val="24"/>
                <w:szCs w:val="24"/>
                <w:highlight w:val="none"/>
                <w:u w:val="single"/>
                <w:vertAlign w:val="subscript"/>
                <w:lang w:val="en-US" w:eastAsia="zh-CN"/>
              </w:rPr>
              <w:t>4</w:t>
            </w:r>
            <w:r>
              <w:rPr>
                <w:rFonts w:hint="default" w:ascii="Times New Roman" w:hAnsi="Times New Roman" w:eastAsia="宋体" w:cs="Times New Roman"/>
                <w:b/>
                <w:bCs/>
                <w:color w:val="auto"/>
                <w:sz w:val="24"/>
                <w:szCs w:val="24"/>
                <w:highlight w:val="none"/>
                <w:u w:val="single"/>
                <w:lang w:val="en-US" w:eastAsia="zh-CN"/>
              </w:rPr>
              <w:t>+V</w:t>
            </w:r>
            <w:r>
              <w:rPr>
                <w:rFonts w:hint="default" w:ascii="Times New Roman" w:hAnsi="Times New Roman" w:eastAsia="宋体" w:cs="Times New Roman"/>
                <w:b/>
                <w:bCs/>
                <w:color w:val="auto"/>
                <w:sz w:val="24"/>
                <w:szCs w:val="24"/>
                <w:highlight w:val="none"/>
                <w:u w:val="single"/>
                <w:vertAlign w:val="subscript"/>
                <w:lang w:val="en-US" w:eastAsia="zh-CN"/>
              </w:rPr>
              <w:t>5</w:t>
            </w:r>
            <w:r>
              <w:rPr>
                <w:rFonts w:hint="default" w:ascii="Times New Roman" w:hAnsi="Times New Roman" w:eastAsia="宋体" w:cs="Times New Roman"/>
                <w:b/>
                <w:bCs/>
                <w:color w:val="auto"/>
                <w:sz w:val="24"/>
                <w:szCs w:val="24"/>
                <w:highlight w:val="none"/>
                <w:u w:val="single"/>
                <w:lang w:val="en-US" w:eastAsia="zh-CN"/>
              </w:rPr>
              <w:t>=</w:t>
            </w:r>
            <w:r>
              <w:rPr>
                <w:rFonts w:hint="eastAsia" w:cs="Times New Roman"/>
                <w:b/>
                <w:bCs/>
                <w:color w:val="auto"/>
                <w:sz w:val="24"/>
                <w:szCs w:val="24"/>
                <w:highlight w:val="none"/>
                <w:u w:val="single"/>
                <w:lang w:val="en-US" w:eastAsia="zh-CN"/>
              </w:rPr>
              <w:t>（</w:t>
            </w:r>
            <w:r>
              <w:rPr>
                <w:rFonts w:hint="eastAsia" w:ascii="Times New Roman" w:hAnsi="Times New Roman" w:eastAsia="宋体" w:cs="Times New Roman"/>
                <w:b/>
                <w:bCs/>
                <w:color w:val="auto"/>
                <w:sz w:val="24"/>
                <w:szCs w:val="24"/>
                <w:highlight w:val="none"/>
                <w:u w:val="single"/>
                <w:lang w:val="en-US" w:eastAsia="zh-CN"/>
              </w:rPr>
              <w:t>2</w:t>
            </w:r>
            <w:r>
              <w:rPr>
                <w:rFonts w:hint="default" w:ascii="Times New Roman" w:hAnsi="Times New Roman" w:eastAsia="宋体" w:cs="Times New Roman"/>
                <w:b/>
                <w:bCs/>
                <w:color w:val="auto"/>
                <w:sz w:val="24"/>
                <w:szCs w:val="24"/>
                <w:highlight w:val="none"/>
                <w:u w:val="single"/>
                <w:lang w:val="en-US" w:eastAsia="zh-CN"/>
              </w:rPr>
              <w:t>+2</w:t>
            </w:r>
            <w:r>
              <w:rPr>
                <w:rFonts w:hint="eastAsia" w:ascii="Times New Roman" w:hAnsi="Times New Roman" w:eastAsia="宋体" w:cs="Times New Roman"/>
                <w:b/>
                <w:bCs/>
                <w:color w:val="auto"/>
                <w:sz w:val="24"/>
                <w:szCs w:val="24"/>
                <w:highlight w:val="none"/>
                <w:u w:val="single"/>
                <w:lang w:val="en-US" w:eastAsia="zh-CN"/>
              </w:rPr>
              <w:t>16</w:t>
            </w:r>
            <w:r>
              <w:rPr>
                <w:rFonts w:hint="default" w:ascii="Times New Roman" w:hAnsi="Times New Roman" w:eastAsia="宋体" w:cs="Times New Roman"/>
                <w:b/>
                <w:bCs/>
                <w:color w:val="auto"/>
                <w:sz w:val="24"/>
                <w:szCs w:val="24"/>
                <w:highlight w:val="none"/>
                <w:u w:val="single"/>
                <w:lang w:val="en-US" w:eastAsia="zh-CN"/>
              </w:rPr>
              <w:t>-</w:t>
            </w:r>
            <w:r>
              <w:rPr>
                <w:rFonts w:hint="eastAsia" w:ascii="Times New Roman" w:hAnsi="Times New Roman" w:eastAsia="宋体" w:cs="Times New Roman"/>
                <w:b/>
                <w:bCs/>
                <w:color w:val="auto"/>
                <w:sz w:val="24"/>
                <w:szCs w:val="24"/>
                <w:highlight w:val="none"/>
                <w:u w:val="single"/>
                <w:lang w:val="en-US" w:eastAsia="zh-CN"/>
              </w:rPr>
              <w:t>0</w:t>
            </w:r>
            <w:r>
              <w:rPr>
                <w:rFonts w:hint="eastAsia" w:cs="Times New Roman"/>
                <w:b/>
                <w:bCs/>
                <w:color w:val="auto"/>
                <w:sz w:val="24"/>
                <w:szCs w:val="24"/>
                <w:highlight w:val="none"/>
                <w:u w:val="single"/>
                <w:lang w:val="en-US" w:eastAsia="zh-CN"/>
              </w:rPr>
              <w:t>）</w:t>
            </w:r>
            <w:r>
              <w:rPr>
                <w:rFonts w:hint="default" w:ascii="Times New Roman" w:hAnsi="Times New Roman" w:eastAsia="宋体" w:cs="Times New Roman"/>
                <w:b/>
                <w:bCs/>
                <w:color w:val="auto"/>
                <w:sz w:val="24"/>
                <w:szCs w:val="24"/>
                <w:highlight w:val="none"/>
                <w:u w:val="single"/>
                <w:lang w:val="en-US" w:eastAsia="zh-CN"/>
              </w:rPr>
              <w:t>+0+0=</w:t>
            </w:r>
            <w:r>
              <w:rPr>
                <w:rFonts w:hint="eastAsia" w:ascii="Times New Roman" w:hAnsi="Times New Roman" w:eastAsia="宋体" w:cs="Times New Roman"/>
                <w:b/>
                <w:bCs/>
                <w:color w:val="auto"/>
                <w:sz w:val="24"/>
                <w:szCs w:val="24"/>
                <w:highlight w:val="none"/>
                <w:u w:val="single"/>
                <w:lang w:val="en-US" w:eastAsia="zh-CN"/>
              </w:rPr>
              <w:t>218</w:t>
            </w:r>
            <w:r>
              <w:rPr>
                <w:rFonts w:hint="default" w:ascii="Times New Roman" w:hAnsi="Times New Roman" w:eastAsia="宋体" w:cs="Times New Roman"/>
                <w:b/>
                <w:bCs/>
                <w:color w:val="auto"/>
                <w:sz w:val="24"/>
                <w:szCs w:val="24"/>
                <w:highlight w:val="none"/>
                <w:u w:val="single"/>
                <w:lang w:val="en-US" w:eastAsia="zh-CN"/>
              </w:rPr>
              <w:t>m</w:t>
            </w:r>
            <w:r>
              <w:rPr>
                <w:rFonts w:hint="default" w:ascii="Times New Roman" w:hAnsi="Times New Roman" w:eastAsia="宋体" w:cs="Times New Roman"/>
                <w:b/>
                <w:bCs/>
                <w:color w:val="auto"/>
                <w:sz w:val="24"/>
                <w:szCs w:val="24"/>
                <w:highlight w:val="none"/>
                <w:u w:val="single"/>
                <w:vertAlign w:val="superscript"/>
                <w:lang w:val="en-US" w:eastAsia="zh-CN"/>
              </w:rPr>
              <w:t>3</w:t>
            </w:r>
            <w:r>
              <w:rPr>
                <w:rFonts w:hint="default" w:ascii="Times New Roman" w:hAnsi="Times New Roman" w:eastAsia="宋体" w:cs="Times New Roman"/>
                <w:b/>
                <w:bCs/>
                <w:color w:val="auto"/>
                <w:sz w:val="24"/>
                <w:szCs w:val="24"/>
                <w:highlight w:val="none"/>
                <w:u w:val="single"/>
                <w:lang w:val="en-US" w:eastAsia="zh-CN"/>
              </w:rPr>
              <w:t>。</w:t>
            </w:r>
          </w:p>
          <w:p w14:paraId="0A7F722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eastAsia"/>
                <w:b/>
                <w:bCs/>
                <w:color w:val="auto"/>
                <w:u w:val="single"/>
              </w:rPr>
            </w:pPr>
            <w:r>
              <w:rPr>
                <w:rFonts w:hint="default" w:ascii="Times New Roman" w:hAnsi="Times New Roman" w:eastAsia="宋体" w:cs="Times New Roman"/>
                <w:b/>
                <w:bCs/>
                <w:color w:val="auto"/>
                <w:sz w:val="24"/>
                <w:szCs w:val="24"/>
                <w:highlight w:val="none"/>
                <w:u w:val="single"/>
                <w:lang w:val="en-US" w:eastAsia="zh-CN"/>
              </w:rPr>
              <w:t>综上，事故状态下厂区需要储存的事故废水量约为</w:t>
            </w:r>
            <w:r>
              <w:rPr>
                <w:rFonts w:hint="eastAsia" w:ascii="Times New Roman" w:hAnsi="Times New Roman" w:eastAsia="宋体" w:cs="Times New Roman"/>
                <w:b/>
                <w:bCs/>
                <w:color w:val="auto"/>
                <w:sz w:val="24"/>
                <w:szCs w:val="24"/>
                <w:highlight w:val="none"/>
                <w:u w:val="single"/>
                <w:lang w:val="en-US" w:eastAsia="zh-CN"/>
              </w:rPr>
              <w:t>218</w:t>
            </w:r>
            <w:r>
              <w:rPr>
                <w:rFonts w:hint="default" w:ascii="Times New Roman" w:hAnsi="Times New Roman" w:eastAsia="宋体" w:cs="Times New Roman"/>
                <w:b/>
                <w:bCs/>
                <w:color w:val="auto"/>
                <w:sz w:val="24"/>
                <w:szCs w:val="24"/>
                <w:highlight w:val="none"/>
                <w:u w:val="single"/>
                <w:lang w:val="en-US" w:eastAsia="zh-CN"/>
              </w:rPr>
              <w:t>m</w:t>
            </w:r>
            <w:r>
              <w:rPr>
                <w:rFonts w:hint="default" w:ascii="Times New Roman" w:hAnsi="Times New Roman" w:eastAsia="宋体" w:cs="Times New Roman"/>
                <w:b/>
                <w:bCs/>
                <w:color w:val="auto"/>
                <w:sz w:val="24"/>
                <w:szCs w:val="24"/>
                <w:highlight w:val="none"/>
                <w:u w:val="single"/>
                <w:vertAlign w:val="superscript"/>
                <w:lang w:val="en-US" w:eastAsia="zh-CN"/>
              </w:rPr>
              <w:t>3</w:t>
            </w:r>
            <w:r>
              <w:rPr>
                <w:rFonts w:hint="default" w:ascii="Times New Roman" w:hAnsi="Times New Roman" w:eastAsia="宋体" w:cs="Times New Roman"/>
                <w:b/>
                <w:bCs/>
                <w:color w:val="auto"/>
                <w:sz w:val="24"/>
                <w:szCs w:val="24"/>
                <w:highlight w:val="none"/>
                <w:u w:val="single"/>
                <w:lang w:val="en-US" w:eastAsia="zh-CN"/>
              </w:rPr>
              <w:t>，企业拟在厂区</w:t>
            </w:r>
            <w:r>
              <w:rPr>
                <w:rFonts w:hint="eastAsia" w:ascii="Times New Roman" w:hAnsi="Times New Roman" w:eastAsia="宋体" w:cs="Times New Roman"/>
                <w:b/>
                <w:bCs/>
                <w:color w:val="auto"/>
                <w:sz w:val="24"/>
                <w:szCs w:val="24"/>
                <w:highlight w:val="none"/>
                <w:u w:val="single"/>
                <w:lang w:val="en-US" w:eastAsia="zh-CN"/>
              </w:rPr>
              <w:t>南</w:t>
            </w:r>
            <w:r>
              <w:rPr>
                <w:rFonts w:hint="default" w:ascii="Times New Roman" w:hAnsi="Times New Roman" w:eastAsia="宋体" w:cs="Times New Roman"/>
                <w:b/>
                <w:bCs/>
                <w:color w:val="auto"/>
                <w:sz w:val="24"/>
                <w:szCs w:val="24"/>
                <w:highlight w:val="none"/>
                <w:u w:val="single"/>
                <w:lang w:val="en-US" w:eastAsia="zh-CN"/>
              </w:rPr>
              <w:t>侧建设</w:t>
            </w:r>
            <w:r>
              <w:rPr>
                <w:rFonts w:hint="eastAsia" w:ascii="Times New Roman" w:hAnsi="Times New Roman" w:eastAsia="宋体" w:cs="Times New Roman"/>
                <w:b/>
                <w:bCs/>
                <w:color w:val="auto"/>
                <w:sz w:val="24"/>
                <w:szCs w:val="24"/>
                <w:highlight w:val="none"/>
                <w:u w:val="single"/>
                <w:lang w:val="en-US" w:eastAsia="zh-CN"/>
              </w:rPr>
              <w:t>30</w:t>
            </w:r>
            <w:r>
              <w:rPr>
                <w:rFonts w:hint="default" w:ascii="Times New Roman" w:hAnsi="Times New Roman" w:eastAsia="宋体" w:cs="Times New Roman"/>
                <w:b/>
                <w:bCs/>
                <w:color w:val="auto"/>
                <w:sz w:val="24"/>
                <w:szCs w:val="24"/>
                <w:highlight w:val="none"/>
                <w:u w:val="single"/>
                <w:lang w:val="en-US" w:eastAsia="zh-CN"/>
              </w:rPr>
              <w:t>0m</w:t>
            </w:r>
            <w:r>
              <w:rPr>
                <w:rFonts w:hint="default" w:ascii="Times New Roman" w:hAnsi="Times New Roman" w:eastAsia="宋体" w:cs="Times New Roman"/>
                <w:b/>
                <w:bCs/>
                <w:color w:val="auto"/>
                <w:sz w:val="24"/>
                <w:szCs w:val="24"/>
                <w:highlight w:val="none"/>
                <w:u w:val="single"/>
                <w:vertAlign w:val="superscript"/>
                <w:lang w:val="en-US" w:eastAsia="zh-CN"/>
              </w:rPr>
              <w:t>3</w:t>
            </w:r>
            <w:r>
              <w:rPr>
                <w:rFonts w:hint="default" w:ascii="Times New Roman" w:hAnsi="Times New Roman" w:eastAsia="宋体" w:cs="Times New Roman"/>
                <w:b/>
                <w:bCs/>
                <w:color w:val="auto"/>
                <w:sz w:val="24"/>
                <w:szCs w:val="24"/>
                <w:highlight w:val="none"/>
                <w:u w:val="single"/>
                <w:lang w:val="en-US" w:eastAsia="zh-CN"/>
              </w:rPr>
              <w:t>的事故水池1座，满足事故状态下消防废水收集需求</w:t>
            </w:r>
            <w:r>
              <w:rPr>
                <w:rFonts w:hint="eastAsia"/>
                <w:b/>
                <w:bCs/>
                <w:color w:val="auto"/>
                <w:u w:val="single"/>
              </w:rPr>
              <w:t>，同时事故应急池要设置水闸，防止消防废水进入雨水管网。</w:t>
            </w:r>
          </w:p>
          <w:p w14:paraId="359D22BA">
            <w:pPr>
              <w:ind w:firstLine="480"/>
              <w:rPr>
                <w:rFonts w:hint="eastAsia"/>
                <w:color w:val="auto"/>
              </w:rPr>
            </w:pPr>
            <w:r>
              <w:rPr>
                <w:rFonts w:hint="eastAsia"/>
                <w:color w:val="auto"/>
              </w:rPr>
              <w:t>（2）化学试剂储存</w:t>
            </w:r>
          </w:p>
          <w:p w14:paraId="70A275DA">
            <w:pPr>
              <w:ind w:firstLine="480"/>
              <w:rPr>
                <w:rFonts w:hint="eastAsia"/>
                <w:color w:val="auto"/>
              </w:rPr>
            </w:pPr>
            <w:r>
              <w:rPr>
                <w:rFonts w:hint="eastAsia"/>
                <w:color w:val="auto"/>
              </w:rPr>
              <w:t>对于化学试剂的购买、储存、保管、使用等需按照相关规定管理执行，实验药剂应根据需要购买，尽量减少危险化学品的储存量。对于化学试剂，特别是涉及危险化学品，本评价提出如下风险防范措施要求。</w:t>
            </w:r>
          </w:p>
          <w:p w14:paraId="0C05C23B">
            <w:pPr>
              <w:ind w:firstLine="480"/>
              <w:rPr>
                <w:rFonts w:hint="eastAsia"/>
                <w:color w:val="auto"/>
              </w:rPr>
            </w:pPr>
            <w:r>
              <w:rPr>
                <w:rFonts w:hint="eastAsia"/>
                <w:color w:val="auto"/>
              </w:rPr>
              <w:t>a.危险化学品必须储存在专用储存室内，双人双锁，保险柜储存，同时设置摄像头，公安机关备案，一般化学品储存在试剂柜内。应当符合国家标准对安全、消防的要求，设置明显标志。储存室的储存设备和安全设施应定期检查，一旦出现安全隐患，立即排除，并由专人管理。</w:t>
            </w:r>
          </w:p>
          <w:p w14:paraId="282B7099">
            <w:pPr>
              <w:ind w:firstLine="480"/>
              <w:rPr>
                <w:rFonts w:hint="eastAsia"/>
                <w:color w:val="auto"/>
              </w:rPr>
            </w:pPr>
            <w:r>
              <w:rPr>
                <w:rFonts w:hint="eastAsia"/>
                <w:color w:val="auto"/>
              </w:rPr>
              <w:t>b.储存、使用危险化学品时，应当根据危险化学品的各类特性，在作业场所设置相应的通风、防晒、调温、防火、灭火、防爆、或者隔离操作等安全设施、设备，并按照国家标准和相关规定进行维护、保养，保证符合安全运行要求。</w:t>
            </w:r>
          </w:p>
          <w:p w14:paraId="34C7386C">
            <w:pPr>
              <w:ind w:firstLine="480"/>
              <w:rPr>
                <w:rFonts w:hint="eastAsia"/>
                <w:color w:val="auto"/>
              </w:rPr>
            </w:pPr>
            <w:r>
              <w:rPr>
                <w:rFonts w:hint="eastAsia"/>
                <w:color w:val="auto"/>
              </w:rPr>
              <w:t>c.实验室化学品以酸、碱、有机物的分类原则分开储存，切记混储。</w:t>
            </w:r>
          </w:p>
          <w:p w14:paraId="22AF7A64">
            <w:pPr>
              <w:ind w:firstLine="480"/>
              <w:rPr>
                <w:rFonts w:hint="eastAsia"/>
                <w:color w:val="auto"/>
              </w:rPr>
            </w:pPr>
            <w:r>
              <w:rPr>
                <w:rFonts w:hint="eastAsia"/>
                <w:color w:val="auto"/>
              </w:rPr>
              <w:t>d.储存不同化学品时需参考对应的《化学品安全技术说明书》。</w:t>
            </w:r>
          </w:p>
          <w:p w14:paraId="3F00F2DC">
            <w:pPr>
              <w:ind w:firstLine="480"/>
              <w:rPr>
                <w:rFonts w:hint="eastAsia"/>
                <w:color w:val="auto"/>
              </w:rPr>
            </w:pPr>
            <w:r>
              <w:rPr>
                <w:rFonts w:hint="eastAsia"/>
                <w:color w:val="auto"/>
              </w:rPr>
              <w:t>e.各使用部门领取危险化学品必须指定专人负责，领取人要当面点清品种和数量，并在领取凭证签收，做到需要多少领多少，不准过多领取。若有剩余必须由使用科室主管人员负责上交，用过的容器、器皿、废溶液等要妥善处理，严禁乱扔乱放。</w:t>
            </w:r>
          </w:p>
          <w:p w14:paraId="5BFAF212">
            <w:pPr>
              <w:ind w:firstLine="480"/>
              <w:rPr>
                <w:rFonts w:hint="eastAsia"/>
                <w:color w:val="auto"/>
              </w:rPr>
            </w:pPr>
            <w:r>
              <w:rPr>
                <w:rFonts w:hint="eastAsia"/>
                <w:color w:val="auto"/>
              </w:rPr>
              <w:t>F.危险化学品必须附有和危险化学品完全一致的化学品安全技术说明书。</w:t>
            </w:r>
          </w:p>
          <w:p w14:paraId="3C52017D">
            <w:pPr>
              <w:ind w:firstLine="480"/>
              <w:rPr>
                <w:rFonts w:hint="eastAsia"/>
                <w:color w:val="auto"/>
              </w:rPr>
            </w:pPr>
            <w:r>
              <w:rPr>
                <w:rFonts w:hint="eastAsia"/>
                <w:color w:val="auto"/>
              </w:rPr>
              <w:t>G.过期的危险化学品，由实验室负责人按照“危险废弃物及包装物”进行处理。</w:t>
            </w:r>
          </w:p>
          <w:p w14:paraId="7F71A1E0">
            <w:pPr>
              <w:ind w:firstLine="480"/>
              <w:rPr>
                <w:rFonts w:hint="eastAsia"/>
                <w:color w:val="auto"/>
              </w:rPr>
            </w:pPr>
            <w:r>
              <w:rPr>
                <w:rFonts w:hint="eastAsia"/>
                <w:color w:val="auto"/>
              </w:rPr>
              <w:t>（3）高毒化学品</w:t>
            </w:r>
          </w:p>
          <w:p w14:paraId="1CB82375">
            <w:pPr>
              <w:ind w:firstLine="480"/>
              <w:rPr>
                <w:rFonts w:hint="eastAsia"/>
                <w:color w:val="auto"/>
              </w:rPr>
            </w:pPr>
            <w:r>
              <w:rPr>
                <w:rFonts w:hint="eastAsia"/>
                <w:color w:val="auto"/>
              </w:rPr>
              <w:t>本项目涉及部分试剂属于高毒化学试剂，实验室应根据化学试剂的性质、种类，分类、分质管理。加强日常的监管，防泄漏、防遗失，对危险性较大的高毒试剂，应经过有关部门批准，并且在安全防范措施具备的条件下进行储存、使用。应根据高毒化学品的危险性分区、分类贮存于保险柜内，保险柜必须符合“严密、坚固、通风、干燥”要求，并根据所贮存高毒化学品的性质、数量、危险程度与周围生活区、办公区等重要设施保持安全距离。高毒化学试剂的使用场所应根据高毒化学品性质，设置相应的安全防护距离、设施和必要的救护用品。</w:t>
            </w:r>
          </w:p>
          <w:p w14:paraId="4CC26675">
            <w:pPr>
              <w:ind w:firstLine="480"/>
              <w:rPr>
                <w:rFonts w:hint="eastAsia"/>
                <w:color w:val="auto"/>
              </w:rPr>
            </w:pPr>
            <w:r>
              <w:rPr>
                <w:rFonts w:hint="eastAsia"/>
                <w:color w:val="auto"/>
              </w:rPr>
              <w:t>（4）项目试剂存放间建设情况</w:t>
            </w:r>
          </w:p>
          <w:p w14:paraId="42DC5CAD">
            <w:pPr>
              <w:ind w:firstLine="480"/>
              <w:rPr>
                <w:rFonts w:hint="eastAsia"/>
                <w:color w:val="auto"/>
              </w:rPr>
            </w:pPr>
            <w:r>
              <w:rPr>
                <w:rFonts w:hint="eastAsia"/>
                <w:color w:val="auto"/>
              </w:rPr>
              <w:t>a.库房建筑设计应符合《建筑设计防火规范》、《仓库防火安全管理规则》、《化学危险物品安全管理条例》的规定。</w:t>
            </w:r>
          </w:p>
          <w:p w14:paraId="025A8AFB">
            <w:pPr>
              <w:ind w:firstLine="480"/>
              <w:rPr>
                <w:rFonts w:hint="eastAsia"/>
                <w:color w:val="auto"/>
              </w:rPr>
            </w:pPr>
            <w:r>
              <w:rPr>
                <w:rFonts w:hint="eastAsia"/>
                <w:color w:val="auto"/>
              </w:rPr>
              <w:t>b.在危险化学品存放区应设明显的防火等级标志，通道、出入口和通向消防设施的道路应保持畅通。</w:t>
            </w:r>
          </w:p>
          <w:p w14:paraId="53209689">
            <w:pPr>
              <w:ind w:firstLine="480"/>
              <w:rPr>
                <w:rFonts w:hint="eastAsia"/>
                <w:color w:val="auto"/>
              </w:rPr>
            </w:pPr>
            <w:r>
              <w:rPr>
                <w:rFonts w:hint="eastAsia"/>
                <w:color w:val="auto"/>
              </w:rPr>
              <w:t>c.存放易燃品的区域要采取杜绝火种的安全措施。</w:t>
            </w:r>
          </w:p>
          <w:p w14:paraId="767FD261">
            <w:pPr>
              <w:ind w:firstLine="480"/>
              <w:rPr>
                <w:rFonts w:hint="eastAsia"/>
                <w:color w:val="auto"/>
              </w:rPr>
            </w:pPr>
            <w:r>
              <w:rPr>
                <w:rFonts w:hint="eastAsia"/>
                <w:color w:val="auto"/>
              </w:rPr>
              <w:t>e.危险物品的储存要严格执行危险物品的配装规定。</w:t>
            </w:r>
          </w:p>
          <w:p w14:paraId="61931D21">
            <w:pPr>
              <w:ind w:firstLine="480"/>
              <w:rPr>
                <w:rFonts w:hint="eastAsia"/>
                <w:color w:val="auto"/>
              </w:rPr>
            </w:pPr>
            <w:r>
              <w:rPr>
                <w:rFonts w:hint="eastAsia"/>
                <w:color w:val="auto"/>
              </w:rPr>
              <w:t>（5）中药材储存</w:t>
            </w:r>
          </w:p>
          <w:p w14:paraId="340AA7B4">
            <w:pPr>
              <w:ind w:firstLine="480"/>
              <w:rPr>
                <w:rFonts w:hint="eastAsia"/>
                <w:color w:val="auto"/>
              </w:rPr>
            </w:pPr>
            <w:r>
              <w:rPr>
                <w:rFonts w:hint="eastAsia"/>
                <w:color w:val="auto"/>
              </w:rPr>
              <w:t>a.应在中药材堆存场所醒目位置设立“严禁烟火”、“禁火区”等警戒标语和标牌。</w:t>
            </w:r>
          </w:p>
          <w:p w14:paraId="1AB0C5CA">
            <w:pPr>
              <w:ind w:firstLine="480"/>
              <w:rPr>
                <w:rFonts w:hint="eastAsia"/>
                <w:color w:val="auto"/>
              </w:rPr>
            </w:pPr>
            <w:r>
              <w:rPr>
                <w:rFonts w:hint="eastAsia"/>
                <w:color w:val="auto"/>
              </w:rPr>
              <w:t>禁止任何人携带火种（如打火机、火柴、烟头等）和易产生碰撞火花的钉鞋器具等进入站内。厂内动火，须经审批，厂房扩建、改造和维修中，不可避免地要使用电气焊或其他维修火焰，必须认真落实好各项动火安全措施，并经负责人批准方可动工。</w:t>
            </w:r>
          </w:p>
          <w:p w14:paraId="057CDDA8">
            <w:pPr>
              <w:ind w:firstLine="480"/>
              <w:rPr>
                <w:rFonts w:hint="eastAsia"/>
                <w:color w:val="auto"/>
              </w:rPr>
            </w:pPr>
            <w:r>
              <w:rPr>
                <w:rFonts w:hint="eastAsia"/>
                <w:color w:val="auto"/>
              </w:rPr>
              <w:t>b.仓库配备必要的消防、通风、降温、防潮、防雷等安全设备。</w:t>
            </w:r>
          </w:p>
          <w:p w14:paraId="51007272">
            <w:pPr>
              <w:ind w:firstLine="480"/>
              <w:rPr>
                <w:rFonts w:hint="eastAsia"/>
                <w:color w:val="auto"/>
              </w:rPr>
            </w:pPr>
            <w:r>
              <w:rPr>
                <w:rFonts w:hint="eastAsia"/>
                <w:color w:val="auto"/>
              </w:rPr>
              <w:t>c.建立安全生产岗位责任制，制定安全生产规章制度、安全操作规程。</w:t>
            </w:r>
          </w:p>
          <w:p w14:paraId="58093B0C">
            <w:pPr>
              <w:keepNext w:val="0"/>
              <w:keepLines w:val="0"/>
              <w:pageBreakBefore w:val="0"/>
              <w:widowControl w:val="0"/>
              <w:kinsoku/>
              <w:wordWrap w:val="0"/>
              <w:overflowPunct/>
              <w:topLinePunct w:val="0"/>
              <w:autoSpaceDE/>
              <w:autoSpaceDN/>
              <w:bidi w:val="0"/>
              <w:adjustRightInd/>
              <w:snapToGrid/>
              <w:ind w:firstLine="0" w:firstLineChars="0"/>
              <w:textAlignment w:val="auto"/>
              <w:rPr>
                <w:b/>
                <w:bCs/>
                <w:color w:val="auto"/>
              </w:rPr>
            </w:pPr>
            <w:bookmarkStart w:id="12" w:name="_Toc454378089"/>
            <w:bookmarkStart w:id="13" w:name="_Toc19199646"/>
            <w:bookmarkStart w:id="14" w:name="_Toc446859612"/>
            <w:bookmarkStart w:id="15" w:name="_Toc457156555"/>
            <w:bookmarkStart w:id="16" w:name="_Toc30725"/>
            <w:r>
              <w:rPr>
                <w:rFonts w:hint="eastAsia"/>
                <w:b/>
                <w:bCs/>
                <w:color w:val="auto"/>
                <w:lang w:val="en-US" w:eastAsia="zh-CN"/>
              </w:rPr>
              <w:t>6</w:t>
            </w:r>
            <w:r>
              <w:rPr>
                <w:rFonts w:hint="eastAsia"/>
                <w:b/>
                <w:bCs/>
                <w:color w:val="auto"/>
              </w:rPr>
              <w:t>.环境风险监控及应急监测系统</w:t>
            </w:r>
          </w:p>
          <w:p w14:paraId="5F407053">
            <w:pPr>
              <w:keepNext w:val="0"/>
              <w:keepLines w:val="0"/>
              <w:pageBreakBefore w:val="0"/>
              <w:widowControl w:val="0"/>
              <w:kinsoku/>
              <w:wordWrap w:val="0"/>
              <w:overflowPunct/>
              <w:topLinePunct w:val="0"/>
              <w:autoSpaceDE/>
              <w:autoSpaceDN/>
              <w:bidi w:val="0"/>
              <w:adjustRightInd/>
              <w:snapToGrid/>
              <w:ind w:firstLine="0" w:firstLineChars="0"/>
              <w:textAlignment w:val="auto"/>
              <w:rPr>
                <w:b/>
                <w:bCs/>
                <w:color w:val="auto"/>
              </w:rPr>
            </w:pPr>
            <w:r>
              <w:rPr>
                <w:rFonts w:hint="eastAsia"/>
                <w:b/>
                <w:bCs/>
                <w:color w:val="auto"/>
                <w:lang w:val="en-US" w:eastAsia="zh-CN"/>
              </w:rPr>
              <w:t>6</w:t>
            </w:r>
            <w:r>
              <w:rPr>
                <w:rFonts w:hint="eastAsia"/>
                <w:b/>
                <w:bCs/>
                <w:color w:val="auto"/>
              </w:rPr>
              <w:t>.1环境风险源监控</w:t>
            </w:r>
          </w:p>
          <w:p w14:paraId="536E61C3">
            <w:pPr>
              <w:ind w:firstLine="480"/>
              <w:rPr>
                <w:color w:val="auto"/>
              </w:rPr>
            </w:pPr>
            <w:r>
              <w:rPr>
                <w:rFonts w:hint="eastAsia"/>
                <w:color w:val="auto"/>
              </w:rPr>
              <w:t>为了及时掌握危险源的情况，对危险事故做到早发现早处理，降低或避免危险事故造成的危害，必须建立健全危险源监控体系，日常应急救援办公室必须24小时派专人值守。具体内容包括监控设备设施、监控内容、监控人员、物资配备等。</w:t>
            </w:r>
          </w:p>
          <w:p w14:paraId="4049921A">
            <w:pPr>
              <w:ind w:firstLine="480"/>
              <w:rPr>
                <w:color w:val="auto"/>
              </w:rPr>
            </w:pPr>
            <w:r>
              <w:rPr>
                <w:rFonts w:hint="eastAsia"/>
                <w:color w:val="auto"/>
              </w:rPr>
              <w:t>针对不同环境危险源及具体监控措施如下：</w:t>
            </w:r>
          </w:p>
          <w:p w14:paraId="3123732B">
            <w:pPr>
              <w:ind w:firstLine="480"/>
              <w:rPr>
                <w:color w:val="auto"/>
              </w:rPr>
            </w:pPr>
            <w:r>
              <w:rPr>
                <w:rFonts w:hint="eastAsia"/>
                <w:color w:val="auto"/>
              </w:rPr>
              <w:t>（1）生产区、仓库、消防灭火系统等都有各种不同形式的自动检测、调节、控制、报警装置，正常情况下，三小时巡检1次，巡检内容主要为设备设施、储存容器的完好情况。</w:t>
            </w:r>
          </w:p>
          <w:p w14:paraId="0007EA9B">
            <w:pPr>
              <w:ind w:firstLine="480"/>
              <w:rPr>
                <w:color w:val="auto"/>
              </w:rPr>
            </w:pPr>
            <w:r>
              <w:rPr>
                <w:rFonts w:hint="eastAsia"/>
                <w:color w:val="auto"/>
              </w:rPr>
              <w:t>（2）卫生防护设施，设置专人负责进行定期监控，正常情况下，每周1次，检查内容主要有急救箱和个人防护用品等。</w:t>
            </w:r>
          </w:p>
          <w:p w14:paraId="633F52FE">
            <w:pPr>
              <w:ind w:firstLine="480"/>
              <w:rPr>
                <w:color w:val="auto"/>
              </w:rPr>
            </w:pPr>
            <w:r>
              <w:rPr>
                <w:rFonts w:hint="eastAsia"/>
                <w:color w:val="auto"/>
              </w:rPr>
              <w:t>（3）环保设备设施设置专人负责，本企业的环保应急设施主要有事故池，备用设施等。正常情况下每天巡检1次，巡检内容主要为各设备设施是否完好，且处于正常状态。</w:t>
            </w:r>
          </w:p>
          <w:p w14:paraId="32C3C854">
            <w:pPr>
              <w:ind w:firstLine="480"/>
              <w:rPr>
                <w:color w:val="auto"/>
              </w:rPr>
            </w:pPr>
            <w:r>
              <w:rPr>
                <w:rFonts w:hint="eastAsia"/>
                <w:color w:val="auto"/>
              </w:rPr>
              <w:t>（4）应急设备或物资设置专人负责。本企业的应急物资主要有消防设施（包括干粉灭火器）。正常情况下一天检查1次，保证各物资的充足与完好。</w:t>
            </w:r>
          </w:p>
          <w:p w14:paraId="43B8E23F">
            <w:pPr>
              <w:keepNext w:val="0"/>
              <w:keepLines w:val="0"/>
              <w:pageBreakBefore w:val="0"/>
              <w:widowControl w:val="0"/>
              <w:kinsoku/>
              <w:wordWrap w:val="0"/>
              <w:overflowPunct/>
              <w:topLinePunct w:val="0"/>
              <w:autoSpaceDE/>
              <w:autoSpaceDN/>
              <w:bidi w:val="0"/>
              <w:adjustRightInd/>
              <w:snapToGrid/>
              <w:ind w:firstLine="0" w:firstLineChars="0"/>
              <w:textAlignment w:val="auto"/>
              <w:rPr>
                <w:b/>
                <w:bCs/>
                <w:color w:val="auto"/>
              </w:rPr>
            </w:pPr>
            <w:r>
              <w:rPr>
                <w:rFonts w:hint="eastAsia"/>
                <w:b/>
                <w:bCs/>
                <w:color w:val="auto"/>
                <w:lang w:val="en-US" w:eastAsia="zh-CN"/>
              </w:rPr>
              <w:t>6</w:t>
            </w:r>
            <w:r>
              <w:rPr>
                <w:rFonts w:hint="eastAsia"/>
                <w:b/>
                <w:bCs/>
                <w:color w:val="auto"/>
              </w:rPr>
              <w:t>.2应急监测</w:t>
            </w:r>
          </w:p>
          <w:p w14:paraId="160B0A18">
            <w:pPr>
              <w:ind w:firstLine="480"/>
              <w:rPr>
                <w:color w:val="auto"/>
              </w:rPr>
            </w:pPr>
            <w:r>
              <w:rPr>
                <w:rFonts w:hint="eastAsia"/>
                <w:color w:val="auto"/>
              </w:rPr>
              <w:t>为及时了解事故产生时对周围环境敏感点的影响，特提出应急监测计划。在事故发生后，环境应急事件应急监测工作由企业委托第三方专业监测机构负责，厂内环境监控组配合。对现场进行全天候的空气、水质及环境等项目监控，防止大气和污染区扩大。按照环境污染事故的类型，分别进行大气和水环境等监测，监测频率可按每小时一次安排。监测结果需要随时提供给专业指挥部，为应急决策提供支持。</w:t>
            </w:r>
          </w:p>
          <w:p w14:paraId="6C139D72">
            <w:pPr>
              <w:keepNext w:val="0"/>
              <w:keepLines w:val="0"/>
              <w:pageBreakBefore w:val="0"/>
              <w:widowControl w:val="0"/>
              <w:kinsoku/>
              <w:wordWrap w:val="0"/>
              <w:overflowPunct/>
              <w:topLinePunct w:val="0"/>
              <w:autoSpaceDE/>
              <w:autoSpaceDN/>
              <w:bidi w:val="0"/>
              <w:adjustRightInd/>
              <w:snapToGrid/>
              <w:ind w:firstLine="0" w:firstLineChars="0"/>
              <w:textAlignment w:val="auto"/>
              <w:rPr>
                <w:b/>
                <w:bCs/>
                <w:color w:val="auto"/>
              </w:rPr>
            </w:pPr>
            <w:r>
              <w:rPr>
                <w:rFonts w:hint="eastAsia"/>
                <w:b/>
                <w:bCs/>
                <w:color w:val="auto"/>
                <w:lang w:val="en-US" w:eastAsia="zh-CN"/>
              </w:rPr>
              <w:t>6.3</w:t>
            </w:r>
            <w:r>
              <w:rPr>
                <w:rFonts w:hint="eastAsia"/>
                <w:b/>
                <w:bCs/>
                <w:color w:val="auto"/>
              </w:rPr>
              <w:t>厂内环境风险防控系统与园区/区域环境风险防控体系的衔接要求</w:t>
            </w:r>
          </w:p>
          <w:p w14:paraId="335BDB7E">
            <w:pPr>
              <w:ind w:firstLine="480"/>
              <w:rPr>
                <w:color w:val="auto"/>
              </w:rPr>
            </w:pPr>
            <w:r>
              <w:rPr>
                <w:rFonts w:hint="eastAsia"/>
                <w:color w:val="auto"/>
              </w:rPr>
              <w:t>《建设项目环境风险评价技术导则》（HJ169-2018）要求，考虑事故触发具有不确定性，厂内环境风险防控系统应纳入园区/区域环境风险防控体系，明确风险防控设施、管理的衔接要求。</w:t>
            </w:r>
          </w:p>
          <w:p w14:paraId="29F5AFDA">
            <w:pPr>
              <w:ind w:firstLine="480"/>
              <w:rPr>
                <w:color w:val="auto"/>
              </w:rPr>
            </w:pPr>
            <w:r>
              <w:rPr>
                <w:rFonts w:hint="eastAsia"/>
                <w:color w:val="auto"/>
              </w:rPr>
              <w:t>（1）风险防控设施的衔接要求</w:t>
            </w:r>
          </w:p>
          <w:p w14:paraId="683FA88E">
            <w:pPr>
              <w:ind w:firstLine="480"/>
              <w:rPr>
                <w:color w:val="auto"/>
              </w:rPr>
            </w:pPr>
            <w:r>
              <w:rPr>
                <w:rFonts w:hint="eastAsia"/>
                <w:color w:val="auto"/>
              </w:rPr>
              <w:t>风险防控设施主要包括预警监测措施、三级防控体系、各个环境风险单元风险防控措施、风险监控与预警，由于企业风险防控设施环境风险防控能力有限，企业的风险防控措施要与园区的风险防控措施衔接，针对企业风险防控设施的不足，应提出修改完善的建议。</w:t>
            </w:r>
          </w:p>
          <w:p w14:paraId="7732B9D1">
            <w:pPr>
              <w:ind w:firstLine="480"/>
              <w:rPr>
                <w:color w:val="auto"/>
              </w:rPr>
            </w:pPr>
            <w:r>
              <w:rPr>
                <w:rFonts w:hint="eastAsia"/>
                <w:color w:val="auto"/>
              </w:rPr>
              <w:t>（2）管理防控措施的衔接要求</w:t>
            </w:r>
          </w:p>
          <w:p w14:paraId="548FAF67">
            <w:pPr>
              <w:ind w:firstLine="480"/>
              <w:rPr>
                <w:color w:val="auto"/>
              </w:rPr>
            </w:pPr>
            <w:r>
              <w:rPr>
                <w:rFonts w:hint="eastAsia"/>
                <w:color w:val="auto"/>
              </w:rPr>
              <w:t>管理防控措施主要包括应急预案管理、风险管理制度、环境应急管理，企业管理防控措施要与园区的管理防控措施相衔接，由于企业管理防控设施有限，应将企业管理防控措施与园区的相衔接，针对企业风险管理制度及环境应急管理制度的缺失与不足，应提出修改完善的建议。</w:t>
            </w:r>
          </w:p>
          <w:bookmarkEnd w:id="12"/>
          <w:bookmarkEnd w:id="13"/>
          <w:bookmarkEnd w:id="14"/>
          <w:bookmarkEnd w:id="15"/>
          <w:bookmarkEnd w:id="16"/>
          <w:p w14:paraId="5153DD28">
            <w:pPr>
              <w:keepNext w:val="0"/>
              <w:keepLines w:val="0"/>
              <w:pageBreakBefore w:val="0"/>
              <w:widowControl w:val="0"/>
              <w:kinsoku/>
              <w:wordWrap w:val="0"/>
              <w:overflowPunct/>
              <w:topLinePunct w:val="0"/>
              <w:autoSpaceDE/>
              <w:autoSpaceDN/>
              <w:bidi w:val="0"/>
              <w:adjustRightInd/>
              <w:snapToGrid/>
              <w:ind w:firstLine="0" w:firstLineChars="0"/>
              <w:textAlignment w:val="auto"/>
              <w:rPr>
                <w:b/>
                <w:bCs/>
                <w:color w:val="auto"/>
              </w:rPr>
            </w:pPr>
            <w:r>
              <w:rPr>
                <w:rFonts w:hint="eastAsia"/>
                <w:b/>
                <w:bCs/>
                <w:color w:val="auto"/>
                <w:lang w:val="en-US" w:eastAsia="zh-CN"/>
              </w:rPr>
              <w:t>7</w:t>
            </w:r>
            <w:r>
              <w:rPr>
                <w:b/>
                <w:bCs/>
                <w:color w:val="auto"/>
              </w:rPr>
              <w:t>.应急预案</w:t>
            </w:r>
          </w:p>
          <w:p w14:paraId="3193D499">
            <w:pPr>
              <w:ind w:firstLine="480"/>
              <w:rPr>
                <w:color w:val="auto"/>
              </w:rPr>
            </w:pPr>
            <w:r>
              <w:rPr>
                <w:rFonts w:hint="eastAsia"/>
                <w:color w:val="auto"/>
              </w:rPr>
              <w:t>根据环保部《突发环境事件应急管理办法》（环境保护部令第34号）、《企业事业单位突发环境事件应急预案备案管理办法（试行）》（环发[2015]4号）、《企业事业单位突发环境事件应急预案评审工作指南（试行）》的通知（环办应急[2018]8号）、环保部《关于进一步加强环境影响评价管理防范环境风险的通知》（环发[2012]77号）等的规定和要求，建设单位应编制突发环境事件应急预案，并向企业所在地环境保护主管部门备案，同时注意编制的应急预案应与各区域相关企业应急系统衔接。环境应急预案应每三年或发生生产工艺和技术变化、周围环境敏感点发生变化、相关法律法规等发生变化及其他情形的，建设单位应重新修订环境应急预案，并向环境保护主管部门重新备案。</w:t>
            </w:r>
          </w:p>
          <w:p w14:paraId="2124725E">
            <w:pPr>
              <w:ind w:firstLine="480"/>
              <w:rPr>
                <w:color w:val="auto"/>
              </w:rPr>
            </w:pPr>
            <w:r>
              <w:rPr>
                <w:rFonts w:hint="eastAsia"/>
                <w:b/>
                <w:bCs/>
                <w:color w:val="auto"/>
                <w:lang w:val="en-US" w:eastAsia="zh-CN"/>
              </w:rPr>
              <w:t>综上，</w:t>
            </w:r>
            <w:r>
              <w:rPr>
                <w:rFonts w:hint="eastAsia"/>
                <w:color w:val="auto"/>
              </w:rPr>
              <w:t>在认真落实评价提出的各项风险防范和应急措施后，项目的风险处于可防控的水平。</w:t>
            </w:r>
          </w:p>
          <w:bookmarkEnd w:id="9"/>
          <w:bookmarkEnd w:id="10"/>
          <w:p w14:paraId="2B3D0E81">
            <w:pPr>
              <w:keepNext w:val="0"/>
              <w:keepLines w:val="0"/>
              <w:pageBreakBefore w:val="0"/>
              <w:widowControl w:val="0"/>
              <w:kinsoku/>
              <w:wordWrap w:val="0"/>
              <w:overflowPunct/>
              <w:topLinePunct w:val="0"/>
              <w:autoSpaceDE/>
              <w:autoSpaceDN/>
              <w:bidi w:val="0"/>
              <w:adjustRightInd/>
              <w:snapToGrid/>
              <w:ind w:firstLine="0" w:firstLineChars="0"/>
              <w:textAlignment w:val="auto"/>
              <w:rPr>
                <w:b/>
                <w:bCs/>
                <w:color w:val="auto"/>
              </w:rPr>
            </w:pPr>
            <w:r>
              <w:rPr>
                <w:rFonts w:hint="eastAsia"/>
                <w:b/>
                <w:bCs/>
                <w:color w:val="auto"/>
              </w:rPr>
              <w:t>八、环保投资一览表</w:t>
            </w:r>
          </w:p>
          <w:p w14:paraId="30798EA9">
            <w:pPr>
              <w:ind w:firstLine="480"/>
              <w:rPr>
                <w:color w:val="auto"/>
                <w:kern w:val="0"/>
              </w:rPr>
            </w:pPr>
            <w:r>
              <w:rPr>
                <w:rFonts w:hint="eastAsia"/>
                <w:color w:val="auto"/>
              </w:rPr>
              <w:t>本项目总投资</w:t>
            </w:r>
            <w:r>
              <w:rPr>
                <w:rFonts w:hint="eastAsia"/>
                <w:color w:val="auto"/>
                <w:lang w:val="en-US" w:eastAsia="zh-CN"/>
              </w:rPr>
              <w:t>470</w:t>
            </w:r>
            <w:r>
              <w:rPr>
                <w:rFonts w:hint="eastAsia"/>
                <w:color w:val="auto"/>
              </w:rPr>
              <w:t>00万元，其中环保投资</w:t>
            </w:r>
            <w:r>
              <w:rPr>
                <w:rFonts w:hint="eastAsia"/>
                <w:color w:val="auto"/>
                <w:lang w:val="en-US" w:eastAsia="zh-CN"/>
              </w:rPr>
              <w:t>387</w:t>
            </w:r>
            <w:r>
              <w:rPr>
                <w:rFonts w:hint="eastAsia"/>
                <w:color w:val="auto"/>
              </w:rPr>
              <w:t>万元，占总投资的</w:t>
            </w:r>
            <w:r>
              <w:rPr>
                <w:rFonts w:hint="eastAsia"/>
                <w:color w:val="auto"/>
                <w:lang w:val="en-US" w:eastAsia="zh-CN"/>
              </w:rPr>
              <w:t>0.82</w:t>
            </w:r>
            <w:r>
              <w:rPr>
                <w:color w:val="auto"/>
              </w:rPr>
              <w:t>%</w:t>
            </w:r>
            <w:r>
              <w:rPr>
                <w:rFonts w:hint="eastAsia"/>
                <w:color w:val="auto"/>
              </w:rPr>
              <w:t>。</w:t>
            </w:r>
          </w:p>
          <w:p w14:paraId="508D8CB4">
            <w:pPr>
              <w:keepNext w:val="0"/>
              <w:keepLines w:val="0"/>
              <w:pageBreakBefore w:val="0"/>
              <w:widowControl w:val="0"/>
              <w:numPr>
                <w:ilvl w:val="0"/>
                <w:numId w:val="9"/>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lang w:val="zh-CN"/>
              </w:rPr>
            </w:pPr>
            <w:r>
              <w:rPr>
                <w:rFonts w:hint="eastAsia" w:ascii="Times New Roman" w:hAnsi="Times New Roman" w:eastAsia="宋体" w:cs="Times New Roman"/>
                <w:b/>
                <w:bCs/>
                <w:color w:val="auto"/>
                <w:sz w:val="21"/>
                <w:szCs w:val="21"/>
                <w:lang w:val="zh-CN"/>
              </w:rPr>
              <w:t>污染防治措施及“三同时”验收一览表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0" w:type="dxa"/>
                <w:bottom w:w="0" w:type="dxa"/>
                <w:right w:w="0" w:type="dxa"/>
              </w:tblCellMar>
            </w:tblPr>
            <w:tblGrid>
              <w:gridCol w:w="432"/>
              <w:gridCol w:w="341"/>
              <w:gridCol w:w="1000"/>
              <w:gridCol w:w="2327"/>
              <w:gridCol w:w="1388"/>
              <w:gridCol w:w="1897"/>
              <w:gridCol w:w="692"/>
            </w:tblGrid>
            <w:tr w14:paraId="4291904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68" w:type="pct"/>
                  <w:tcMar>
                    <w:left w:w="28" w:type="dxa"/>
                    <w:right w:w="28" w:type="dxa"/>
                  </w:tcMar>
                  <w:vAlign w:val="center"/>
                </w:tcPr>
                <w:p w14:paraId="22B39F27">
                  <w:pPr>
                    <w:spacing w:line="240" w:lineRule="auto"/>
                    <w:ind w:firstLine="0" w:firstLineChars="0"/>
                    <w:jc w:val="center"/>
                    <w:rPr>
                      <w:color w:val="auto"/>
                      <w:sz w:val="21"/>
                      <w:szCs w:val="21"/>
                    </w:rPr>
                  </w:pPr>
                  <w:r>
                    <w:rPr>
                      <w:rFonts w:hint="eastAsia"/>
                      <w:color w:val="auto"/>
                      <w:sz w:val="21"/>
                      <w:szCs w:val="21"/>
                    </w:rPr>
                    <w:t>类型</w:t>
                  </w:r>
                </w:p>
              </w:tc>
              <w:tc>
                <w:tcPr>
                  <w:tcW w:w="830" w:type="pct"/>
                  <w:gridSpan w:val="2"/>
                  <w:tcMar>
                    <w:left w:w="28" w:type="dxa"/>
                    <w:right w:w="28" w:type="dxa"/>
                  </w:tcMar>
                  <w:vAlign w:val="center"/>
                </w:tcPr>
                <w:p w14:paraId="0630C52F">
                  <w:pPr>
                    <w:spacing w:line="240" w:lineRule="auto"/>
                    <w:ind w:firstLine="0" w:firstLineChars="0"/>
                    <w:jc w:val="center"/>
                    <w:rPr>
                      <w:color w:val="auto"/>
                      <w:sz w:val="21"/>
                      <w:szCs w:val="21"/>
                    </w:rPr>
                  </w:pPr>
                  <w:r>
                    <w:rPr>
                      <w:rFonts w:hint="eastAsia"/>
                      <w:color w:val="auto"/>
                      <w:sz w:val="21"/>
                      <w:szCs w:val="21"/>
                    </w:rPr>
                    <w:t>污染源</w:t>
                  </w:r>
                </w:p>
              </w:tc>
              <w:tc>
                <w:tcPr>
                  <w:tcW w:w="1440" w:type="pct"/>
                  <w:tcMar>
                    <w:left w:w="28" w:type="dxa"/>
                    <w:right w:w="28" w:type="dxa"/>
                  </w:tcMar>
                  <w:vAlign w:val="center"/>
                </w:tcPr>
                <w:p w14:paraId="53D8A82C">
                  <w:pPr>
                    <w:spacing w:line="240" w:lineRule="auto"/>
                    <w:ind w:firstLine="0" w:firstLineChars="0"/>
                    <w:jc w:val="center"/>
                    <w:rPr>
                      <w:color w:val="auto"/>
                      <w:sz w:val="21"/>
                      <w:szCs w:val="21"/>
                    </w:rPr>
                  </w:pPr>
                  <w:r>
                    <w:rPr>
                      <w:color w:val="auto"/>
                      <w:sz w:val="21"/>
                      <w:szCs w:val="21"/>
                    </w:rPr>
                    <w:t>治理措施</w:t>
                  </w:r>
                </w:p>
              </w:tc>
              <w:tc>
                <w:tcPr>
                  <w:tcW w:w="859" w:type="pct"/>
                  <w:tcMar>
                    <w:left w:w="28" w:type="dxa"/>
                    <w:right w:w="28" w:type="dxa"/>
                  </w:tcMar>
                  <w:vAlign w:val="center"/>
                </w:tcPr>
                <w:p w14:paraId="342FB5F0">
                  <w:pPr>
                    <w:spacing w:line="240" w:lineRule="auto"/>
                    <w:ind w:firstLine="0" w:firstLineChars="0"/>
                    <w:jc w:val="center"/>
                    <w:rPr>
                      <w:color w:val="auto"/>
                      <w:sz w:val="21"/>
                      <w:szCs w:val="21"/>
                    </w:rPr>
                  </w:pPr>
                  <w:r>
                    <w:rPr>
                      <w:color w:val="auto"/>
                      <w:sz w:val="21"/>
                      <w:szCs w:val="21"/>
                    </w:rPr>
                    <w:t>验收内容</w:t>
                  </w:r>
                </w:p>
              </w:tc>
              <w:tc>
                <w:tcPr>
                  <w:tcW w:w="1173" w:type="pct"/>
                  <w:tcMar>
                    <w:left w:w="28" w:type="dxa"/>
                    <w:right w:w="28" w:type="dxa"/>
                  </w:tcMar>
                  <w:vAlign w:val="center"/>
                </w:tcPr>
                <w:p w14:paraId="4588DE83">
                  <w:pPr>
                    <w:spacing w:line="240" w:lineRule="auto"/>
                    <w:ind w:firstLine="0" w:firstLineChars="0"/>
                    <w:jc w:val="center"/>
                    <w:rPr>
                      <w:color w:val="auto"/>
                      <w:sz w:val="21"/>
                      <w:szCs w:val="21"/>
                    </w:rPr>
                  </w:pPr>
                  <w:r>
                    <w:rPr>
                      <w:color w:val="auto"/>
                      <w:sz w:val="21"/>
                      <w:szCs w:val="21"/>
                    </w:rPr>
                    <w:t>验收标准</w:t>
                  </w:r>
                </w:p>
              </w:tc>
              <w:tc>
                <w:tcPr>
                  <w:tcW w:w="428" w:type="pct"/>
                  <w:tcMar>
                    <w:left w:w="28" w:type="dxa"/>
                    <w:right w:w="28" w:type="dxa"/>
                  </w:tcMar>
                  <w:vAlign w:val="center"/>
                </w:tcPr>
                <w:p w14:paraId="10D75454">
                  <w:pPr>
                    <w:spacing w:line="240" w:lineRule="auto"/>
                    <w:ind w:firstLine="0" w:firstLineChars="0"/>
                    <w:jc w:val="center"/>
                    <w:rPr>
                      <w:color w:val="auto"/>
                      <w:sz w:val="21"/>
                      <w:szCs w:val="21"/>
                    </w:rPr>
                  </w:pPr>
                  <w:r>
                    <w:rPr>
                      <w:rFonts w:hint="eastAsia"/>
                      <w:color w:val="auto"/>
                      <w:sz w:val="21"/>
                      <w:szCs w:val="21"/>
                    </w:rPr>
                    <w:t>投资（万）</w:t>
                  </w:r>
                </w:p>
              </w:tc>
            </w:tr>
            <w:tr w14:paraId="0BFF78A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945" w:hRule="atLeast"/>
                <w:jc w:val="center"/>
              </w:trPr>
              <w:tc>
                <w:tcPr>
                  <w:tcW w:w="268" w:type="pct"/>
                  <w:vMerge w:val="restart"/>
                  <w:tcMar>
                    <w:left w:w="28" w:type="dxa"/>
                    <w:right w:w="28" w:type="dxa"/>
                  </w:tcMar>
                  <w:vAlign w:val="center"/>
                </w:tcPr>
                <w:p w14:paraId="59E3B46B">
                  <w:pPr>
                    <w:spacing w:line="240" w:lineRule="auto"/>
                    <w:ind w:firstLine="0" w:firstLineChars="0"/>
                    <w:jc w:val="center"/>
                    <w:rPr>
                      <w:color w:val="auto"/>
                      <w:sz w:val="21"/>
                      <w:szCs w:val="21"/>
                    </w:rPr>
                  </w:pPr>
                  <w:r>
                    <w:rPr>
                      <w:rFonts w:hint="eastAsia"/>
                      <w:color w:val="auto"/>
                      <w:sz w:val="21"/>
                      <w:szCs w:val="21"/>
                    </w:rPr>
                    <w:t>废气</w:t>
                  </w:r>
                </w:p>
              </w:tc>
              <w:tc>
                <w:tcPr>
                  <w:tcW w:w="830" w:type="pct"/>
                  <w:gridSpan w:val="2"/>
                  <w:vMerge w:val="restart"/>
                  <w:shd w:val="clear" w:color="auto" w:fill="auto"/>
                  <w:tcMar>
                    <w:left w:w="28" w:type="dxa"/>
                    <w:right w:w="28" w:type="dxa"/>
                  </w:tcMar>
                  <w:vAlign w:val="center"/>
                </w:tcPr>
                <w:p w14:paraId="0899F7DA">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s="Times New Roman"/>
                      <w:bCs/>
                      <w:kern w:val="2"/>
                      <w:sz w:val="21"/>
                      <w:szCs w:val="21"/>
                      <w:lang w:val="en-US" w:eastAsia="zh-CN" w:bidi="ar-SA"/>
                    </w:rPr>
                  </w:pPr>
                  <w:r>
                    <w:rPr>
                      <w:rFonts w:hint="eastAsia"/>
                      <w:bCs/>
                      <w:sz w:val="21"/>
                      <w:szCs w:val="21"/>
                      <w:lang w:val="en-US" w:eastAsia="zh-CN"/>
                    </w:rPr>
                    <w:t>中药材异味</w:t>
                  </w:r>
                </w:p>
              </w:tc>
              <w:tc>
                <w:tcPr>
                  <w:tcW w:w="1440" w:type="pct"/>
                  <w:tcMar>
                    <w:left w:w="28" w:type="dxa"/>
                    <w:right w:w="28" w:type="dxa"/>
                  </w:tcMar>
                  <w:vAlign w:val="center"/>
                </w:tcPr>
                <w:p w14:paraId="4E98014D">
                  <w:pPr>
                    <w:spacing w:line="240" w:lineRule="auto"/>
                    <w:ind w:firstLine="0" w:firstLineChars="0"/>
                    <w:jc w:val="center"/>
                    <w:rPr>
                      <w:rFonts w:hint="default" w:eastAsia="宋体"/>
                      <w:color w:val="auto"/>
                      <w:sz w:val="21"/>
                      <w:szCs w:val="21"/>
                      <w:lang w:val="en-US" w:eastAsia="zh-CN"/>
                    </w:rPr>
                  </w:pPr>
                  <w:r>
                    <w:rPr>
                      <w:rFonts w:hint="eastAsia"/>
                      <w:color w:val="auto"/>
                      <w:sz w:val="21"/>
                      <w:szCs w:val="21"/>
                    </w:rPr>
                    <w:t>设置为密闭作业房</w:t>
                  </w:r>
                  <w:r>
                    <w:rPr>
                      <w:rFonts w:hint="eastAsia"/>
                      <w:color w:val="auto"/>
                      <w:sz w:val="21"/>
                      <w:szCs w:val="21"/>
                      <w:lang w:eastAsia="zh-CN"/>
                    </w:rPr>
                    <w:t>，</w:t>
                  </w:r>
                  <w:r>
                    <w:rPr>
                      <w:rFonts w:hint="eastAsia"/>
                      <w:color w:val="auto"/>
                      <w:sz w:val="21"/>
                      <w:szCs w:val="21"/>
                    </w:rPr>
                    <w:t>在产异味装置上方分别设置集气罩，整体密闭房设置负压抽风</w:t>
                  </w:r>
                  <w:r>
                    <w:rPr>
                      <w:rFonts w:hint="eastAsia"/>
                      <w:color w:val="auto"/>
                      <w:sz w:val="21"/>
                      <w:szCs w:val="21"/>
                      <w:lang w:eastAsia="zh-CN"/>
                    </w:rPr>
                    <w:t>，</w:t>
                  </w:r>
                  <w:r>
                    <w:rPr>
                      <w:rFonts w:hint="eastAsia"/>
                      <w:color w:val="auto"/>
                      <w:sz w:val="21"/>
                      <w:szCs w:val="21"/>
                      <w:lang w:val="en-US" w:eastAsia="zh-CN"/>
                    </w:rPr>
                    <w:t>引至“喷淋塔+水雾分离器+活性炭”</w:t>
                  </w:r>
                  <w:r>
                    <w:rPr>
                      <w:rFonts w:hint="eastAsia"/>
                      <w:color w:val="auto"/>
                      <w:sz w:val="21"/>
                      <w:szCs w:val="21"/>
                    </w:rPr>
                    <w:t>，处理后通过15米高排气筒排放</w:t>
                  </w:r>
                </w:p>
              </w:tc>
              <w:tc>
                <w:tcPr>
                  <w:tcW w:w="859" w:type="pct"/>
                  <w:vMerge w:val="restart"/>
                  <w:tcMar>
                    <w:left w:w="28" w:type="dxa"/>
                    <w:right w:w="28" w:type="dxa"/>
                  </w:tcMar>
                  <w:vAlign w:val="center"/>
                </w:tcPr>
                <w:p w14:paraId="755D1B12">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密闭罩/集气罩+喷淋塔+水雾分离器+活性炭+</w:t>
                  </w:r>
                  <w:r>
                    <w:rPr>
                      <w:rFonts w:hint="eastAsia"/>
                      <w:color w:val="auto"/>
                      <w:sz w:val="21"/>
                      <w:szCs w:val="21"/>
                    </w:rPr>
                    <w:t>15米高排气筒</w:t>
                  </w:r>
                </w:p>
              </w:tc>
              <w:tc>
                <w:tcPr>
                  <w:tcW w:w="1173" w:type="pct"/>
                  <w:vMerge w:val="restart"/>
                  <w:tcMar>
                    <w:left w:w="28" w:type="dxa"/>
                    <w:right w:w="28" w:type="dxa"/>
                  </w:tcMar>
                  <w:vAlign w:val="center"/>
                </w:tcPr>
                <w:p w14:paraId="20F8E391">
                  <w:pPr>
                    <w:spacing w:line="240" w:lineRule="auto"/>
                    <w:ind w:firstLine="0" w:firstLineChars="0"/>
                    <w:jc w:val="center"/>
                    <w:rPr>
                      <w:color w:val="auto"/>
                      <w:sz w:val="21"/>
                      <w:szCs w:val="21"/>
                    </w:rPr>
                  </w:pPr>
                  <w:r>
                    <w:rPr>
                      <w:rFonts w:hint="eastAsia"/>
                      <w:color w:val="auto"/>
                      <w:sz w:val="21"/>
                      <w:szCs w:val="21"/>
                    </w:rPr>
                    <w:t>《恶臭污染物排放标准》（GB14554-93）</w:t>
                  </w:r>
                </w:p>
              </w:tc>
              <w:tc>
                <w:tcPr>
                  <w:tcW w:w="428" w:type="pct"/>
                  <w:vMerge w:val="restart"/>
                  <w:tcMar>
                    <w:left w:w="28" w:type="dxa"/>
                    <w:right w:w="28" w:type="dxa"/>
                  </w:tcMar>
                  <w:vAlign w:val="center"/>
                </w:tcPr>
                <w:p w14:paraId="067C22A5">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10</w:t>
                  </w:r>
                </w:p>
              </w:tc>
            </w:tr>
            <w:tr w14:paraId="67CCA86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945" w:hRule="atLeast"/>
                <w:jc w:val="center"/>
              </w:trPr>
              <w:tc>
                <w:tcPr>
                  <w:tcW w:w="268" w:type="pct"/>
                  <w:vMerge w:val="continue"/>
                  <w:tcMar>
                    <w:left w:w="28" w:type="dxa"/>
                    <w:right w:w="28" w:type="dxa"/>
                  </w:tcMar>
                  <w:vAlign w:val="center"/>
                </w:tcPr>
                <w:p w14:paraId="09E476AC">
                  <w:pPr>
                    <w:spacing w:line="240" w:lineRule="auto"/>
                    <w:ind w:firstLine="0" w:firstLineChars="0"/>
                    <w:jc w:val="center"/>
                  </w:pPr>
                </w:p>
              </w:tc>
              <w:tc>
                <w:tcPr>
                  <w:tcW w:w="830" w:type="pct"/>
                  <w:gridSpan w:val="2"/>
                  <w:vMerge w:val="continue"/>
                  <w:shd w:val="clear" w:color="auto" w:fill="auto"/>
                  <w:tcMar>
                    <w:left w:w="28" w:type="dxa"/>
                    <w:right w:w="28" w:type="dxa"/>
                  </w:tcMar>
                  <w:vAlign w:val="center"/>
                </w:tcPr>
                <w:p w14:paraId="2A18BC4B">
                  <w:pPr>
                    <w:spacing w:line="240" w:lineRule="auto"/>
                    <w:ind w:firstLine="0" w:firstLineChars="0"/>
                    <w:jc w:val="center"/>
                  </w:pPr>
                </w:p>
              </w:tc>
              <w:tc>
                <w:tcPr>
                  <w:tcW w:w="1440" w:type="pct"/>
                  <w:tcMar>
                    <w:left w:w="28" w:type="dxa"/>
                    <w:right w:w="28" w:type="dxa"/>
                  </w:tcMar>
                  <w:vAlign w:val="center"/>
                </w:tcPr>
                <w:p w14:paraId="047002D1">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药渣暂存间及危废暂存间密封设置，废气引至上述生产工序设置的“喷淋塔+水雾分离器+活性炭”装置</w:t>
                  </w:r>
                  <w:r>
                    <w:rPr>
                      <w:rFonts w:hint="eastAsia"/>
                      <w:color w:val="auto"/>
                      <w:sz w:val="21"/>
                      <w:szCs w:val="21"/>
                    </w:rPr>
                    <w:t>，处理后通过15米高排气筒排放</w:t>
                  </w:r>
                </w:p>
              </w:tc>
              <w:tc>
                <w:tcPr>
                  <w:tcW w:w="859" w:type="pct"/>
                  <w:vMerge w:val="continue"/>
                  <w:tcMar>
                    <w:left w:w="28" w:type="dxa"/>
                    <w:right w:w="28" w:type="dxa"/>
                  </w:tcMar>
                  <w:vAlign w:val="center"/>
                </w:tcPr>
                <w:p w14:paraId="2887C18A">
                  <w:pPr>
                    <w:spacing w:line="240" w:lineRule="auto"/>
                    <w:ind w:firstLine="0" w:firstLineChars="0"/>
                    <w:jc w:val="center"/>
                    <w:rPr>
                      <w:rFonts w:hint="eastAsia"/>
                      <w:color w:val="auto"/>
                      <w:sz w:val="21"/>
                      <w:szCs w:val="21"/>
                    </w:rPr>
                  </w:pPr>
                </w:p>
              </w:tc>
              <w:tc>
                <w:tcPr>
                  <w:tcW w:w="1173" w:type="pct"/>
                  <w:vMerge w:val="continue"/>
                  <w:tcMar>
                    <w:left w:w="28" w:type="dxa"/>
                    <w:right w:w="28" w:type="dxa"/>
                  </w:tcMar>
                  <w:vAlign w:val="center"/>
                </w:tcPr>
                <w:p w14:paraId="13AF4C49">
                  <w:pPr>
                    <w:spacing w:line="240" w:lineRule="auto"/>
                    <w:ind w:firstLine="0" w:firstLineChars="0"/>
                    <w:jc w:val="center"/>
                    <w:rPr>
                      <w:rFonts w:hint="eastAsia"/>
                      <w:color w:val="auto"/>
                      <w:sz w:val="21"/>
                      <w:szCs w:val="21"/>
                    </w:rPr>
                  </w:pPr>
                </w:p>
              </w:tc>
              <w:tc>
                <w:tcPr>
                  <w:tcW w:w="428" w:type="pct"/>
                  <w:vMerge w:val="continue"/>
                  <w:tcMar>
                    <w:left w:w="28" w:type="dxa"/>
                    <w:right w:w="28" w:type="dxa"/>
                  </w:tcMar>
                  <w:vAlign w:val="center"/>
                </w:tcPr>
                <w:p w14:paraId="306870F2">
                  <w:pPr>
                    <w:spacing w:line="240" w:lineRule="auto"/>
                    <w:ind w:firstLine="0" w:firstLineChars="0"/>
                    <w:jc w:val="center"/>
                    <w:rPr>
                      <w:rFonts w:hint="eastAsia"/>
                      <w:color w:val="auto"/>
                      <w:sz w:val="21"/>
                      <w:szCs w:val="21"/>
                    </w:rPr>
                  </w:pPr>
                </w:p>
              </w:tc>
            </w:tr>
            <w:tr w14:paraId="033785A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68" w:type="pct"/>
                  <w:vMerge w:val="continue"/>
                  <w:tcMar>
                    <w:left w:w="28" w:type="dxa"/>
                    <w:right w:w="28" w:type="dxa"/>
                  </w:tcMar>
                  <w:vAlign w:val="center"/>
                </w:tcPr>
                <w:p w14:paraId="65A98BBD">
                  <w:pPr>
                    <w:spacing w:line="240" w:lineRule="auto"/>
                    <w:ind w:firstLine="0" w:firstLineChars="0"/>
                    <w:jc w:val="center"/>
                    <w:rPr>
                      <w:rFonts w:hint="eastAsia"/>
                      <w:color w:val="auto"/>
                      <w:sz w:val="21"/>
                      <w:szCs w:val="21"/>
                    </w:rPr>
                  </w:pPr>
                </w:p>
              </w:tc>
              <w:tc>
                <w:tcPr>
                  <w:tcW w:w="830" w:type="pct"/>
                  <w:gridSpan w:val="2"/>
                  <w:shd w:val="clear" w:color="auto" w:fill="auto"/>
                  <w:tcMar>
                    <w:left w:w="28" w:type="dxa"/>
                    <w:right w:w="28" w:type="dxa"/>
                  </w:tcMar>
                  <w:vAlign w:val="center"/>
                </w:tcPr>
                <w:p w14:paraId="2B9B42D6">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s="Times New Roman"/>
                      <w:bCs/>
                      <w:kern w:val="0"/>
                      <w:sz w:val="21"/>
                      <w:szCs w:val="21"/>
                      <w:lang w:val="en-US" w:eastAsia="zh-CN" w:bidi="ar"/>
                    </w:rPr>
                  </w:pPr>
                  <w:r>
                    <w:rPr>
                      <w:rFonts w:hint="eastAsia"/>
                      <w:bCs/>
                      <w:kern w:val="0"/>
                      <w:sz w:val="21"/>
                      <w:szCs w:val="21"/>
                      <w:lang w:val="en-US" w:eastAsia="zh-CN" w:bidi="ar"/>
                    </w:rPr>
                    <w:t>普通</w:t>
                  </w:r>
                  <w:r>
                    <w:rPr>
                      <w:rFonts w:hint="eastAsia"/>
                      <w:bCs/>
                      <w:kern w:val="0"/>
                      <w:sz w:val="21"/>
                      <w:szCs w:val="21"/>
                      <w:lang w:bidi="ar"/>
                    </w:rPr>
                    <w:t>中药饮片车间干燥、炒制、粉碎、筛分粉尘</w:t>
                  </w:r>
                </w:p>
              </w:tc>
              <w:tc>
                <w:tcPr>
                  <w:tcW w:w="1440" w:type="pct"/>
                  <w:tcMar>
                    <w:left w:w="28" w:type="dxa"/>
                    <w:right w:w="28" w:type="dxa"/>
                  </w:tcMar>
                  <w:vAlign w:val="center"/>
                </w:tcPr>
                <w:p w14:paraId="653D07B6">
                  <w:pPr>
                    <w:spacing w:line="240" w:lineRule="auto"/>
                    <w:ind w:firstLine="0" w:firstLineChars="0"/>
                    <w:jc w:val="center"/>
                    <w:rPr>
                      <w:rFonts w:hint="default"/>
                      <w:color w:val="auto"/>
                      <w:sz w:val="21"/>
                      <w:szCs w:val="21"/>
                      <w:lang w:val="en-US"/>
                    </w:rPr>
                  </w:pPr>
                  <w:r>
                    <w:rPr>
                      <w:rFonts w:hint="default"/>
                      <w:bCs/>
                      <w:sz w:val="21"/>
                      <w:szCs w:val="21"/>
                      <w:lang w:val="en-US" w:eastAsia="zh-CN" w:bidi="ar"/>
                    </w:rPr>
                    <w:t>设置集尘罩，集气罩为三面包围结构</w:t>
                  </w:r>
                  <w:r>
                    <w:rPr>
                      <w:rFonts w:hint="eastAsia"/>
                      <w:bCs/>
                      <w:sz w:val="21"/>
                      <w:szCs w:val="21"/>
                      <w:lang w:val="en-US" w:eastAsia="zh-CN" w:bidi="ar"/>
                    </w:rPr>
                    <w:t>，</w:t>
                  </w:r>
                  <w:r>
                    <w:rPr>
                      <w:rFonts w:hint="default"/>
                      <w:bCs/>
                      <w:sz w:val="21"/>
                      <w:szCs w:val="21"/>
                      <w:lang w:val="en-US" w:eastAsia="zh-CN" w:bidi="ar"/>
                    </w:rPr>
                    <w:t>负压抽风</w:t>
                  </w:r>
                  <w:r>
                    <w:rPr>
                      <w:rFonts w:hint="eastAsia"/>
                      <w:bCs/>
                      <w:sz w:val="21"/>
                      <w:szCs w:val="21"/>
                      <w:lang w:val="en-US" w:eastAsia="zh-CN" w:bidi="ar"/>
                    </w:rPr>
                    <w:t>，引至袋式除尘器，处理后</w:t>
                  </w:r>
                  <w:r>
                    <w:rPr>
                      <w:rFonts w:hint="eastAsia"/>
                      <w:color w:val="auto"/>
                      <w:sz w:val="21"/>
                      <w:szCs w:val="21"/>
                    </w:rPr>
                    <w:t>通过15米高排气筒排放</w:t>
                  </w:r>
                </w:p>
              </w:tc>
              <w:tc>
                <w:tcPr>
                  <w:tcW w:w="859" w:type="pct"/>
                  <w:tcMar>
                    <w:left w:w="28" w:type="dxa"/>
                    <w:right w:w="28" w:type="dxa"/>
                  </w:tcMar>
                  <w:vAlign w:val="center"/>
                </w:tcPr>
                <w:p w14:paraId="2DE02669">
                  <w:pPr>
                    <w:spacing w:line="240" w:lineRule="auto"/>
                    <w:ind w:firstLine="0" w:firstLineChars="0"/>
                    <w:jc w:val="center"/>
                    <w:rPr>
                      <w:rFonts w:hint="eastAsia"/>
                      <w:color w:val="auto"/>
                      <w:sz w:val="21"/>
                      <w:szCs w:val="21"/>
                    </w:rPr>
                  </w:pPr>
                  <w:r>
                    <w:rPr>
                      <w:rFonts w:hint="eastAsia"/>
                      <w:color w:val="auto"/>
                      <w:sz w:val="21"/>
                      <w:szCs w:val="21"/>
                      <w:lang w:val="en-US" w:eastAsia="zh-CN"/>
                    </w:rPr>
                    <w:t>集气罩+袋式除尘器+</w:t>
                  </w:r>
                  <w:r>
                    <w:rPr>
                      <w:rFonts w:hint="eastAsia"/>
                      <w:color w:val="auto"/>
                      <w:sz w:val="21"/>
                      <w:szCs w:val="21"/>
                    </w:rPr>
                    <w:t>15米高排气筒</w:t>
                  </w:r>
                </w:p>
              </w:tc>
              <w:tc>
                <w:tcPr>
                  <w:tcW w:w="1173" w:type="pct"/>
                  <w:tcMar>
                    <w:left w:w="28" w:type="dxa"/>
                    <w:right w:w="28" w:type="dxa"/>
                  </w:tcMar>
                  <w:vAlign w:val="center"/>
                </w:tcPr>
                <w:p w14:paraId="3C6E6547">
                  <w:pPr>
                    <w:spacing w:line="240" w:lineRule="auto"/>
                    <w:ind w:firstLine="0" w:firstLineChars="0"/>
                    <w:jc w:val="center"/>
                    <w:rPr>
                      <w:rFonts w:hint="eastAsia"/>
                      <w:color w:val="auto"/>
                      <w:sz w:val="21"/>
                      <w:szCs w:val="21"/>
                    </w:rPr>
                  </w:pPr>
                  <w:r>
                    <w:rPr>
                      <w:rFonts w:hint="eastAsia"/>
                      <w:color w:val="auto"/>
                      <w:sz w:val="21"/>
                      <w:szCs w:val="21"/>
                    </w:rPr>
                    <w:t>《制药工业大气污染物排放标准》（GB37823-2019）表2中</w:t>
                  </w:r>
                  <w:r>
                    <w:rPr>
                      <w:rFonts w:hint="eastAsia"/>
                      <w:color w:val="auto"/>
                      <w:sz w:val="21"/>
                      <w:szCs w:val="21"/>
                      <w:lang w:val="en-US" w:eastAsia="zh-CN"/>
                    </w:rPr>
                    <w:t>特别</w:t>
                  </w:r>
                  <w:r>
                    <w:rPr>
                      <w:rFonts w:hint="eastAsia"/>
                      <w:color w:val="auto"/>
                      <w:sz w:val="21"/>
                      <w:szCs w:val="21"/>
                    </w:rPr>
                    <w:t>排放限值要求及《</w:t>
                  </w:r>
                  <w:r>
                    <w:rPr>
                      <w:rFonts w:hint="eastAsia"/>
                      <w:color w:val="auto"/>
                      <w:sz w:val="21"/>
                      <w:szCs w:val="21"/>
                      <w:lang w:eastAsia="zh-CN"/>
                    </w:rPr>
                    <w:t>河南省重污染天气通用行业应急减排措施制定技术指南（2024年修订版）</w:t>
                  </w:r>
                  <w:r>
                    <w:rPr>
                      <w:rFonts w:hint="eastAsia"/>
                      <w:color w:val="auto"/>
                      <w:sz w:val="21"/>
                      <w:szCs w:val="21"/>
                    </w:rPr>
                    <w:t>》</w:t>
                  </w:r>
                </w:p>
              </w:tc>
              <w:tc>
                <w:tcPr>
                  <w:tcW w:w="428" w:type="pct"/>
                  <w:tcMar>
                    <w:left w:w="28" w:type="dxa"/>
                    <w:right w:w="28" w:type="dxa"/>
                  </w:tcMar>
                  <w:vAlign w:val="center"/>
                </w:tcPr>
                <w:p w14:paraId="398F12C1">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20</w:t>
                  </w:r>
                </w:p>
              </w:tc>
            </w:tr>
            <w:tr w14:paraId="4C74257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68" w:type="pct"/>
                  <w:vMerge w:val="continue"/>
                  <w:tcMar>
                    <w:left w:w="28" w:type="dxa"/>
                    <w:right w:w="28" w:type="dxa"/>
                  </w:tcMar>
                  <w:vAlign w:val="center"/>
                </w:tcPr>
                <w:p w14:paraId="7B1FF1FE">
                  <w:pPr>
                    <w:spacing w:line="240" w:lineRule="auto"/>
                    <w:ind w:firstLine="0" w:firstLineChars="0"/>
                    <w:jc w:val="center"/>
                    <w:rPr>
                      <w:rFonts w:hint="eastAsia"/>
                      <w:color w:val="auto"/>
                      <w:sz w:val="21"/>
                      <w:szCs w:val="21"/>
                    </w:rPr>
                  </w:pPr>
                </w:p>
              </w:tc>
              <w:tc>
                <w:tcPr>
                  <w:tcW w:w="830" w:type="pct"/>
                  <w:gridSpan w:val="2"/>
                  <w:shd w:val="clear" w:color="auto" w:fill="auto"/>
                  <w:tcMar>
                    <w:left w:w="28" w:type="dxa"/>
                    <w:right w:w="28" w:type="dxa"/>
                  </w:tcMar>
                  <w:vAlign w:val="center"/>
                </w:tcPr>
                <w:p w14:paraId="0B2FF4E6">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Cs/>
                      <w:kern w:val="0"/>
                      <w:sz w:val="21"/>
                      <w:szCs w:val="21"/>
                      <w:lang w:val="en-US" w:eastAsia="zh-CN" w:bidi="ar"/>
                    </w:rPr>
                  </w:pPr>
                  <w:r>
                    <w:rPr>
                      <w:rFonts w:hint="eastAsia"/>
                      <w:color w:val="auto"/>
                      <w:sz w:val="21"/>
                      <w:szCs w:val="21"/>
                      <w:lang w:val="en-US" w:eastAsia="zh-CN"/>
                    </w:rPr>
                    <w:t>毒性饮片</w:t>
                  </w:r>
                  <w:r>
                    <w:rPr>
                      <w:rFonts w:hint="eastAsia"/>
                      <w:bCs/>
                      <w:kern w:val="0"/>
                      <w:sz w:val="21"/>
                      <w:szCs w:val="21"/>
                      <w:lang w:bidi="ar"/>
                    </w:rPr>
                    <w:t>车间干燥、</w:t>
                  </w:r>
                  <w:r>
                    <w:rPr>
                      <w:rFonts w:hint="eastAsia"/>
                      <w:bCs/>
                      <w:kern w:val="0"/>
                      <w:sz w:val="21"/>
                      <w:szCs w:val="21"/>
                      <w:lang w:val="en-US" w:eastAsia="zh-CN" w:bidi="ar"/>
                    </w:rPr>
                    <w:t>切制</w:t>
                  </w:r>
                  <w:r>
                    <w:rPr>
                      <w:rFonts w:hint="eastAsia"/>
                      <w:bCs/>
                      <w:kern w:val="0"/>
                      <w:sz w:val="21"/>
                      <w:szCs w:val="21"/>
                      <w:lang w:bidi="ar"/>
                    </w:rPr>
                    <w:t>、筛分粉尘</w:t>
                  </w:r>
                </w:p>
              </w:tc>
              <w:tc>
                <w:tcPr>
                  <w:tcW w:w="1440" w:type="pct"/>
                  <w:shd w:val="clear" w:color="auto" w:fill="auto"/>
                  <w:tcMar>
                    <w:left w:w="28" w:type="dxa"/>
                    <w:right w:w="28" w:type="dxa"/>
                  </w:tcMar>
                  <w:vAlign w:val="center"/>
                </w:tcPr>
                <w:p w14:paraId="234BB493">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bCs/>
                      <w:sz w:val="21"/>
                      <w:szCs w:val="21"/>
                      <w:lang w:val="en-US" w:eastAsia="zh-CN" w:bidi="ar"/>
                    </w:rPr>
                    <w:t>设置集尘罩，集气罩为三面包围结构</w:t>
                  </w:r>
                  <w:r>
                    <w:rPr>
                      <w:rFonts w:hint="eastAsia"/>
                      <w:bCs/>
                      <w:sz w:val="21"/>
                      <w:szCs w:val="21"/>
                      <w:lang w:val="en-US" w:eastAsia="zh-CN" w:bidi="ar"/>
                    </w:rPr>
                    <w:t>，</w:t>
                  </w:r>
                  <w:r>
                    <w:rPr>
                      <w:rFonts w:hint="default"/>
                      <w:bCs/>
                      <w:sz w:val="21"/>
                      <w:szCs w:val="21"/>
                      <w:lang w:val="en-US" w:eastAsia="zh-CN" w:bidi="ar"/>
                    </w:rPr>
                    <w:t>负压抽风</w:t>
                  </w:r>
                  <w:r>
                    <w:rPr>
                      <w:rFonts w:hint="eastAsia"/>
                      <w:bCs/>
                      <w:sz w:val="21"/>
                      <w:szCs w:val="21"/>
                      <w:lang w:val="en-US" w:eastAsia="zh-CN" w:bidi="ar"/>
                    </w:rPr>
                    <w:t>，引至袋式除尘器，处理后</w:t>
                  </w:r>
                  <w:r>
                    <w:rPr>
                      <w:rFonts w:hint="eastAsia"/>
                      <w:color w:val="auto"/>
                      <w:sz w:val="21"/>
                      <w:szCs w:val="21"/>
                    </w:rPr>
                    <w:t>通过15米高排气筒排放</w:t>
                  </w:r>
                </w:p>
              </w:tc>
              <w:tc>
                <w:tcPr>
                  <w:tcW w:w="859" w:type="pct"/>
                  <w:shd w:val="clear" w:color="auto" w:fill="auto"/>
                  <w:tcMar>
                    <w:left w:w="28" w:type="dxa"/>
                    <w:right w:w="28" w:type="dxa"/>
                  </w:tcMar>
                  <w:vAlign w:val="center"/>
                </w:tcPr>
                <w:p w14:paraId="410AE076">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集气罩+袋式除尘器+</w:t>
                  </w:r>
                  <w:r>
                    <w:rPr>
                      <w:rFonts w:hint="eastAsia"/>
                      <w:color w:val="auto"/>
                      <w:sz w:val="21"/>
                      <w:szCs w:val="21"/>
                    </w:rPr>
                    <w:t>15米高排气筒</w:t>
                  </w:r>
                </w:p>
              </w:tc>
              <w:tc>
                <w:tcPr>
                  <w:tcW w:w="1173" w:type="pct"/>
                  <w:shd w:val="clear" w:color="auto" w:fill="auto"/>
                  <w:tcMar>
                    <w:left w:w="28" w:type="dxa"/>
                    <w:right w:w="28" w:type="dxa"/>
                  </w:tcMar>
                  <w:vAlign w:val="center"/>
                </w:tcPr>
                <w:p w14:paraId="0559F953">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《制药工业大气污染物排放标准》（GB37823-2019）表2中</w:t>
                  </w:r>
                  <w:r>
                    <w:rPr>
                      <w:rFonts w:hint="eastAsia"/>
                      <w:color w:val="auto"/>
                      <w:sz w:val="21"/>
                      <w:szCs w:val="21"/>
                      <w:lang w:val="en-US" w:eastAsia="zh-CN"/>
                    </w:rPr>
                    <w:t>特别</w:t>
                  </w:r>
                  <w:r>
                    <w:rPr>
                      <w:rFonts w:hint="eastAsia"/>
                      <w:color w:val="auto"/>
                      <w:sz w:val="21"/>
                      <w:szCs w:val="21"/>
                    </w:rPr>
                    <w:t>排放限值要求及《</w:t>
                  </w:r>
                  <w:r>
                    <w:rPr>
                      <w:rFonts w:hint="eastAsia"/>
                      <w:color w:val="auto"/>
                      <w:sz w:val="21"/>
                      <w:szCs w:val="21"/>
                      <w:lang w:eastAsia="zh-CN"/>
                    </w:rPr>
                    <w:t>河南省重污染天气通用行业应急减排措施制定技术指南（2024年修订版）</w:t>
                  </w:r>
                  <w:r>
                    <w:rPr>
                      <w:rFonts w:hint="eastAsia"/>
                      <w:color w:val="auto"/>
                      <w:sz w:val="21"/>
                      <w:szCs w:val="21"/>
                    </w:rPr>
                    <w:t>》</w:t>
                  </w:r>
                </w:p>
              </w:tc>
              <w:tc>
                <w:tcPr>
                  <w:tcW w:w="428" w:type="pct"/>
                  <w:tcMar>
                    <w:left w:w="28" w:type="dxa"/>
                    <w:right w:w="28" w:type="dxa"/>
                  </w:tcMar>
                  <w:vAlign w:val="center"/>
                </w:tcPr>
                <w:p w14:paraId="64C33927">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15</w:t>
                  </w:r>
                </w:p>
              </w:tc>
            </w:tr>
            <w:tr w14:paraId="7F71198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68" w:type="pct"/>
                  <w:vMerge w:val="continue"/>
                  <w:tcMar>
                    <w:left w:w="28" w:type="dxa"/>
                    <w:right w:w="28" w:type="dxa"/>
                  </w:tcMar>
                  <w:vAlign w:val="center"/>
                </w:tcPr>
                <w:p w14:paraId="7D916DCE">
                  <w:pPr>
                    <w:spacing w:line="240" w:lineRule="auto"/>
                    <w:ind w:firstLine="0" w:firstLineChars="0"/>
                    <w:jc w:val="center"/>
                    <w:rPr>
                      <w:rFonts w:hint="eastAsia"/>
                      <w:color w:val="auto"/>
                      <w:sz w:val="21"/>
                      <w:szCs w:val="21"/>
                    </w:rPr>
                  </w:pPr>
                </w:p>
              </w:tc>
              <w:tc>
                <w:tcPr>
                  <w:tcW w:w="830" w:type="pct"/>
                  <w:gridSpan w:val="2"/>
                  <w:shd w:val="clear" w:color="auto" w:fill="auto"/>
                  <w:tcMar>
                    <w:left w:w="28" w:type="dxa"/>
                    <w:right w:w="28" w:type="dxa"/>
                  </w:tcMar>
                  <w:vAlign w:val="center"/>
                </w:tcPr>
                <w:p w14:paraId="3A9D7087">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s="Times New Roman"/>
                      <w:bCs/>
                      <w:kern w:val="0"/>
                      <w:sz w:val="21"/>
                      <w:szCs w:val="21"/>
                      <w:lang w:val="en-US" w:eastAsia="zh-CN" w:bidi="ar"/>
                    </w:rPr>
                  </w:pPr>
                  <w:r>
                    <w:rPr>
                      <w:rFonts w:hint="eastAsia"/>
                      <w:bCs/>
                      <w:kern w:val="0"/>
                      <w:sz w:val="21"/>
                      <w:szCs w:val="21"/>
                      <w:lang w:val="en-US" w:eastAsia="zh-CN" w:bidi="ar"/>
                    </w:rPr>
                    <w:t>口服饮片车间、颗粒剂车间及制丸车间</w:t>
                  </w:r>
                </w:p>
              </w:tc>
              <w:tc>
                <w:tcPr>
                  <w:tcW w:w="1440" w:type="pct"/>
                  <w:tcMar>
                    <w:left w:w="28" w:type="dxa"/>
                    <w:right w:w="28" w:type="dxa"/>
                  </w:tcMar>
                  <w:vAlign w:val="center"/>
                </w:tcPr>
                <w:p w14:paraId="10C909A6">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位于D级洁净车间，收集后引至空气滤网系统，</w:t>
                  </w:r>
                  <w:r>
                    <w:rPr>
                      <w:rFonts w:hint="eastAsia"/>
                      <w:bCs/>
                      <w:sz w:val="21"/>
                      <w:szCs w:val="21"/>
                      <w:lang w:val="en-US" w:eastAsia="zh-CN" w:bidi="ar"/>
                    </w:rPr>
                    <w:t>处理后</w:t>
                  </w:r>
                  <w:r>
                    <w:rPr>
                      <w:rFonts w:hint="eastAsia"/>
                      <w:color w:val="auto"/>
                      <w:sz w:val="21"/>
                      <w:szCs w:val="21"/>
                    </w:rPr>
                    <w:t>通过15米高排气筒排放</w:t>
                  </w:r>
                </w:p>
              </w:tc>
              <w:tc>
                <w:tcPr>
                  <w:tcW w:w="859" w:type="pct"/>
                  <w:tcMar>
                    <w:left w:w="28" w:type="dxa"/>
                    <w:right w:w="28" w:type="dxa"/>
                  </w:tcMar>
                  <w:vAlign w:val="center"/>
                </w:tcPr>
                <w:p w14:paraId="02583CDC">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空气滤网系统+</w:t>
                  </w:r>
                  <w:r>
                    <w:rPr>
                      <w:rFonts w:hint="eastAsia"/>
                      <w:color w:val="auto"/>
                      <w:sz w:val="21"/>
                      <w:szCs w:val="21"/>
                    </w:rPr>
                    <w:t>15米高排气筒</w:t>
                  </w:r>
                </w:p>
              </w:tc>
              <w:tc>
                <w:tcPr>
                  <w:tcW w:w="1173" w:type="pct"/>
                  <w:tcMar>
                    <w:left w:w="28" w:type="dxa"/>
                    <w:right w:w="28" w:type="dxa"/>
                  </w:tcMar>
                  <w:vAlign w:val="center"/>
                </w:tcPr>
                <w:p w14:paraId="11AB91E8">
                  <w:pPr>
                    <w:spacing w:line="240" w:lineRule="auto"/>
                    <w:ind w:firstLine="0" w:firstLineChars="0"/>
                    <w:jc w:val="center"/>
                    <w:rPr>
                      <w:rFonts w:hint="eastAsia"/>
                      <w:color w:val="auto"/>
                      <w:sz w:val="21"/>
                      <w:szCs w:val="21"/>
                    </w:rPr>
                  </w:pPr>
                  <w:r>
                    <w:rPr>
                      <w:rFonts w:hint="eastAsia"/>
                      <w:color w:val="auto"/>
                      <w:sz w:val="21"/>
                      <w:szCs w:val="21"/>
                    </w:rPr>
                    <w:t>《制药工业大气污染物排放标准》（GB37823-2019）表2中</w:t>
                  </w:r>
                  <w:r>
                    <w:rPr>
                      <w:rFonts w:hint="eastAsia"/>
                      <w:color w:val="auto"/>
                      <w:sz w:val="21"/>
                      <w:szCs w:val="21"/>
                      <w:lang w:val="en-US" w:eastAsia="zh-CN"/>
                    </w:rPr>
                    <w:t>特别</w:t>
                  </w:r>
                  <w:r>
                    <w:rPr>
                      <w:rFonts w:hint="eastAsia"/>
                      <w:color w:val="auto"/>
                      <w:sz w:val="21"/>
                      <w:szCs w:val="21"/>
                    </w:rPr>
                    <w:t>排放限值要求及《</w:t>
                  </w:r>
                  <w:r>
                    <w:rPr>
                      <w:rFonts w:hint="eastAsia"/>
                      <w:color w:val="auto"/>
                      <w:sz w:val="21"/>
                      <w:szCs w:val="21"/>
                      <w:lang w:eastAsia="zh-CN"/>
                    </w:rPr>
                    <w:t>河南省重污染天气通用行业应急减排措施制定技术指南（2024年修订版）</w:t>
                  </w:r>
                  <w:r>
                    <w:rPr>
                      <w:rFonts w:hint="eastAsia"/>
                      <w:color w:val="auto"/>
                      <w:sz w:val="21"/>
                      <w:szCs w:val="21"/>
                    </w:rPr>
                    <w:t>》</w:t>
                  </w:r>
                </w:p>
              </w:tc>
              <w:tc>
                <w:tcPr>
                  <w:tcW w:w="428" w:type="pct"/>
                  <w:tcMar>
                    <w:left w:w="28" w:type="dxa"/>
                    <w:right w:w="28" w:type="dxa"/>
                  </w:tcMar>
                  <w:vAlign w:val="center"/>
                </w:tcPr>
                <w:p w14:paraId="16775C39">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45</w:t>
                  </w:r>
                </w:p>
              </w:tc>
            </w:tr>
            <w:tr w14:paraId="3E49661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68" w:type="pct"/>
                  <w:vMerge w:val="continue"/>
                  <w:tcMar>
                    <w:left w:w="28" w:type="dxa"/>
                    <w:right w:w="28" w:type="dxa"/>
                  </w:tcMar>
                  <w:vAlign w:val="center"/>
                </w:tcPr>
                <w:p w14:paraId="0BF1D6B3">
                  <w:pPr>
                    <w:spacing w:line="240" w:lineRule="auto"/>
                    <w:ind w:firstLine="0" w:firstLineChars="0"/>
                    <w:jc w:val="center"/>
                    <w:rPr>
                      <w:rFonts w:hint="eastAsia"/>
                      <w:color w:val="auto"/>
                      <w:sz w:val="21"/>
                      <w:szCs w:val="21"/>
                    </w:rPr>
                  </w:pPr>
                </w:p>
              </w:tc>
              <w:tc>
                <w:tcPr>
                  <w:tcW w:w="830" w:type="pct"/>
                  <w:gridSpan w:val="2"/>
                  <w:shd w:val="clear" w:color="auto" w:fill="auto"/>
                  <w:tcMar>
                    <w:left w:w="28" w:type="dxa"/>
                    <w:right w:w="28" w:type="dxa"/>
                  </w:tcMar>
                  <w:vAlign w:val="center"/>
                </w:tcPr>
                <w:p w14:paraId="04BE9A57">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s="Times New Roman"/>
                      <w:b/>
                      <w:bCs w:val="0"/>
                      <w:kern w:val="0"/>
                      <w:sz w:val="21"/>
                      <w:szCs w:val="21"/>
                      <w:u w:val="single"/>
                      <w:lang w:val="en-US" w:eastAsia="zh-CN" w:bidi="ar"/>
                    </w:rPr>
                  </w:pPr>
                  <w:r>
                    <w:rPr>
                      <w:rFonts w:hint="eastAsia"/>
                      <w:b/>
                      <w:bCs w:val="0"/>
                      <w:kern w:val="0"/>
                      <w:sz w:val="21"/>
                      <w:szCs w:val="21"/>
                      <w:u w:val="single"/>
                      <w:lang w:bidi="ar"/>
                    </w:rPr>
                    <w:t>污水处理站</w:t>
                  </w:r>
                </w:p>
              </w:tc>
              <w:tc>
                <w:tcPr>
                  <w:tcW w:w="1440" w:type="pct"/>
                  <w:tcMar>
                    <w:left w:w="28" w:type="dxa"/>
                    <w:right w:w="28" w:type="dxa"/>
                  </w:tcMar>
                  <w:vAlign w:val="center"/>
                </w:tcPr>
                <w:p w14:paraId="7AE1861F">
                  <w:pPr>
                    <w:spacing w:line="240" w:lineRule="auto"/>
                    <w:ind w:firstLine="0" w:firstLineChars="0"/>
                    <w:jc w:val="center"/>
                    <w:rPr>
                      <w:rFonts w:hint="eastAsia" w:ascii="Times New Roman" w:hAnsi="Times New Roman" w:eastAsia="宋体" w:cs="Times New Roman"/>
                      <w:b/>
                      <w:bCs w:val="0"/>
                      <w:color w:val="auto"/>
                      <w:sz w:val="21"/>
                      <w:szCs w:val="21"/>
                      <w:u w:val="single"/>
                      <w:lang w:val="en-US" w:eastAsia="zh-CN"/>
                    </w:rPr>
                  </w:pPr>
                  <w:r>
                    <w:rPr>
                      <w:rFonts w:hint="eastAsia" w:ascii="Times New Roman" w:hAnsi="Times New Roman" w:eastAsia="宋体" w:cs="Times New Roman"/>
                      <w:b/>
                      <w:bCs w:val="0"/>
                      <w:color w:val="auto"/>
                      <w:sz w:val="21"/>
                      <w:szCs w:val="21"/>
                      <w:u w:val="single"/>
                      <w:lang w:val="en-US" w:eastAsia="zh-CN"/>
                    </w:rPr>
                    <w:t>加盖密闭+</w:t>
                  </w:r>
                  <w:r>
                    <w:rPr>
                      <w:rFonts w:hint="eastAsia"/>
                      <w:b/>
                      <w:bCs w:val="0"/>
                      <w:kern w:val="0"/>
                      <w:sz w:val="21"/>
                      <w:szCs w:val="21"/>
                      <w:u w:val="single"/>
                      <w:lang w:val="en-US" w:eastAsia="zh-CN" w:bidi="ar"/>
                    </w:rPr>
                    <w:t>生物滤池</w:t>
                  </w:r>
                  <w:r>
                    <w:rPr>
                      <w:rFonts w:hint="eastAsia"/>
                      <w:b/>
                      <w:bCs w:val="0"/>
                      <w:kern w:val="0"/>
                      <w:sz w:val="21"/>
                      <w:szCs w:val="21"/>
                      <w:u w:val="single"/>
                      <w:lang w:bidi="ar"/>
                    </w:rPr>
                    <w:t>除臭措施</w:t>
                  </w:r>
                  <w:r>
                    <w:rPr>
                      <w:rFonts w:hint="eastAsia" w:ascii="Times New Roman" w:hAnsi="Times New Roman" w:eastAsia="宋体" w:cs="Times New Roman"/>
                      <w:b/>
                      <w:bCs w:val="0"/>
                      <w:color w:val="auto"/>
                      <w:sz w:val="21"/>
                      <w:szCs w:val="21"/>
                      <w:u w:val="single"/>
                      <w:lang w:val="en-US" w:eastAsia="zh-CN"/>
                    </w:rPr>
                    <w:t>，处理后通过15米高排气筒排放</w:t>
                  </w:r>
                </w:p>
              </w:tc>
              <w:tc>
                <w:tcPr>
                  <w:tcW w:w="859" w:type="pct"/>
                  <w:tcMar>
                    <w:left w:w="28" w:type="dxa"/>
                    <w:right w:w="28" w:type="dxa"/>
                  </w:tcMar>
                  <w:vAlign w:val="center"/>
                </w:tcPr>
                <w:p w14:paraId="206F3F30">
                  <w:pPr>
                    <w:spacing w:line="240" w:lineRule="auto"/>
                    <w:ind w:firstLine="0" w:firstLineChars="0"/>
                    <w:jc w:val="center"/>
                    <w:rPr>
                      <w:rFonts w:hint="eastAsia" w:ascii="Times New Roman" w:hAnsi="Times New Roman" w:eastAsia="宋体" w:cs="Times New Roman"/>
                      <w:b/>
                      <w:bCs w:val="0"/>
                      <w:color w:val="auto"/>
                      <w:sz w:val="21"/>
                      <w:szCs w:val="21"/>
                      <w:u w:val="single"/>
                      <w:lang w:val="en-US" w:eastAsia="zh-CN"/>
                    </w:rPr>
                  </w:pPr>
                  <w:r>
                    <w:rPr>
                      <w:rFonts w:hint="eastAsia" w:ascii="Times New Roman" w:hAnsi="Times New Roman" w:eastAsia="宋体" w:cs="Times New Roman"/>
                      <w:b/>
                      <w:bCs w:val="0"/>
                      <w:color w:val="auto"/>
                      <w:sz w:val="21"/>
                      <w:szCs w:val="21"/>
                      <w:u w:val="single"/>
                      <w:lang w:val="en-US" w:eastAsia="zh-CN"/>
                    </w:rPr>
                    <w:t>加盖密闭+</w:t>
                  </w:r>
                  <w:r>
                    <w:rPr>
                      <w:rFonts w:hint="eastAsia"/>
                      <w:b/>
                      <w:bCs w:val="0"/>
                      <w:kern w:val="0"/>
                      <w:sz w:val="21"/>
                      <w:szCs w:val="21"/>
                      <w:u w:val="single"/>
                      <w:lang w:val="en-US" w:eastAsia="zh-CN" w:bidi="ar"/>
                    </w:rPr>
                    <w:t>生物滤池</w:t>
                  </w:r>
                  <w:r>
                    <w:rPr>
                      <w:rFonts w:hint="eastAsia"/>
                      <w:b/>
                      <w:bCs w:val="0"/>
                      <w:kern w:val="0"/>
                      <w:sz w:val="21"/>
                      <w:szCs w:val="21"/>
                      <w:u w:val="single"/>
                      <w:lang w:bidi="ar"/>
                    </w:rPr>
                    <w:t>除臭措施</w:t>
                  </w:r>
                  <w:r>
                    <w:rPr>
                      <w:rFonts w:hint="eastAsia" w:ascii="Times New Roman" w:hAnsi="Times New Roman" w:eastAsia="宋体" w:cs="Times New Roman"/>
                      <w:b/>
                      <w:bCs w:val="0"/>
                      <w:color w:val="auto"/>
                      <w:sz w:val="21"/>
                      <w:szCs w:val="21"/>
                      <w:u w:val="single"/>
                      <w:lang w:val="en-US" w:eastAsia="zh-CN"/>
                    </w:rPr>
                    <w:t>+15米高排气筒</w:t>
                  </w:r>
                </w:p>
              </w:tc>
              <w:tc>
                <w:tcPr>
                  <w:tcW w:w="1173" w:type="pct"/>
                  <w:tcMar>
                    <w:left w:w="28" w:type="dxa"/>
                    <w:right w:w="28" w:type="dxa"/>
                  </w:tcMar>
                  <w:vAlign w:val="center"/>
                </w:tcPr>
                <w:p w14:paraId="59AFD6DD">
                  <w:pPr>
                    <w:spacing w:line="240" w:lineRule="auto"/>
                    <w:ind w:firstLine="0" w:firstLineChars="0"/>
                    <w:jc w:val="center"/>
                    <w:rPr>
                      <w:rFonts w:hint="eastAsia" w:ascii="Times New Roman" w:hAnsi="Times New Roman" w:eastAsia="宋体" w:cs="Times New Roman"/>
                      <w:b/>
                      <w:bCs w:val="0"/>
                      <w:color w:val="auto"/>
                      <w:sz w:val="21"/>
                      <w:szCs w:val="21"/>
                      <w:u w:val="single"/>
                      <w:lang w:val="en-US" w:eastAsia="zh-CN"/>
                    </w:rPr>
                  </w:pPr>
                  <w:r>
                    <w:rPr>
                      <w:rFonts w:hint="eastAsia"/>
                      <w:b/>
                      <w:bCs w:val="0"/>
                      <w:color w:val="auto"/>
                      <w:sz w:val="21"/>
                      <w:szCs w:val="21"/>
                      <w:u w:val="single"/>
                    </w:rPr>
                    <w:t>《制药工业大气污染物排放标准》（GB37823-2019）表2中</w:t>
                  </w:r>
                  <w:r>
                    <w:rPr>
                      <w:rFonts w:hint="eastAsia"/>
                      <w:b/>
                      <w:bCs w:val="0"/>
                      <w:color w:val="auto"/>
                      <w:sz w:val="21"/>
                      <w:szCs w:val="21"/>
                      <w:u w:val="single"/>
                      <w:lang w:val="en-US" w:eastAsia="zh-CN"/>
                    </w:rPr>
                    <w:t>特别</w:t>
                  </w:r>
                  <w:r>
                    <w:rPr>
                      <w:rFonts w:hint="eastAsia"/>
                      <w:b/>
                      <w:bCs w:val="0"/>
                      <w:color w:val="auto"/>
                      <w:sz w:val="21"/>
                      <w:szCs w:val="21"/>
                      <w:u w:val="single"/>
                    </w:rPr>
                    <w:t>排放限值要求</w:t>
                  </w:r>
                </w:p>
              </w:tc>
              <w:tc>
                <w:tcPr>
                  <w:tcW w:w="428" w:type="pct"/>
                  <w:tcMar>
                    <w:left w:w="28" w:type="dxa"/>
                    <w:right w:w="28" w:type="dxa"/>
                  </w:tcMar>
                  <w:vAlign w:val="center"/>
                </w:tcPr>
                <w:p w14:paraId="46578420">
                  <w:pPr>
                    <w:spacing w:line="240" w:lineRule="auto"/>
                    <w:ind w:firstLine="0" w:firstLineChars="0"/>
                    <w:jc w:val="center"/>
                    <w:rPr>
                      <w:rFonts w:hint="eastAsia" w:eastAsia="宋体"/>
                      <w:b/>
                      <w:bCs w:val="0"/>
                      <w:color w:val="auto"/>
                      <w:sz w:val="21"/>
                      <w:szCs w:val="21"/>
                      <w:u w:val="single"/>
                      <w:lang w:val="en-US" w:eastAsia="zh-CN"/>
                    </w:rPr>
                  </w:pPr>
                  <w:r>
                    <w:rPr>
                      <w:rFonts w:hint="eastAsia"/>
                      <w:b/>
                      <w:bCs w:val="0"/>
                      <w:color w:val="auto"/>
                      <w:sz w:val="21"/>
                      <w:szCs w:val="21"/>
                      <w:u w:val="single"/>
                      <w:lang w:val="en-US" w:eastAsia="zh-CN"/>
                    </w:rPr>
                    <w:t>5</w:t>
                  </w:r>
                </w:p>
              </w:tc>
            </w:tr>
            <w:tr w14:paraId="0560C7E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68" w:type="pct"/>
                  <w:vMerge w:val="continue"/>
                  <w:tcMar>
                    <w:left w:w="28" w:type="dxa"/>
                    <w:right w:w="28" w:type="dxa"/>
                  </w:tcMar>
                  <w:vAlign w:val="center"/>
                </w:tcPr>
                <w:p w14:paraId="4EE52FB9">
                  <w:pPr>
                    <w:spacing w:line="240" w:lineRule="auto"/>
                    <w:ind w:firstLine="0" w:firstLineChars="0"/>
                    <w:jc w:val="center"/>
                    <w:rPr>
                      <w:color w:val="auto"/>
                      <w:sz w:val="21"/>
                      <w:szCs w:val="21"/>
                    </w:rPr>
                  </w:pPr>
                </w:p>
              </w:tc>
              <w:tc>
                <w:tcPr>
                  <w:tcW w:w="830" w:type="pct"/>
                  <w:gridSpan w:val="2"/>
                  <w:shd w:val="clear" w:color="auto" w:fill="auto"/>
                  <w:tcMar>
                    <w:left w:w="28" w:type="dxa"/>
                    <w:right w:w="28" w:type="dxa"/>
                  </w:tcMar>
                  <w:vAlign w:val="center"/>
                </w:tcPr>
                <w:p w14:paraId="0700343B">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Cs/>
                      <w:kern w:val="0"/>
                      <w:sz w:val="21"/>
                      <w:szCs w:val="21"/>
                      <w:lang w:val="en-US" w:eastAsia="zh-CN" w:bidi="ar"/>
                    </w:rPr>
                  </w:pPr>
                  <w:r>
                    <w:rPr>
                      <w:rFonts w:hint="eastAsia"/>
                      <w:bCs/>
                      <w:kern w:val="0"/>
                      <w:sz w:val="21"/>
                      <w:szCs w:val="21"/>
                      <w:lang w:val="en-US" w:eastAsia="zh-CN" w:bidi="ar"/>
                    </w:rPr>
                    <w:t>质检工序</w:t>
                  </w:r>
                </w:p>
              </w:tc>
              <w:tc>
                <w:tcPr>
                  <w:tcW w:w="1440" w:type="pct"/>
                  <w:tcMar>
                    <w:left w:w="28" w:type="dxa"/>
                    <w:right w:w="28" w:type="dxa"/>
                  </w:tcMar>
                  <w:vAlign w:val="center"/>
                </w:tcPr>
                <w:p w14:paraId="198C55C1">
                  <w:pPr>
                    <w:spacing w:line="240" w:lineRule="auto"/>
                    <w:ind w:firstLine="0" w:firstLineChars="0"/>
                    <w:jc w:val="center"/>
                    <w:rPr>
                      <w:color w:val="auto"/>
                      <w:sz w:val="21"/>
                      <w:szCs w:val="21"/>
                    </w:rPr>
                  </w:pPr>
                  <w:r>
                    <w:rPr>
                      <w:rFonts w:hint="eastAsia"/>
                      <w:color w:val="auto"/>
                      <w:sz w:val="21"/>
                      <w:szCs w:val="21"/>
                      <w:lang w:val="en-US" w:eastAsia="zh-CN"/>
                    </w:rPr>
                    <w:t>通风橱</w:t>
                  </w:r>
                  <w:r>
                    <w:rPr>
                      <w:rFonts w:hint="eastAsia"/>
                      <w:color w:val="auto"/>
                      <w:sz w:val="21"/>
                      <w:szCs w:val="21"/>
                    </w:rPr>
                    <w:t>收集</w:t>
                  </w:r>
                  <w:r>
                    <w:rPr>
                      <w:rFonts w:hint="eastAsia"/>
                      <w:color w:val="auto"/>
                      <w:sz w:val="21"/>
                      <w:szCs w:val="21"/>
                      <w:lang w:val="en-US" w:eastAsia="zh-CN"/>
                    </w:rPr>
                    <w:t>后引至</w:t>
                  </w:r>
                  <w:r>
                    <w:rPr>
                      <w:rFonts w:hint="eastAsia"/>
                      <w:color w:val="auto"/>
                      <w:sz w:val="21"/>
                      <w:szCs w:val="21"/>
                    </w:rPr>
                    <w:t>1套二级活性炭吸附装置</w:t>
                  </w:r>
                  <w:r>
                    <w:rPr>
                      <w:rFonts w:hint="eastAsia" w:ascii="Times New Roman" w:hAnsi="Times New Roman" w:eastAsia="宋体" w:cs="Times New Roman"/>
                      <w:color w:val="auto"/>
                      <w:sz w:val="21"/>
                      <w:szCs w:val="21"/>
                      <w:lang w:val="en-US" w:eastAsia="zh-CN"/>
                    </w:rPr>
                    <w:t>，处理后通过楼顶专用排气筒排放</w:t>
                  </w:r>
                </w:p>
              </w:tc>
              <w:tc>
                <w:tcPr>
                  <w:tcW w:w="859" w:type="pct"/>
                  <w:tcMar>
                    <w:left w:w="28" w:type="dxa"/>
                    <w:right w:w="28" w:type="dxa"/>
                  </w:tcMar>
                  <w:vAlign w:val="center"/>
                </w:tcPr>
                <w:p w14:paraId="7035DCDB">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通风橱+二级活性炭吸附装置+专用排气筒</w:t>
                  </w:r>
                </w:p>
              </w:tc>
              <w:tc>
                <w:tcPr>
                  <w:tcW w:w="1173" w:type="pct"/>
                  <w:tcMar>
                    <w:left w:w="28" w:type="dxa"/>
                    <w:right w:w="28" w:type="dxa"/>
                  </w:tcMar>
                  <w:vAlign w:val="center"/>
                </w:tcPr>
                <w:p w14:paraId="05224259">
                  <w:pPr>
                    <w:spacing w:line="240" w:lineRule="auto"/>
                    <w:ind w:firstLine="0" w:firstLineChars="0"/>
                    <w:jc w:val="center"/>
                    <w:rPr>
                      <w:color w:val="auto"/>
                      <w:sz w:val="21"/>
                      <w:szCs w:val="21"/>
                    </w:rPr>
                  </w:pPr>
                  <w:r>
                    <w:rPr>
                      <w:rFonts w:hint="eastAsia"/>
                      <w:color w:val="auto"/>
                      <w:sz w:val="21"/>
                      <w:szCs w:val="21"/>
                    </w:rPr>
                    <w:t>《制药工业大气污染物排放标准》（GB37823-2019）表</w:t>
                  </w:r>
                  <w:r>
                    <w:rPr>
                      <w:rFonts w:hint="eastAsia"/>
                      <w:color w:val="auto"/>
                      <w:sz w:val="21"/>
                      <w:szCs w:val="21"/>
                      <w:lang w:val="en-US" w:eastAsia="zh-CN"/>
                    </w:rPr>
                    <w:t>2特别</w:t>
                  </w:r>
                  <w:r>
                    <w:rPr>
                      <w:rFonts w:hint="eastAsia"/>
                      <w:color w:val="auto"/>
                      <w:sz w:val="21"/>
                      <w:szCs w:val="21"/>
                    </w:rPr>
                    <w:t>排放限值及《</w:t>
                  </w:r>
                  <w:r>
                    <w:rPr>
                      <w:rFonts w:hint="eastAsia"/>
                      <w:color w:val="auto"/>
                      <w:sz w:val="21"/>
                      <w:szCs w:val="21"/>
                      <w:lang w:eastAsia="zh-CN"/>
                    </w:rPr>
                    <w:t>河南省重污染天气通用行业应急减排措施制定技术指南（2024年修订版）</w:t>
                  </w:r>
                  <w:r>
                    <w:rPr>
                      <w:rFonts w:hint="eastAsia"/>
                      <w:color w:val="auto"/>
                      <w:sz w:val="21"/>
                      <w:szCs w:val="21"/>
                    </w:rPr>
                    <w:t>》</w:t>
                  </w:r>
                </w:p>
              </w:tc>
              <w:tc>
                <w:tcPr>
                  <w:tcW w:w="428" w:type="pct"/>
                  <w:tcMar>
                    <w:left w:w="28" w:type="dxa"/>
                    <w:right w:w="28" w:type="dxa"/>
                  </w:tcMar>
                  <w:vAlign w:val="center"/>
                </w:tcPr>
                <w:p w14:paraId="271BD2D1">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5</w:t>
                  </w:r>
                </w:p>
              </w:tc>
            </w:tr>
            <w:tr w14:paraId="21A830F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68" w:type="pct"/>
                  <w:vMerge w:val="continue"/>
                  <w:tcMar>
                    <w:left w:w="28" w:type="dxa"/>
                    <w:right w:w="28" w:type="dxa"/>
                  </w:tcMar>
                  <w:vAlign w:val="center"/>
                </w:tcPr>
                <w:p w14:paraId="54650377">
                  <w:pPr>
                    <w:spacing w:line="240" w:lineRule="auto"/>
                    <w:ind w:firstLine="0" w:firstLineChars="0"/>
                    <w:jc w:val="center"/>
                    <w:rPr>
                      <w:color w:val="auto"/>
                      <w:sz w:val="21"/>
                      <w:szCs w:val="21"/>
                    </w:rPr>
                  </w:pPr>
                </w:p>
              </w:tc>
              <w:tc>
                <w:tcPr>
                  <w:tcW w:w="830" w:type="pct"/>
                  <w:gridSpan w:val="2"/>
                  <w:shd w:val="clear" w:color="auto" w:fill="auto"/>
                  <w:tcMar>
                    <w:left w:w="28" w:type="dxa"/>
                    <w:right w:w="28" w:type="dxa"/>
                  </w:tcMar>
                  <w:vAlign w:val="center"/>
                </w:tcPr>
                <w:p w14:paraId="01421CCC">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kern w:val="0"/>
                      <w:sz w:val="21"/>
                      <w:szCs w:val="21"/>
                      <w:lang w:val="en-US" w:eastAsia="zh-CN" w:bidi="ar"/>
                    </w:rPr>
                  </w:pPr>
                  <w:r>
                    <w:rPr>
                      <w:rFonts w:hint="eastAsia"/>
                      <w:bCs/>
                      <w:kern w:val="0"/>
                      <w:sz w:val="21"/>
                      <w:szCs w:val="21"/>
                      <w:lang w:val="en-US" w:eastAsia="zh-CN" w:bidi="ar"/>
                    </w:rPr>
                    <w:t>食堂</w:t>
                  </w:r>
                </w:p>
              </w:tc>
              <w:tc>
                <w:tcPr>
                  <w:tcW w:w="1440" w:type="pct"/>
                  <w:tcMar>
                    <w:left w:w="28" w:type="dxa"/>
                    <w:right w:w="28" w:type="dxa"/>
                  </w:tcMar>
                  <w:vAlign w:val="center"/>
                </w:tcPr>
                <w:p w14:paraId="6090D5DC">
                  <w:pPr>
                    <w:spacing w:line="240" w:lineRule="auto"/>
                    <w:ind w:firstLine="0" w:firstLineChars="0"/>
                    <w:jc w:val="center"/>
                    <w:rPr>
                      <w:rFonts w:hint="eastAsia"/>
                      <w:color w:val="auto"/>
                      <w:sz w:val="21"/>
                      <w:szCs w:val="21"/>
                    </w:rPr>
                  </w:pPr>
                  <w:r>
                    <w:rPr>
                      <w:rFonts w:hint="eastAsia"/>
                      <w:color w:val="auto"/>
                      <w:sz w:val="21"/>
                      <w:szCs w:val="21"/>
                    </w:rPr>
                    <w:t>经过油烟净化装置处理后通过设置于屋顶的</w:t>
                  </w:r>
                  <w:r>
                    <w:rPr>
                      <w:rFonts w:hint="eastAsia"/>
                      <w:color w:val="auto"/>
                      <w:sz w:val="21"/>
                      <w:szCs w:val="21"/>
                      <w:lang w:val="en-US" w:eastAsia="zh-CN"/>
                    </w:rPr>
                    <w:t>专用烟道</w:t>
                  </w:r>
                  <w:r>
                    <w:rPr>
                      <w:rFonts w:hint="eastAsia"/>
                      <w:color w:val="auto"/>
                      <w:sz w:val="21"/>
                      <w:szCs w:val="21"/>
                    </w:rPr>
                    <w:t>排放</w:t>
                  </w:r>
                </w:p>
              </w:tc>
              <w:tc>
                <w:tcPr>
                  <w:tcW w:w="859" w:type="pct"/>
                  <w:tcMar>
                    <w:left w:w="28" w:type="dxa"/>
                    <w:right w:w="28" w:type="dxa"/>
                  </w:tcMar>
                  <w:vAlign w:val="center"/>
                </w:tcPr>
                <w:p w14:paraId="0AEC3FD5">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rPr>
                    <w:t>油烟净化装置</w:t>
                  </w:r>
                  <w:r>
                    <w:rPr>
                      <w:rFonts w:hint="eastAsia"/>
                      <w:color w:val="auto"/>
                      <w:sz w:val="21"/>
                      <w:szCs w:val="21"/>
                      <w:lang w:val="en-US" w:eastAsia="zh-CN"/>
                    </w:rPr>
                    <w:t>+专用烟道</w:t>
                  </w:r>
                </w:p>
              </w:tc>
              <w:tc>
                <w:tcPr>
                  <w:tcW w:w="1173" w:type="pct"/>
                  <w:tcMar>
                    <w:left w:w="28" w:type="dxa"/>
                    <w:right w:w="28" w:type="dxa"/>
                  </w:tcMar>
                  <w:vAlign w:val="center"/>
                </w:tcPr>
                <w:p w14:paraId="5B3982A7">
                  <w:pPr>
                    <w:spacing w:line="240" w:lineRule="auto"/>
                    <w:ind w:firstLine="0" w:firstLineChars="0"/>
                    <w:jc w:val="center"/>
                    <w:rPr>
                      <w:rFonts w:hint="eastAsia"/>
                      <w:color w:val="auto"/>
                      <w:sz w:val="21"/>
                      <w:szCs w:val="21"/>
                    </w:rPr>
                  </w:pPr>
                  <w:r>
                    <w:rPr>
                      <w:rFonts w:hint="eastAsia"/>
                      <w:color w:val="auto"/>
                      <w:sz w:val="21"/>
                      <w:szCs w:val="21"/>
                      <w:lang w:val="en-US" w:eastAsia="zh-CN"/>
                    </w:rPr>
                    <w:t>河南省地方标准</w:t>
                  </w:r>
                  <w:r>
                    <w:rPr>
                      <w:rFonts w:hint="eastAsia"/>
                      <w:color w:val="auto"/>
                      <w:sz w:val="21"/>
                      <w:szCs w:val="21"/>
                    </w:rPr>
                    <w:fldChar w:fldCharType="begin"/>
                  </w:r>
                  <w:r>
                    <w:rPr>
                      <w:rFonts w:hint="eastAsia"/>
                      <w:color w:val="auto"/>
                      <w:sz w:val="21"/>
                      <w:szCs w:val="21"/>
                    </w:rPr>
                    <w:instrText xml:space="preserve"> HYPERLINK "http://oss.henan.gov.cn/sbgt-wztipt/attachment/sthjt/portal/cn/rootimages/2018/06/14/20180614153132709.pdf" \t "https://sthjt.henan.gov.cn/2018/06-14/_blank" </w:instrText>
                  </w:r>
                  <w:r>
                    <w:rPr>
                      <w:rFonts w:hint="eastAsia"/>
                      <w:color w:val="auto"/>
                      <w:sz w:val="21"/>
                      <w:szCs w:val="21"/>
                    </w:rPr>
                    <w:fldChar w:fldCharType="separate"/>
                  </w:r>
                  <w:r>
                    <w:rPr>
                      <w:rFonts w:hint="eastAsia"/>
                      <w:color w:val="auto"/>
                      <w:sz w:val="21"/>
                      <w:szCs w:val="21"/>
                      <w:lang w:eastAsia="zh-CN"/>
                    </w:rPr>
                    <w:t>《</w:t>
                  </w:r>
                  <w:r>
                    <w:rPr>
                      <w:rFonts w:hint="eastAsia"/>
                      <w:color w:val="auto"/>
                      <w:sz w:val="21"/>
                      <w:szCs w:val="21"/>
                    </w:rPr>
                    <w:t>餐饮业油烟污染物排放标准</w:t>
                  </w:r>
                  <w:r>
                    <w:rPr>
                      <w:rFonts w:hint="eastAsia"/>
                      <w:color w:val="auto"/>
                      <w:sz w:val="21"/>
                      <w:szCs w:val="21"/>
                      <w:lang w:eastAsia="zh-CN"/>
                    </w:rPr>
                    <w:t>》</w:t>
                  </w:r>
                  <w:r>
                    <w:rPr>
                      <w:rFonts w:hint="eastAsia"/>
                      <w:color w:val="auto"/>
                      <w:sz w:val="21"/>
                      <w:szCs w:val="21"/>
                    </w:rPr>
                    <w:fldChar w:fldCharType="end"/>
                  </w:r>
                  <w:r>
                    <w:rPr>
                      <w:rFonts w:hint="eastAsia"/>
                      <w:color w:val="auto"/>
                      <w:sz w:val="21"/>
                      <w:szCs w:val="21"/>
                    </w:rPr>
                    <w:t>（DB41/1604—2018）</w:t>
                  </w:r>
                </w:p>
              </w:tc>
              <w:tc>
                <w:tcPr>
                  <w:tcW w:w="428" w:type="pct"/>
                  <w:tcMar>
                    <w:left w:w="28" w:type="dxa"/>
                    <w:right w:w="28" w:type="dxa"/>
                  </w:tcMar>
                  <w:vAlign w:val="center"/>
                </w:tcPr>
                <w:p w14:paraId="4E72F49B">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2</w:t>
                  </w:r>
                </w:p>
              </w:tc>
            </w:tr>
            <w:tr w14:paraId="7D5BB3A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189" w:hRule="atLeast"/>
                <w:jc w:val="center"/>
              </w:trPr>
              <w:tc>
                <w:tcPr>
                  <w:tcW w:w="268" w:type="pct"/>
                  <w:vMerge w:val="restart"/>
                  <w:tcMar>
                    <w:left w:w="28" w:type="dxa"/>
                    <w:right w:w="28" w:type="dxa"/>
                  </w:tcMar>
                  <w:vAlign w:val="center"/>
                </w:tcPr>
                <w:p w14:paraId="3AEC9D78">
                  <w:pPr>
                    <w:spacing w:line="240" w:lineRule="auto"/>
                    <w:ind w:firstLine="0" w:firstLineChars="0"/>
                    <w:jc w:val="center"/>
                    <w:rPr>
                      <w:color w:val="auto"/>
                      <w:sz w:val="21"/>
                      <w:szCs w:val="21"/>
                    </w:rPr>
                  </w:pPr>
                  <w:r>
                    <w:rPr>
                      <w:color w:val="auto"/>
                      <w:sz w:val="21"/>
                      <w:szCs w:val="21"/>
                    </w:rPr>
                    <w:t>废水</w:t>
                  </w:r>
                </w:p>
              </w:tc>
              <w:tc>
                <w:tcPr>
                  <w:tcW w:w="830" w:type="pct"/>
                  <w:gridSpan w:val="2"/>
                  <w:vAlign w:val="center"/>
                </w:tcPr>
                <w:p w14:paraId="03E9BD8C">
                  <w:pPr>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综合生产废水</w:t>
                  </w:r>
                </w:p>
                <w:p w14:paraId="41C857CB">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（包括</w:t>
                  </w:r>
                  <w:r>
                    <w:rPr>
                      <w:rFonts w:hint="eastAsia"/>
                      <w:color w:val="auto"/>
                      <w:sz w:val="21"/>
                      <w:szCs w:val="21"/>
                    </w:rPr>
                    <w:t>药材清洗、润药</w:t>
                  </w:r>
                  <w:r>
                    <w:rPr>
                      <w:rFonts w:hint="eastAsia"/>
                      <w:color w:val="auto"/>
                      <w:sz w:val="21"/>
                      <w:szCs w:val="21"/>
                      <w:lang w:val="en-US" w:eastAsia="zh-CN"/>
                    </w:rPr>
                    <w:t>废</w:t>
                  </w:r>
                  <w:r>
                    <w:rPr>
                      <w:rFonts w:hint="eastAsia"/>
                      <w:color w:val="auto"/>
                      <w:sz w:val="21"/>
                      <w:szCs w:val="21"/>
                    </w:rPr>
                    <w:t>水</w:t>
                  </w:r>
                  <w:r>
                    <w:rPr>
                      <w:color w:val="auto"/>
                      <w:sz w:val="21"/>
                      <w:szCs w:val="21"/>
                    </w:rPr>
                    <w:t>、</w:t>
                  </w:r>
                  <w:r>
                    <w:rPr>
                      <w:rFonts w:hint="eastAsia"/>
                      <w:color w:val="auto"/>
                      <w:sz w:val="21"/>
                      <w:szCs w:val="21"/>
                      <w:lang w:val="en-US" w:eastAsia="zh-CN"/>
                    </w:rPr>
                    <w:t>煮提废水、发酵工序废水、毒性饮片炮制废水、</w:t>
                  </w:r>
                  <w:r>
                    <w:rPr>
                      <w:color w:val="auto"/>
                      <w:sz w:val="21"/>
                      <w:szCs w:val="21"/>
                    </w:rPr>
                    <w:t>设备清洗废水、</w:t>
                  </w:r>
                  <w:r>
                    <w:rPr>
                      <w:rFonts w:hint="eastAsia"/>
                      <w:color w:val="auto"/>
                      <w:sz w:val="21"/>
                      <w:szCs w:val="21"/>
                      <w:lang w:val="en-US" w:eastAsia="zh-CN"/>
                    </w:rPr>
                    <w:t>地面清洗废水、纯水</w:t>
                  </w:r>
                  <w:r>
                    <w:rPr>
                      <w:color w:val="auto"/>
                      <w:sz w:val="21"/>
                      <w:szCs w:val="21"/>
                    </w:rPr>
                    <w:t>制水系统排水</w:t>
                  </w:r>
                  <w:r>
                    <w:rPr>
                      <w:rFonts w:hint="eastAsia"/>
                      <w:color w:val="auto"/>
                      <w:sz w:val="21"/>
                      <w:szCs w:val="21"/>
                      <w:lang w:val="en-US" w:eastAsia="zh-CN"/>
                    </w:rPr>
                    <w:t>）</w:t>
                  </w:r>
                </w:p>
              </w:tc>
              <w:tc>
                <w:tcPr>
                  <w:tcW w:w="1440" w:type="pct"/>
                  <w:tcMar>
                    <w:left w:w="28" w:type="dxa"/>
                    <w:right w:w="28" w:type="dxa"/>
                  </w:tcMar>
                  <w:vAlign w:val="center"/>
                </w:tcPr>
                <w:p w14:paraId="7170A90A">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排入厂区</w:t>
                  </w:r>
                  <w:r>
                    <w:rPr>
                      <w:rFonts w:hint="default"/>
                      <w:color w:val="auto"/>
                      <w:sz w:val="21"/>
                      <w:szCs w:val="21"/>
                    </w:rPr>
                    <w:t>污水处理站处理</w:t>
                  </w:r>
                  <w:r>
                    <w:rPr>
                      <w:rFonts w:hint="eastAsia"/>
                      <w:color w:val="auto"/>
                      <w:sz w:val="21"/>
                      <w:szCs w:val="21"/>
                      <w:lang w:eastAsia="zh-CN"/>
                    </w:rPr>
                    <w:t>（</w:t>
                  </w:r>
                  <w:r>
                    <w:rPr>
                      <w:rFonts w:hint="eastAsia"/>
                      <w:color w:val="auto"/>
                      <w:sz w:val="21"/>
                      <w:szCs w:val="21"/>
                      <w:lang w:val="en-US" w:eastAsia="zh-CN"/>
                    </w:rPr>
                    <w:t>采用“混凝+UASB+生物接触氧化”工艺处理，设计处理能力210m</w:t>
                  </w:r>
                  <w:r>
                    <w:rPr>
                      <w:rFonts w:hint="eastAsia"/>
                      <w:color w:val="auto"/>
                      <w:sz w:val="21"/>
                      <w:szCs w:val="21"/>
                      <w:vertAlign w:val="superscript"/>
                      <w:lang w:val="en-US" w:eastAsia="zh-CN"/>
                    </w:rPr>
                    <w:t>3</w:t>
                  </w:r>
                  <w:r>
                    <w:rPr>
                      <w:rFonts w:hint="eastAsia"/>
                      <w:color w:val="auto"/>
                      <w:sz w:val="21"/>
                      <w:szCs w:val="21"/>
                      <w:lang w:val="en-US" w:eastAsia="zh-CN"/>
                    </w:rPr>
                    <w:t>/d</w:t>
                  </w:r>
                  <w:r>
                    <w:rPr>
                      <w:rFonts w:hint="eastAsia"/>
                      <w:color w:val="auto"/>
                      <w:sz w:val="21"/>
                      <w:szCs w:val="21"/>
                      <w:lang w:eastAsia="zh-CN"/>
                    </w:rPr>
                    <w:t>）</w:t>
                  </w:r>
                </w:p>
              </w:tc>
              <w:tc>
                <w:tcPr>
                  <w:tcW w:w="859" w:type="pct"/>
                  <w:vAlign w:val="center"/>
                </w:tcPr>
                <w:p w14:paraId="0CFE7D28">
                  <w:pPr>
                    <w:spacing w:line="240" w:lineRule="auto"/>
                    <w:ind w:firstLine="0" w:firstLineChars="0"/>
                    <w:rPr>
                      <w:color w:val="auto"/>
                      <w:sz w:val="21"/>
                      <w:szCs w:val="21"/>
                    </w:rPr>
                  </w:pPr>
                  <w:r>
                    <w:rPr>
                      <w:rFonts w:hint="eastAsia"/>
                      <w:color w:val="auto"/>
                      <w:sz w:val="21"/>
                      <w:szCs w:val="21"/>
                      <w:lang w:val="en-US" w:eastAsia="zh-CN"/>
                    </w:rPr>
                    <w:t>厂区</w:t>
                  </w:r>
                  <w:r>
                    <w:rPr>
                      <w:rFonts w:hint="default"/>
                      <w:color w:val="auto"/>
                      <w:sz w:val="21"/>
                      <w:szCs w:val="21"/>
                    </w:rPr>
                    <w:t>污水处理站处理</w:t>
                  </w:r>
                  <w:r>
                    <w:rPr>
                      <w:rFonts w:hint="eastAsia"/>
                      <w:color w:val="auto"/>
                      <w:sz w:val="21"/>
                      <w:szCs w:val="21"/>
                      <w:lang w:eastAsia="zh-CN"/>
                    </w:rPr>
                    <w:t>（</w:t>
                  </w:r>
                  <w:r>
                    <w:rPr>
                      <w:rFonts w:hint="eastAsia"/>
                      <w:color w:val="auto"/>
                      <w:sz w:val="21"/>
                      <w:szCs w:val="21"/>
                      <w:lang w:val="en-US" w:eastAsia="zh-CN"/>
                    </w:rPr>
                    <w:t>采用“混凝+UASB+生物接触氧化”工艺处理，设计处理能力210m</w:t>
                  </w:r>
                  <w:r>
                    <w:rPr>
                      <w:rFonts w:hint="eastAsia"/>
                      <w:color w:val="auto"/>
                      <w:sz w:val="21"/>
                      <w:szCs w:val="21"/>
                      <w:vertAlign w:val="superscript"/>
                      <w:lang w:val="en-US" w:eastAsia="zh-CN"/>
                    </w:rPr>
                    <w:t>3</w:t>
                  </w:r>
                  <w:r>
                    <w:rPr>
                      <w:rFonts w:hint="eastAsia"/>
                      <w:color w:val="auto"/>
                      <w:sz w:val="21"/>
                      <w:szCs w:val="21"/>
                      <w:lang w:val="en-US" w:eastAsia="zh-CN"/>
                    </w:rPr>
                    <w:t>/d</w:t>
                  </w:r>
                  <w:r>
                    <w:rPr>
                      <w:rFonts w:hint="eastAsia"/>
                      <w:color w:val="auto"/>
                      <w:sz w:val="21"/>
                      <w:szCs w:val="21"/>
                      <w:lang w:eastAsia="zh-CN"/>
                    </w:rPr>
                    <w:t>）</w:t>
                  </w:r>
                </w:p>
              </w:tc>
              <w:tc>
                <w:tcPr>
                  <w:tcW w:w="1173" w:type="pct"/>
                  <w:vMerge w:val="restart"/>
                  <w:vAlign w:val="center"/>
                </w:tcPr>
                <w:p w14:paraId="436D8392">
                  <w:pPr>
                    <w:spacing w:line="240" w:lineRule="auto"/>
                    <w:ind w:firstLine="0" w:firstLineChars="0"/>
                    <w:rPr>
                      <w:color w:val="auto"/>
                      <w:sz w:val="21"/>
                      <w:szCs w:val="21"/>
                    </w:rPr>
                  </w:pPr>
                  <w:r>
                    <w:rPr>
                      <w:rFonts w:hint="eastAsia"/>
                      <w:color w:val="auto"/>
                      <w:sz w:val="21"/>
                      <w:szCs w:val="21"/>
                      <w:lang w:val="zh-CN"/>
                    </w:rPr>
                    <w:t>《中药类制药工业水污染物排放标准》（GB21906-2008）表2标准及</w:t>
                  </w:r>
                  <w:r>
                    <w:rPr>
                      <w:rFonts w:hint="eastAsia"/>
                      <w:color w:val="auto"/>
                      <w:sz w:val="21"/>
                      <w:szCs w:val="21"/>
                      <w:lang w:val="en-US" w:eastAsia="zh-CN"/>
                    </w:rPr>
                    <w:t>南乐县</w:t>
                  </w:r>
                  <w:r>
                    <w:rPr>
                      <w:rFonts w:hint="default"/>
                      <w:color w:val="auto"/>
                      <w:sz w:val="21"/>
                      <w:szCs w:val="21"/>
                      <w:lang w:val="en-US" w:eastAsia="zh-CN"/>
                    </w:rPr>
                    <w:t>污水处理厂纳管标准</w:t>
                  </w:r>
                </w:p>
              </w:tc>
              <w:tc>
                <w:tcPr>
                  <w:tcW w:w="428" w:type="pct"/>
                  <w:vMerge w:val="restart"/>
                  <w:vAlign w:val="center"/>
                </w:tcPr>
                <w:p w14:paraId="5E06C269">
                  <w:pPr>
                    <w:spacing w:line="240" w:lineRule="auto"/>
                    <w:ind w:firstLine="0" w:firstLineChars="0"/>
                    <w:jc w:val="center"/>
                    <w:rPr>
                      <w:rFonts w:hint="default" w:eastAsia="宋体" w:cs="宋体"/>
                      <w:color w:val="auto"/>
                      <w:sz w:val="21"/>
                      <w:szCs w:val="21"/>
                      <w:lang w:val="en-US" w:eastAsia="zh-CN"/>
                    </w:rPr>
                  </w:pPr>
                  <w:r>
                    <w:rPr>
                      <w:rFonts w:hint="eastAsia"/>
                      <w:color w:val="auto"/>
                      <w:sz w:val="21"/>
                      <w:szCs w:val="21"/>
                      <w:lang w:val="en-US" w:eastAsia="zh-CN"/>
                    </w:rPr>
                    <w:t>250</w:t>
                  </w:r>
                </w:p>
              </w:tc>
            </w:tr>
            <w:tr w14:paraId="3C0990E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431" w:hRule="atLeast"/>
                <w:jc w:val="center"/>
              </w:trPr>
              <w:tc>
                <w:tcPr>
                  <w:tcW w:w="268" w:type="pct"/>
                  <w:vMerge w:val="continue"/>
                  <w:tcMar>
                    <w:left w:w="28" w:type="dxa"/>
                    <w:right w:w="28" w:type="dxa"/>
                  </w:tcMar>
                  <w:vAlign w:val="center"/>
                </w:tcPr>
                <w:p w14:paraId="18D34A3A">
                  <w:pPr>
                    <w:spacing w:line="240" w:lineRule="auto"/>
                    <w:ind w:firstLine="0" w:firstLineChars="0"/>
                    <w:jc w:val="center"/>
                    <w:rPr>
                      <w:color w:val="auto"/>
                      <w:sz w:val="21"/>
                      <w:szCs w:val="21"/>
                    </w:rPr>
                  </w:pPr>
                </w:p>
              </w:tc>
              <w:tc>
                <w:tcPr>
                  <w:tcW w:w="830" w:type="pct"/>
                  <w:gridSpan w:val="2"/>
                  <w:vAlign w:val="center"/>
                </w:tcPr>
                <w:p w14:paraId="4611A51C">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生活污水</w:t>
                  </w:r>
                </w:p>
              </w:tc>
              <w:tc>
                <w:tcPr>
                  <w:tcW w:w="1440" w:type="pct"/>
                  <w:tcMar>
                    <w:left w:w="28" w:type="dxa"/>
                    <w:right w:w="28" w:type="dxa"/>
                  </w:tcMar>
                  <w:vAlign w:val="center"/>
                </w:tcPr>
                <w:p w14:paraId="7AA46881">
                  <w:pPr>
                    <w:spacing w:line="240" w:lineRule="auto"/>
                    <w:ind w:firstLine="0" w:firstLineChars="0"/>
                    <w:rPr>
                      <w:rFonts w:hint="default" w:eastAsia="宋体"/>
                      <w:color w:val="auto"/>
                      <w:sz w:val="21"/>
                      <w:szCs w:val="21"/>
                      <w:lang w:val="en-US" w:eastAsia="zh-CN"/>
                    </w:rPr>
                  </w:pPr>
                  <w:r>
                    <w:rPr>
                      <w:rFonts w:hint="eastAsia"/>
                      <w:color w:val="auto"/>
                      <w:sz w:val="21"/>
                      <w:szCs w:val="21"/>
                      <w:lang w:val="en-US" w:eastAsia="zh-CN"/>
                    </w:rPr>
                    <w:t>经化粪池处理后排入厂区污水处理站</w:t>
                  </w:r>
                </w:p>
              </w:tc>
              <w:tc>
                <w:tcPr>
                  <w:tcW w:w="859" w:type="pct"/>
                  <w:vAlign w:val="center"/>
                </w:tcPr>
                <w:p w14:paraId="692BB20D">
                  <w:pPr>
                    <w:spacing w:line="240" w:lineRule="auto"/>
                    <w:ind w:firstLine="0" w:firstLineChars="0"/>
                    <w:rPr>
                      <w:rFonts w:hint="default" w:eastAsia="宋体"/>
                      <w:color w:val="auto"/>
                      <w:sz w:val="21"/>
                      <w:szCs w:val="21"/>
                      <w:lang w:val="en-US" w:eastAsia="zh-CN"/>
                    </w:rPr>
                  </w:pPr>
                  <w:r>
                    <w:rPr>
                      <w:rFonts w:hint="eastAsia"/>
                      <w:color w:val="auto"/>
                      <w:sz w:val="21"/>
                      <w:szCs w:val="21"/>
                      <w:lang w:val="en-US" w:eastAsia="zh-CN"/>
                    </w:rPr>
                    <w:t>化粪池</w:t>
                  </w:r>
                </w:p>
              </w:tc>
              <w:tc>
                <w:tcPr>
                  <w:tcW w:w="1173" w:type="pct"/>
                  <w:vMerge w:val="continue"/>
                  <w:vAlign w:val="center"/>
                </w:tcPr>
                <w:p w14:paraId="2FE95555">
                  <w:pPr>
                    <w:spacing w:line="240" w:lineRule="auto"/>
                    <w:ind w:firstLine="0" w:firstLineChars="0"/>
                    <w:rPr>
                      <w:rFonts w:hint="eastAsia"/>
                      <w:color w:val="auto"/>
                      <w:sz w:val="21"/>
                      <w:szCs w:val="21"/>
                    </w:rPr>
                  </w:pPr>
                </w:p>
              </w:tc>
              <w:tc>
                <w:tcPr>
                  <w:tcW w:w="428" w:type="pct"/>
                  <w:vMerge w:val="continue"/>
                  <w:vAlign w:val="center"/>
                </w:tcPr>
                <w:p w14:paraId="339F6A86">
                  <w:pPr>
                    <w:spacing w:line="240" w:lineRule="auto"/>
                    <w:ind w:firstLine="0" w:firstLineChars="0"/>
                    <w:jc w:val="center"/>
                    <w:rPr>
                      <w:rFonts w:hint="eastAsia" w:eastAsia="宋体"/>
                      <w:color w:val="auto"/>
                      <w:sz w:val="21"/>
                      <w:szCs w:val="21"/>
                      <w:lang w:val="en-US" w:eastAsia="zh-CN"/>
                    </w:rPr>
                  </w:pPr>
                </w:p>
              </w:tc>
            </w:tr>
            <w:tr w14:paraId="5FF964B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68" w:type="pct"/>
                  <w:tcMar>
                    <w:left w:w="28" w:type="dxa"/>
                    <w:right w:w="28" w:type="dxa"/>
                  </w:tcMar>
                  <w:vAlign w:val="center"/>
                </w:tcPr>
                <w:p w14:paraId="00C7F613">
                  <w:pPr>
                    <w:spacing w:line="240" w:lineRule="auto"/>
                    <w:ind w:firstLine="0" w:firstLineChars="0"/>
                    <w:jc w:val="center"/>
                    <w:rPr>
                      <w:color w:val="auto"/>
                      <w:sz w:val="21"/>
                      <w:szCs w:val="21"/>
                    </w:rPr>
                  </w:pPr>
                  <w:r>
                    <w:rPr>
                      <w:color w:val="auto"/>
                      <w:sz w:val="21"/>
                      <w:szCs w:val="21"/>
                    </w:rPr>
                    <w:t>噪声</w:t>
                  </w:r>
                </w:p>
              </w:tc>
              <w:tc>
                <w:tcPr>
                  <w:tcW w:w="830" w:type="pct"/>
                  <w:gridSpan w:val="2"/>
                  <w:vAlign w:val="center"/>
                </w:tcPr>
                <w:p w14:paraId="11DC9DE3">
                  <w:pPr>
                    <w:spacing w:line="240" w:lineRule="auto"/>
                    <w:ind w:firstLine="0" w:firstLineChars="0"/>
                    <w:jc w:val="center"/>
                    <w:rPr>
                      <w:color w:val="auto"/>
                      <w:sz w:val="21"/>
                      <w:szCs w:val="21"/>
                    </w:rPr>
                  </w:pPr>
                  <w:r>
                    <w:rPr>
                      <w:color w:val="auto"/>
                      <w:sz w:val="21"/>
                      <w:szCs w:val="21"/>
                    </w:rPr>
                    <w:t>噪声</w:t>
                  </w:r>
                </w:p>
              </w:tc>
              <w:tc>
                <w:tcPr>
                  <w:tcW w:w="1440" w:type="pct"/>
                  <w:tcMar>
                    <w:left w:w="28" w:type="dxa"/>
                    <w:right w:w="28" w:type="dxa"/>
                  </w:tcMar>
                  <w:vAlign w:val="center"/>
                </w:tcPr>
                <w:p w14:paraId="33031456">
                  <w:pPr>
                    <w:spacing w:line="240" w:lineRule="auto"/>
                    <w:ind w:firstLine="0" w:firstLineChars="0"/>
                    <w:rPr>
                      <w:color w:val="auto"/>
                      <w:sz w:val="21"/>
                      <w:szCs w:val="21"/>
                    </w:rPr>
                  </w:pPr>
                  <w:r>
                    <w:rPr>
                      <w:color w:val="auto"/>
                      <w:sz w:val="21"/>
                      <w:szCs w:val="21"/>
                    </w:rPr>
                    <w:t>基础减震，定期维护</w:t>
                  </w:r>
                </w:p>
              </w:tc>
              <w:tc>
                <w:tcPr>
                  <w:tcW w:w="859" w:type="pct"/>
                  <w:vAlign w:val="center"/>
                </w:tcPr>
                <w:p w14:paraId="0F52493C">
                  <w:pPr>
                    <w:spacing w:line="240" w:lineRule="auto"/>
                    <w:ind w:firstLine="0" w:firstLineChars="0"/>
                    <w:rPr>
                      <w:color w:val="auto"/>
                      <w:sz w:val="21"/>
                      <w:szCs w:val="21"/>
                    </w:rPr>
                  </w:pPr>
                  <w:r>
                    <w:rPr>
                      <w:color w:val="auto"/>
                      <w:sz w:val="21"/>
                      <w:szCs w:val="21"/>
                    </w:rPr>
                    <w:t>基础减震，定期维护</w:t>
                  </w:r>
                </w:p>
              </w:tc>
              <w:tc>
                <w:tcPr>
                  <w:tcW w:w="1173" w:type="pct"/>
                  <w:vAlign w:val="center"/>
                </w:tcPr>
                <w:p w14:paraId="67D8D02A">
                  <w:pPr>
                    <w:spacing w:line="240" w:lineRule="auto"/>
                    <w:ind w:firstLine="0" w:firstLineChars="0"/>
                    <w:rPr>
                      <w:color w:val="auto"/>
                      <w:sz w:val="21"/>
                      <w:szCs w:val="21"/>
                    </w:rPr>
                  </w:pPr>
                  <w:r>
                    <w:rPr>
                      <w:color w:val="auto"/>
                      <w:sz w:val="21"/>
                      <w:szCs w:val="21"/>
                    </w:rPr>
                    <w:t>《工业企业厂界环境噪声排放标准》（GB12348-2008）</w:t>
                  </w:r>
                  <w:r>
                    <w:rPr>
                      <w:rFonts w:hint="eastAsia"/>
                      <w:color w:val="auto"/>
                      <w:sz w:val="21"/>
                      <w:szCs w:val="21"/>
                    </w:rPr>
                    <w:t>3</w:t>
                  </w:r>
                  <w:r>
                    <w:rPr>
                      <w:color w:val="auto"/>
                      <w:sz w:val="21"/>
                      <w:szCs w:val="21"/>
                    </w:rPr>
                    <w:t>类标准</w:t>
                  </w:r>
                </w:p>
              </w:tc>
              <w:tc>
                <w:tcPr>
                  <w:tcW w:w="428" w:type="pct"/>
                  <w:vAlign w:val="center"/>
                </w:tcPr>
                <w:p w14:paraId="27C18D5C">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20</w:t>
                  </w:r>
                </w:p>
              </w:tc>
            </w:tr>
            <w:tr w14:paraId="4449269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53" w:hRule="atLeast"/>
                <w:jc w:val="center"/>
              </w:trPr>
              <w:tc>
                <w:tcPr>
                  <w:tcW w:w="268" w:type="pct"/>
                  <w:vMerge w:val="restart"/>
                  <w:tcMar>
                    <w:left w:w="28" w:type="dxa"/>
                    <w:right w:w="28" w:type="dxa"/>
                  </w:tcMar>
                  <w:vAlign w:val="center"/>
                </w:tcPr>
                <w:p w14:paraId="65E86131">
                  <w:pPr>
                    <w:spacing w:line="240" w:lineRule="auto"/>
                    <w:ind w:firstLine="0" w:firstLineChars="0"/>
                    <w:jc w:val="center"/>
                    <w:rPr>
                      <w:color w:val="auto"/>
                      <w:sz w:val="21"/>
                      <w:szCs w:val="21"/>
                      <w:u w:val="none"/>
                    </w:rPr>
                  </w:pPr>
                  <w:r>
                    <w:rPr>
                      <w:color w:val="auto"/>
                      <w:sz w:val="21"/>
                      <w:szCs w:val="21"/>
                      <w:u w:val="none"/>
                    </w:rPr>
                    <w:t>固废</w:t>
                  </w:r>
                </w:p>
              </w:tc>
              <w:tc>
                <w:tcPr>
                  <w:tcW w:w="211" w:type="pct"/>
                  <w:vMerge w:val="restart"/>
                  <w:vAlign w:val="center"/>
                </w:tcPr>
                <w:p w14:paraId="3073DFDC">
                  <w:pPr>
                    <w:spacing w:line="240" w:lineRule="auto"/>
                    <w:ind w:firstLine="0" w:firstLineChars="0"/>
                    <w:jc w:val="center"/>
                    <w:rPr>
                      <w:rFonts w:hint="eastAsia" w:eastAsia="宋体"/>
                      <w:color w:val="auto"/>
                      <w:sz w:val="21"/>
                      <w:szCs w:val="21"/>
                      <w:u w:val="none"/>
                      <w:lang w:eastAsia="zh-CN"/>
                    </w:rPr>
                  </w:pPr>
                  <w:r>
                    <w:rPr>
                      <w:rFonts w:hint="eastAsia"/>
                      <w:color w:val="auto"/>
                      <w:sz w:val="21"/>
                      <w:szCs w:val="21"/>
                      <w:u w:val="none"/>
                      <w:lang w:val="en-US" w:eastAsia="zh-CN"/>
                    </w:rPr>
                    <w:t>一般固废</w:t>
                  </w:r>
                </w:p>
              </w:tc>
              <w:tc>
                <w:tcPr>
                  <w:tcW w:w="619" w:type="pct"/>
                  <w:shd w:val="clear" w:color="auto" w:fill="auto"/>
                  <w:vAlign w:val="center"/>
                </w:tcPr>
                <w:p w14:paraId="026B0F35">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rPr>
                    <w:t>药材废弃物</w:t>
                  </w:r>
                </w:p>
              </w:tc>
              <w:tc>
                <w:tcPr>
                  <w:tcW w:w="1440" w:type="pct"/>
                  <w:shd w:val="clear" w:color="auto" w:fill="auto"/>
                  <w:tcMar>
                    <w:left w:w="28" w:type="dxa"/>
                    <w:right w:w="28" w:type="dxa"/>
                  </w:tcMar>
                  <w:vAlign w:val="center"/>
                </w:tcPr>
                <w:p w14:paraId="6289994C">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作为生活垃圾处置，暂存于一般固废暂存间</w:t>
                  </w:r>
                </w:p>
              </w:tc>
              <w:tc>
                <w:tcPr>
                  <w:tcW w:w="859" w:type="pct"/>
                  <w:vMerge w:val="restart"/>
                  <w:vAlign w:val="center"/>
                </w:tcPr>
                <w:p w14:paraId="20036A93">
                  <w:pPr>
                    <w:spacing w:line="240" w:lineRule="auto"/>
                    <w:ind w:firstLine="0" w:firstLineChars="0"/>
                    <w:jc w:val="center"/>
                    <w:rPr>
                      <w:rFonts w:hint="default"/>
                      <w:color w:val="auto"/>
                      <w:sz w:val="21"/>
                      <w:szCs w:val="21"/>
                      <w:u w:val="none"/>
                      <w:lang w:val="en-US"/>
                    </w:rPr>
                  </w:pPr>
                  <w:r>
                    <w:rPr>
                      <w:rFonts w:hint="eastAsia"/>
                      <w:bCs/>
                      <w:color w:val="000000"/>
                      <w:sz w:val="21"/>
                      <w:szCs w:val="21"/>
                      <w:lang w:val="en-US" w:eastAsia="zh-CN"/>
                    </w:rPr>
                    <w:t>一般固废暂存间，面积100m</w:t>
                  </w:r>
                  <w:r>
                    <w:rPr>
                      <w:rFonts w:hint="eastAsia"/>
                      <w:bCs/>
                      <w:color w:val="000000"/>
                      <w:sz w:val="21"/>
                      <w:szCs w:val="21"/>
                      <w:vertAlign w:val="superscript"/>
                      <w:lang w:val="en-US" w:eastAsia="zh-CN"/>
                    </w:rPr>
                    <w:t>2</w:t>
                  </w:r>
                  <w:r>
                    <w:rPr>
                      <w:rFonts w:hint="eastAsia"/>
                      <w:bCs/>
                      <w:color w:val="000000"/>
                      <w:sz w:val="21"/>
                      <w:szCs w:val="21"/>
                      <w:vertAlign w:val="baseline"/>
                      <w:lang w:val="en-US" w:eastAsia="zh-CN"/>
                    </w:rPr>
                    <w:t>，做到防风、防渗漏、防流失措施，并设置明显的固废存储标志牌</w:t>
                  </w:r>
                </w:p>
              </w:tc>
              <w:tc>
                <w:tcPr>
                  <w:tcW w:w="1173" w:type="pct"/>
                  <w:vMerge w:val="restart"/>
                  <w:vAlign w:val="center"/>
                </w:tcPr>
                <w:p w14:paraId="4C0B903B">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参考</w:t>
                  </w:r>
                  <w:r>
                    <w:rPr>
                      <w:color w:val="auto"/>
                      <w:sz w:val="21"/>
                      <w:szCs w:val="21"/>
                    </w:rPr>
                    <w:t>《一般工业固体废物贮存、处置场污染物控制标准》（GB18599-20</w:t>
                  </w:r>
                  <w:r>
                    <w:rPr>
                      <w:rFonts w:hint="eastAsia"/>
                      <w:color w:val="auto"/>
                      <w:sz w:val="21"/>
                      <w:szCs w:val="21"/>
                    </w:rPr>
                    <w:t>20</w:t>
                  </w:r>
                  <w:r>
                    <w:rPr>
                      <w:color w:val="auto"/>
                      <w:sz w:val="21"/>
                      <w:szCs w:val="21"/>
                    </w:rPr>
                    <w:t>）</w:t>
                  </w:r>
                  <w:r>
                    <w:rPr>
                      <w:rFonts w:hint="eastAsia"/>
                      <w:color w:val="auto"/>
                      <w:sz w:val="21"/>
                      <w:szCs w:val="21"/>
                      <w:lang w:val="en-US" w:eastAsia="zh-CN"/>
                    </w:rPr>
                    <w:t>执行</w:t>
                  </w:r>
                </w:p>
              </w:tc>
              <w:tc>
                <w:tcPr>
                  <w:tcW w:w="428" w:type="pct"/>
                  <w:vMerge w:val="restart"/>
                  <w:vAlign w:val="center"/>
                </w:tcPr>
                <w:p w14:paraId="66A0CCE4">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3</w:t>
                  </w:r>
                </w:p>
              </w:tc>
            </w:tr>
            <w:tr w14:paraId="61E16C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53" w:hRule="atLeast"/>
                <w:jc w:val="center"/>
              </w:trPr>
              <w:tc>
                <w:tcPr>
                  <w:tcW w:w="268" w:type="pct"/>
                  <w:vMerge w:val="continue"/>
                  <w:tcMar>
                    <w:left w:w="28" w:type="dxa"/>
                    <w:right w:w="28" w:type="dxa"/>
                  </w:tcMar>
                  <w:vAlign w:val="center"/>
                </w:tcPr>
                <w:p w14:paraId="1B8FFDB2">
                  <w:pPr>
                    <w:spacing w:line="240" w:lineRule="auto"/>
                    <w:ind w:firstLine="0" w:firstLineChars="0"/>
                    <w:jc w:val="center"/>
                  </w:pPr>
                </w:p>
              </w:tc>
              <w:tc>
                <w:tcPr>
                  <w:tcW w:w="211" w:type="pct"/>
                  <w:vMerge w:val="continue"/>
                  <w:vAlign w:val="center"/>
                </w:tcPr>
                <w:p w14:paraId="17676568">
                  <w:pPr>
                    <w:spacing w:line="240" w:lineRule="auto"/>
                    <w:ind w:firstLine="0" w:firstLineChars="0"/>
                    <w:jc w:val="center"/>
                  </w:pPr>
                </w:p>
              </w:tc>
              <w:tc>
                <w:tcPr>
                  <w:tcW w:w="619" w:type="pct"/>
                  <w:shd w:val="clear" w:color="auto" w:fill="auto"/>
                  <w:vAlign w:val="center"/>
                </w:tcPr>
                <w:p w14:paraId="6C82127D">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药渣</w:t>
                  </w:r>
                </w:p>
              </w:tc>
              <w:tc>
                <w:tcPr>
                  <w:tcW w:w="1440" w:type="pct"/>
                  <w:shd w:val="clear" w:color="auto" w:fill="auto"/>
                  <w:tcMar>
                    <w:left w:w="28" w:type="dxa"/>
                    <w:right w:w="28" w:type="dxa"/>
                  </w:tcMar>
                  <w:vAlign w:val="center"/>
                </w:tcPr>
                <w:p w14:paraId="2C4274B7">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暂存于一般固废暂存间，定期外售制作有机肥</w:t>
                  </w:r>
                </w:p>
              </w:tc>
              <w:tc>
                <w:tcPr>
                  <w:tcW w:w="859" w:type="pct"/>
                  <w:vMerge w:val="continue"/>
                  <w:vAlign w:val="center"/>
                </w:tcPr>
                <w:p w14:paraId="2D78D118">
                  <w:pPr>
                    <w:spacing w:line="240" w:lineRule="auto"/>
                    <w:ind w:firstLine="0" w:firstLineChars="0"/>
                    <w:jc w:val="center"/>
                    <w:rPr>
                      <w:rFonts w:hint="eastAsia"/>
                      <w:color w:val="auto"/>
                      <w:sz w:val="21"/>
                      <w:szCs w:val="21"/>
                      <w:u w:val="none"/>
                      <w:lang w:val="en-US" w:eastAsia="zh-CN"/>
                    </w:rPr>
                  </w:pPr>
                </w:p>
              </w:tc>
              <w:tc>
                <w:tcPr>
                  <w:tcW w:w="1173" w:type="pct"/>
                  <w:vMerge w:val="continue"/>
                  <w:vAlign w:val="center"/>
                </w:tcPr>
                <w:p w14:paraId="17C7E31B">
                  <w:pPr>
                    <w:spacing w:line="240" w:lineRule="auto"/>
                    <w:ind w:firstLine="0" w:firstLineChars="0"/>
                    <w:jc w:val="center"/>
                    <w:rPr>
                      <w:rFonts w:hint="eastAsia"/>
                      <w:color w:val="auto"/>
                      <w:sz w:val="21"/>
                      <w:szCs w:val="21"/>
                      <w:u w:val="none"/>
                      <w:lang w:val="en-US" w:eastAsia="zh-CN"/>
                    </w:rPr>
                  </w:pPr>
                </w:p>
              </w:tc>
              <w:tc>
                <w:tcPr>
                  <w:tcW w:w="428" w:type="pct"/>
                  <w:vMerge w:val="continue"/>
                  <w:vAlign w:val="center"/>
                </w:tcPr>
                <w:p w14:paraId="3F2D96E8">
                  <w:pPr>
                    <w:spacing w:line="240" w:lineRule="auto"/>
                    <w:ind w:firstLine="0" w:firstLineChars="0"/>
                    <w:jc w:val="center"/>
                    <w:rPr>
                      <w:rFonts w:hint="eastAsia"/>
                      <w:color w:val="auto"/>
                      <w:sz w:val="21"/>
                      <w:szCs w:val="21"/>
                      <w:u w:val="none"/>
                      <w:lang w:val="en-US" w:eastAsia="zh-CN"/>
                    </w:rPr>
                  </w:pPr>
                </w:p>
              </w:tc>
            </w:tr>
            <w:tr w14:paraId="4C94D4B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53" w:hRule="atLeast"/>
                <w:jc w:val="center"/>
              </w:trPr>
              <w:tc>
                <w:tcPr>
                  <w:tcW w:w="268" w:type="pct"/>
                  <w:vMerge w:val="continue"/>
                  <w:tcMar>
                    <w:left w:w="28" w:type="dxa"/>
                    <w:right w:w="28" w:type="dxa"/>
                  </w:tcMar>
                  <w:vAlign w:val="center"/>
                </w:tcPr>
                <w:p w14:paraId="76DB021C">
                  <w:pPr>
                    <w:spacing w:line="240" w:lineRule="auto"/>
                    <w:ind w:firstLine="0" w:firstLineChars="0"/>
                    <w:jc w:val="center"/>
                    <w:rPr>
                      <w:rFonts w:hint="eastAsia"/>
                      <w:color w:val="auto"/>
                      <w:sz w:val="21"/>
                      <w:szCs w:val="21"/>
                      <w:u w:val="none"/>
                      <w:lang w:val="en-US" w:eastAsia="zh-CN"/>
                    </w:rPr>
                  </w:pPr>
                </w:p>
              </w:tc>
              <w:tc>
                <w:tcPr>
                  <w:tcW w:w="211" w:type="pct"/>
                  <w:vMerge w:val="continue"/>
                  <w:vAlign w:val="center"/>
                </w:tcPr>
                <w:p w14:paraId="69A910E4">
                  <w:pPr>
                    <w:spacing w:line="240" w:lineRule="auto"/>
                    <w:ind w:firstLine="0" w:firstLineChars="0"/>
                    <w:jc w:val="center"/>
                    <w:rPr>
                      <w:rFonts w:hint="eastAsia"/>
                      <w:color w:val="auto"/>
                      <w:sz w:val="21"/>
                      <w:szCs w:val="21"/>
                      <w:u w:val="none"/>
                      <w:lang w:val="en-US" w:eastAsia="zh-CN"/>
                    </w:rPr>
                  </w:pPr>
                </w:p>
              </w:tc>
              <w:tc>
                <w:tcPr>
                  <w:tcW w:w="619" w:type="pct"/>
                  <w:shd w:val="clear" w:color="auto" w:fill="auto"/>
                  <w:vAlign w:val="center"/>
                </w:tcPr>
                <w:p w14:paraId="2CB5861E">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药尘</w:t>
                  </w:r>
                </w:p>
              </w:tc>
              <w:tc>
                <w:tcPr>
                  <w:tcW w:w="1440" w:type="pct"/>
                  <w:shd w:val="clear" w:color="auto" w:fill="auto"/>
                  <w:tcMar>
                    <w:left w:w="28" w:type="dxa"/>
                    <w:right w:w="28" w:type="dxa"/>
                  </w:tcMar>
                  <w:vAlign w:val="center"/>
                </w:tcPr>
                <w:p w14:paraId="1368AC36">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暂存于一般固废暂存间，定期外售制作有机肥</w:t>
                  </w:r>
                </w:p>
              </w:tc>
              <w:tc>
                <w:tcPr>
                  <w:tcW w:w="859" w:type="pct"/>
                  <w:vMerge w:val="continue"/>
                  <w:vAlign w:val="center"/>
                </w:tcPr>
                <w:p w14:paraId="1E90A56B">
                  <w:pPr>
                    <w:spacing w:line="240" w:lineRule="auto"/>
                    <w:ind w:firstLine="0" w:firstLineChars="0"/>
                    <w:jc w:val="center"/>
                    <w:rPr>
                      <w:rFonts w:hint="eastAsia"/>
                      <w:color w:val="auto"/>
                      <w:sz w:val="21"/>
                      <w:szCs w:val="21"/>
                      <w:u w:val="none"/>
                      <w:lang w:val="en-US" w:eastAsia="zh-CN"/>
                    </w:rPr>
                  </w:pPr>
                </w:p>
              </w:tc>
              <w:tc>
                <w:tcPr>
                  <w:tcW w:w="1173" w:type="pct"/>
                  <w:vMerge w:val="continue"/>
                  <w:vAlign w:val="center"/>
                </w:tcPr>
                <w:p w14:paraId="245E414E">
                  <w:pPr>
                    <w:spacing w:line="240" w:lineRule="auto"/>
                    <w:ind w:firstLine="0" w:firstLineChars="0"/>
                    <w:jc w:val="center"/>
                    <w:rPr>
                      <w:rFonts w:hint="eastAsia"/>
                      <w:color w:val="auto"/>
                      <w:sz w:val="21"/>
                      <w:szCs w:val="21"/>
                      <w:u w:val="none"/>
                      <w:lang w:val="en-US" w:eastAsia="zh-CN"/>
                    </w:rPr>
                  </w:pPr>
                </w:p>
              </w:tc>
              <w:tc>
                <w:tcPr>
                  <w:tcW w:w="428" w:type="pct"/>
                  <w:vMerge w:val="continue"/>
                  <w:vAlign w:val="center"/>
                </w:tcPr>
                <w:p w14:paraId="13F37308">
                  <w:pPr>
                    <w:spacing w:line="240" w:lineRule="auto"/>
                    <w:ind w:firstLine="0" w:firstLineChars="0"/>
                    <w:jc w:val="center"/>
                    <w:rPr>
                      <w:rFonts w:hint="eastAsia"/>
                      <w:color w:val="auto"/>
                      <w:sz w:val="21"/>
                      <w:szCs w:val="21"/>
                      <w:u w:val="none"/>
                      <w:lang w:val="en-US" w:eastAsia="zh-CN"/>
                    </w:rPr>
                  </w:pPr>
                </w:p>
              </w:tc>
            </w:tr>
            <w:tr w14:paraId="7C499A1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53" w:hRule="atLeast"/>
                <w:jc w:val="center"/>
              </w:trPr>
              <w:tc>
                <w:tcPr>
                  <w:tcW w:w="268" w:type="pct"/>
                  <w:vMerge w:val="continue"/>
                  <w:tcMar>
                    <w:left w:w="28" w:type="dxa"/>
                    <w:right w:w="28" w:type="dxa"/>
                  </w:tcMar>
                  <w:vAlign w:val="center"/>
                </w:tcPr>
                <w:p w14:paraId="03483F9B">
                  <w:pPr>
                    <w:spacing w:line="240" w:lineRule="auto"/>
                    <w:ind w:firstLine="0" w:firstLineChars="0"/>
                    <w:jc w:val="center"/>
                    <w:rPr>
                      <w:rFonts w:hint="eastAsia"/>
                      <w:color w:val="auto"/>
                      <w:sz w:val="21"/>
                      <w:szCs w:val="21"/>
                      <w:u w:val="none"/>
                      <w:lang w:val="en-US" w:eastAsia="zh-CN"/>
                    </w:rPr>
                  </w:pPr>
                </w:p>
              </w:tc>
              <w:tc>
                <w:tcPr>
                  <w:tcW w:w="211" w:type="pct"/>
                  <w:vMerge w:val="continue"/>
                  <w:vAlign w:val="center"/>
                </w:tcPr>
                <w:p w14:paraId="08717333">
                  <w:pPr>
                    <w:spacing w:line="240" w:lineRule="auto"/>
                    <w:ind w:firstLine="0" w:firstLineChars="0"/>
                    <w:jc w:val="center"/>
                    <w:rPr>
                      <w:rFonts w:hint="eastAsia"/>
                      <w:color w:val="auto"/>
                      <w:sz w:val="21"/>
                      <w:szCs w:val="21"/>
                      <w:u w:val="none"/>
                      <w:lang w:val="en-US" w:eastAsia="zh-CN"/>
                    </w:rPr>
                  </w:pPr>
                </w:p>
              </w:tc>
              <w:tc>
                <w:tcPr>
                  <w:tcW w:w="619" w:type="pct"/>
                  <w:shd w:val="clear" w:color="auto" w:fill="auto"/>
                  <w:vAlign w:val="center"/>
                </w:tcPr>
                <w:p w14:paraId="37D02330">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rPr>
                    <w:t>废包装材料</w:t>
                  </w:r>
                </w:p>
              </w:tc>
              <w:tc>
                <w:tcPr>
                  <w:tcW w:w="1440" w:type="pct"/>
                  <w:shd w:val="clear" w:color="auto" w:fill="auto"/>
                  <w:tcMar>
                    <w:left w:w="28" w:type="dxa"/>
                    <w:right w:w="28" w:type="dxa"/>
                  </w:tcMar>
                  <w:vAlign w:val="center"/>
                </w:tcPr>
                <w:p w14:paraId="5EC0081F">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暂存于一般固废暂存间，定期</w:t>
                  </w:r>
                  <w:r>
                    <w:rPr>
                      <w:rFonts w:hint="eastAsia"/>
                      <w:bCs/>
                      <w:color w:val="000000"/>
                      <w:sz w:val="21"/>
                      <w:szCs w:val="21"/>
                    </w:rPr>
                    <w:t>外售综合利用</w:t>
                  </w:r>
                </w:p>
              </w:tc>
              <w:tc>
                <w:tcPr>
                  <w:tcW w:w="859" w:type="pct"/>
                  <w:vMerge w:val="continue"/>
                  <w:vAlign w:val="center"/>
                </w:tcPr>
                <w:p w14:paraId="5D2AF9E7">
                  <w:pPr>
                    <w:spacing w:line="240" w:lineRule="auto"/>
                    <w:ind w:firstLine="0" w:firstLineChars="0"/>
                    <w:jc w:val="center"/>
                    <w:rPr>
                      <w:rFonts w:hint="eastAsia"/>
                      <w:color w:val="auto"/>
                      <w:sz w:val="21"/>
                      <w:szCs w:val="21"/>
                      <w:u w:val="none"/>
                      <w:lang w:val="en-US" w:eastAsia="zh-CN"/>
                    </w:rPr>
                  </w:pPr>
                </w:p>
              </w:tc>
              <w:tc>
                <w:tcPr>
                  <w:tcW w:w="1173" w:type="pct"/>
                  <w:vMerge w:val="continue"/>
                  <w:vAlign w:val="center"/>
                </w:tcPr>
                <w:p w14:paraId="57563805">
                  <w:pPr>
                    <w:spacing w:line="240" w:lineRule="auto"/>
                    <w:ind w:firstLine="0" w:firstLineChars="0"/>
                    <w:jc w:val="center"/>
                    <w:rPr>
                      <w:rFonts w:hint="eastAsia"/>
                      <w:color w:val="auto"/>
                      <w:sz w:val="21"/>
                      <w:szCs w:val="21"/>
                      <w:u w:val="none"/>
                      <w:lang w:val="en-US" w:eastAsia="zh-CN"/>
                    </w:rPr>
                  </w:pPr>
                </w:p>
              </w:tc>
              <w:tc>
                <w:tcPr>
                  <w:tcW w:w="428" w:type="pct"/>
                  <w:vMerge w:val="continue"/>
                  <w:vAlign w:val="center"/>
                </w:tcPr>
                <w:p w14:paraId="1C99633B">
                  <w:pPr>
                    <w:spacing w:line="240" w:lineRule="auto"/>
                    <w:ind w:firstLine="0" w:firstLineChars="0"/>
                    <w:jc w:val="center"/>
                    <w:rPr>
                      <w:rFonts w:hint="eastAsia"/>
                      <w:color w:val="auto"/>
                      <w:sz w:val="21"/>
                      <w:szCs w:val="21"/>
                      <w:u w:val="none"/>
                      <w:lang w:val="en-US" w:eastAsia="zh-CN"/>
                    </w:rPr>
                  </w:pPr>
                </w:p>
              </w:tc>
            </w:tr>
            <w:tr w14:paraId="258E3D8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53" w:hRule="atLeast"/>
                <w:jc w:val="center"/>
              </w:trPr>
              <w:tc>
                <w:tcPr>
                  <w:tcW w:w="268" w:type="pct"/>
                  <w:vMerge w:val="continue"/>
                  <w:tcMar>
                    <w:left w:w="28" w:type="dxa"/>
                    <w:right w:w="28" w:type="dxa"/>
                  </w:tcMar>
                  <w:vAlign w:val="center"/>
                </w:tcPr>
                <w:p w14:paraId="3857DFA9">
                  <w:pPr>
                    <w:spacing w:line="240" w:lineRule="auto"/>
                    <w:ind w:firstLine="0" w:firstLineChars="0"/>
                    <w:jc w:val="center"/>
                    <w:rPr>
                      <w:rFonts w:hint="eastAsia"/>
                      <w:color w:val="auto"/>
                      <w:sz w:val="21"/>
                      <w:szCs w:val="21"/>
                      <w:u w:val="none"/>
                      <w:lang w:val="en-US" w:eastAsia="zh-CN"/>
                    </w:rPr>
                  </w:pPr>
                </w:p>
              </w:tc>
              <w:tc>
                <w:tcPr>
                  <w:tcW w:w="211" w:type="pct"/>
                  <w:vMerge w:val="continue"/>
                  <w:vAlign w:val="center"/>
                </w:tcPr>
                <w:p w14:paraId="2B35F8DE">
                  <w:pPr>
                    <w:spacing w:line="240" w:lineRule="auto"/>
                    <w:ind w:firstLine="0" w:firstLineChars="0"/>
                    <w:jc w:val="center"/>
                    <w:rPr>
                      <w:rFonts w:hint="eastAsia"/>
                      <w:color w:val="auto"/>
                      <w:sz w:val="21"/>
                      <w:szCs w:val="21"/>
                      <w:u w:val="none"/>
                      <w:lang w:val="en-US" w:eastAsia="zh-CN"/>
                    </w:rPr>
                  </w:pPr>
                </w:p>
              </w:tc>
              <w:tc>
                <w:tcPr>
                  <w:tcW w:w="619" w:type="pct"/>
                  <w:shd w:val="clear" w:color="auto" w:fill="auto"/>
                  <w:vAlign w:val="center"/>
                </w:tcPr>
                <w:p w14:paraId="6D41B5BD">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污泥</w:t>
                  </w:r>
                </w:p>
              </w:tc>
              <w:tc>
                <w:tcPr>
                  <w:tcW w:w="1440" w:type="pct"/>
                  <w:shd w:val="clear" w:color="auto" w:fill="auto"/>
                  <w:tcMar>
                    <w:left w:w="28" w:type="dxa"/>
                    <w:right w:w="28" w:type="dxa"/>
                  </w:tcMar>
                  <w:vAlign w:val="center"/>
                </w:tcPr>
                <w:p w14:paraId="40FB74C6">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暂存于一般固废暂存间，</w:t>
                  </w:r>
                  <w:r>
                    <w:rPr>
                      <w:rFonts w:hint="eastAsia"/>
                      <w:bCs/>
                      <w:color w:val="FF0000"/>
                      <w:sz w:val="21"/>
                      <w:szCs w:val="21"/>
                      <w:lang w:val="en-US" w:eastAsia="zh-CN"/>
                    </w:rPr>
                    <w:t>外售综合利用</w:t>
                  </w:r>
                </w:p>
              </w:tc>
              <w:tc>
                <w:tcPr>
                  <w:tcW w:w="859" w:type="pct"/>
                  <w:vMerge w:val="continue"/>
                  <w:vAlign w:val="center"/>
                </w:tcPr>
                <w:p w14:paraId="5DEA2465">
                  <w:pPr>
                    <w:spacing w:line="240" w:lineRule="auto"/>
                    <w:ind w:firstLine="0" w:firstLineChars="0"/>
                    <w:jc w:val="center"/>
                    <w:rPr>
                      <w:rFonts w:hint="eastAsia"/>
                      <w:color w:val="auto"/>
                      <w:sz w:val="21"/>
                      <w:szCs w:val="21"/>
                      <w:u w:val="none"/>
                      <w:lang w:val="en-US" w:eastAsia="zh-CN"/>
                    </w:rPr>
                  </w:pPr>
                </w:p>
              </w:tc>
              <w:tc>
                <w:tcPr>
                  <w:tcW w:w="1173" w:type="pct"/>
                  <w:vMerge w:val="continue"/>
                  <w:vAlign w:val="center"/>
                </w:tcPr>
                <w:p w14:paraId="3315E02F">
                  <w:pPr>
                    <w:spacing w:line="240" w:lineRule="auto"/>
                    <w:ind w:firstLine="0" w:firstLineChars="0"/>
                    <w:jc w:val="center"/>
                    <w:rPr>
                      <w:rFonts w:hint="eastAsia"/>
                      <w:color w:val="auto"/>
                      <w:sz w:val="21"/>
                      <w:szCs w:val="21"/>
                      <w:u w:val="none"/>
                      <w:lang w:val="en-US" w:eastAsia="zh-CN"/>
                    </w:rPr>
                  </w:pPr>
                </w:p>
              </w:tc>
              <w:tc>
                <w:tcPr>
                  <w:tcW w:w="428" w:type="pct"/>
                  <w:vMerge w:val="continue"/>
                  <w:vAlign w:val="center"/>
                </w:tcPr>
                <w:p w14:paraId="58BAD2AD">
                  <w:pPr>
                    <w:spacing w:line="240" w:lineRule="auto"/>
                    <w:ind w:firstLine="0" w:firstLineChars="0"/>
                    <w:jc w:val="center"/>
                    <w:rPr>
                      <w:rFonts w:hint="eastAsia"/>
                      <w:color w:val="auto"/>
                      <w:sz w:val="21"/>
                      <w:szCs w:val="21"/>
                      <w:u w:val="none"/>
                      <w:lang w:val="en-US" w:eastAsia="zh-CN"/>
                    </w:rPr>
                  </w:pPr>
                </w:p>
              </w:tc>
            </w:tr>
            <w:tr w14:paraId="04A5FD5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53" w:hRule="atLeast"/>
                <w:jc w:val="center"/>
              </w:trPr>
              <w:tc>
                <w:tcPr>
                  <w:tcW w:w="268" w:type="pct"/>
                  <w:vMerge w:val="continue"/>
                  <w:tcMar>
                    <w:left w:w="28" w:type="dxa"/>
                    <w:right w:w="28" w:type="dxa"/>
                  </w:tcMar>
                  <w:vAlign w:val="center"/>
                </w:tcPr>
                <w:p w14:paraId="25C912BF">
                  <w:pPr>
                    <w:spacing w:line="240" w:lineRule="auto"/>
                    <w:ind w:firstLine="0" w:firstLineChars="0"/>
                    <w:jc w:val="center"/>
                    <w:rPr>
                      <w:rFonts w:hint="eastAsia"/>
                      <w:color w:val="auto"/>
                      <w:sz w:val="21"/>
                      <w:szCs w:val="21"/>
                      <w:u w:val="none"/>
                      <w:lang w:val="en-US" w:eastAsia="zh-CN"/>
                    </w:rPr>
                  </w:pPr>
                </w:p>
              </w:tc>
              <w:tc>
                <w:tcPr>
                  <w:tcW w:w="211" w:type="pct"/>
                  <w:vMerge w:val="continue"/>
                  <w:vAlign w:val="center"/>
                </w:tcPr>
                <w:p w14:paraId="30489309">
                  <w:pPr>
                    <w:spacing w:line="240" w:lineRule="auto"/>
                    <w:ind w:firstLine="0" w:firstLineChars="0"/>
                    <w:jc w:val="center"/>
                    <w:rPr>
                      <w:rFonts w:hint="eastAsia"/>
                      <w:color w:val="auto"/>
                      <w:sz w:val="21"/>
                      <w:szCs w:val="21"/>
                      <w:u w:val="none"/>
                      <w:lang w:val="en-US" w:eastAsia="zh-CN"/>
                    </w:rPr>
                  </w:pPr>
                </w:p>
              </w:tc>
              <w:tc>
                <w:tcPr>
                  <w:tcW w:w="619" w:type="pct"/>
                  <w:shd w:val="clear" w:color="auto" w:fill="auto"/>
                  <w:vAlign w:val="center"/>
                </w:tcPr>
                <w:p w14:paraId="2E4BE926">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废渗透膜</w:t>
                  </w:r>
                </w:p>
              </w:tc>
              <w:tc>
                <w:tcPr>
                  <w:tcW w:w="1440" w:type="pct"/>
                  <w:shd w:val="clear" w:color="auto" w:fill="auto"/>
                  <w:tcMar>
                    <w:left w:w="28" w:type="dxa"/>
                    <w:right w:w="28" w:type="dxa"/>
                  </w:tcMar>
                  <w:vAlign w:val="center"/>
                </w:tcPr>
                <w:p w14:paraId="7930F4BD">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暂存于一般固废暂存间，定期</w:t>
                  </w:r>
                  <w:r>
                    <w:rPr>
                      <w:rFonts w:hint="eastAsia"/>
                      <w:bCs/>
                      <w:color w:val="000000"/>
                      <w:sz w:val="21"/>
                      <w:szCs w:val="21"/>
                    </w:rPr>
                    <w:t>由原厂家回收</w:t>
                  </w:r>
                </w:p>
              </w:tc>
              <w:tc>
                <w:tcPr>
                  <w:tcW w:w="859" w:type="pct"/>
                  <w:vMerge w:val="continue"/>
                  <w:vAlign w:val="center"/>
                </w:tcPr>
                <w:p w14:paraId="3799C482">
                  <w:pPr>
                    <w:spacing w:line="240" w:lineRule="auto"/>
                    <w:ind w:firstLine="0" w:firstLineChars="0"/>
                    <w:jc w:val="center"/>
                    <w:rPr>
                      <w:rFonts w:hint="eastAsia"/>
                      <w:color w:val="auto"/>
                      <w:sz w:val="21"/>
                      <w:szCs w:val="21"/>
                      <w:u w:val="none"/>
                      <w:lang w:val="en-US" w:eastAsia="zh-CN"/>
                    </w:rPr>
                  </w:pPr>
                </w:p>
              </w:tc>
              <w:tc>
                <w:tcPr>
                  <w:tcW w:w="1173" w:type="pct"/>
                  <w:vMerge w:val="continue"/>
                  <w:vAlign w:val="center"/>
                </w:tcPr>
                <w:p w14:paraId="090791EC">
                  <w:pPr>
                    <w:spacing w:line="240" w:lineRule="auto"/>
                    <w:ind w:firstLine="0" w:firstLineChars="0"/>
                    <w:jc w:val="center"/>
                    <w:rPr>
                      <w:rFonts w:hint="eastAsia"/>
                      <w:color w:val="auto"/>
                      <w:sz w:val="21"/>
                      <w:szCs w:val="21"/>
                      <w:u w:val="none"/>
                      <w:lang w:val="en-US" w:eastAsia="zh-CN"/>
                    </w:rPr>
                  </w:pPr>
                </w:p>
              </w:tc>
              <w:tc>
                <w:tcPr>
                  <w:tcW w:w="428" w:type="pct"/>
                  <w:vMerge w:val="continue"/>
                  <w:vAlign w:val="center"/>
                </w:tcPr>
                <w:p w14:paraId="4B365A73">
                  <w:pPr>
                    <w:spacing w:line="240" w:lineRule="auto"/>
                    <w:ind w:firstLine="0" w:firstLineChars="0"/>
                    <w:jc w:val="center"/>
                    <w:rPr>
                      <w:rFonts w:hint="eastAsia"/>
                      <w:color w:val="auto"/>
                      <w:sz w:val="21"/>
                      <w:szCs w:val="21"/>
                      <w:u w:val="none"/>
                      <w:lang w:val="en-US" w:eastAsia="zh-CN"/>
                    </w:rPr>
                  </w:pPr>
                </w:p>
              </w:tc>
            </w:tr>
            <w:tr w14:paraId="6EF7473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53" w:hRule="atLeast"/>
                <w:jc w:val="center"/>
              </w:trPr>
              <w:tc>
                <w:tcPr>
                  <w:tcW w:w="268" w:type="pct"/>
                  <w:vMerge w:val="continue"/>
                  <w:tcMar>
                    <w:left w:w="28" w:type="dxa"/>
                    <w:right w:w="28" w:type="dxa"/>
                  </w:tcMar>
                  <w:vAlign w:val="center"/>
                </w:tcPr>
                <w:p w14:paraId="0716D2FD">
                  <w:pPr>
                    <w:spacing w:line="240" w:lineRule="auto"/>
                    <w:ind w:firstLine="0" w:firstLineChars="0"/>
                    <w:jc w:val="center"/>
                    <w:rPr>
                      <w:rFonts w:hint="eastAsia"/>
                      <w:color w:val="auto"/>
                      <w:sz w:val="21"/>
                      <w:szCs w:val="21"/>
                      <w:u w:val="none"/>
                      <w:lang w:val="en-US" w:eastAsia="zh-CN"/>
                    </w:rPr>
                  </w:pPr>
                </w:p>
              </w:tc>
              <w:tc>
                <w:tcPr>
                  <w:tcW w:w="211" w:type="pct"/>
                  <w:vMerge w:val="continue"/>
                  <w:vAlign w:val="center"/>
                </w:tcPr>
                <w:p w14:paraId="1F296A9A">
                  <w:pPr>
                    <w:spacing w:line="240" w:lineRule="auto"/>
                    <w:ind w:firstLine="0" w:firstLineChars="0"/>
                    <w:jc w:val="center"/>
                    <w:rPr>
                      <w:rFonts w:hint="eastAsia"/>
                      <w:color w:val="auto"/>
                      <w:sz w:val="21"/>
                      <w:szCs w:val="21"/>
                      <w:u w:val="none"/>
                      <w:lang w:val="en-US" w:eastAsia="zh-CN"/>
                    </w:rPr>
                  </w:pPr>
                </w:p>
              </w:tc>
              <w:tc>
                <w:tcPr>
                  <w:tcW w:w="619" w:type="pct"/>
                  <w:shd w:val="clear" w:color="auto" w:fill="auto"/>
                  <w:vAlign w:val="center"/>
                </w:tcPr>
                <w:p w14:paraId="1E316483">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不合格品</w:t>
                  </w:r>
                </w:p>
              </w:tc>
              <w:tc>
                <w:tcPr>
                  <w:tcW w:w="1440" w:type="pct"/>
                  <w:shd w:val="clear" w:color="auto" w:fill="auto"/>
                  <w:tcMar>
                    <w:left w:w="28" w:type="dxa"/>
                    <w:right w:w="28" w:type="dxa"/>
                  </w:tcMar>
                  <w:vAlign w:val="center"/>
                </w:tcPr>
                <w:p w14:paraId="246796CD">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暂存于一般固废暂存间，定期外售制作有机肥</w:t>
                  </w:r>
                </w:p>
              </w:tc>
              <w:tc>
                <w:tcPr>
                  <w:tcW w:w="859" w:type="pct"/>
                  <w:vMerge w:val="continue"/>
                  <w:vAlign w:val="center"/>
                </w:tcPr>
                <w:p w14:paraId="3F7905CE">
                  <w:pPr>
                    <w:spacing w:line="240" w:lineRule="auto"/>
                    <w:ind w:firstLine="0" w:firstLineChars="0"/>
                    <w:jc w:val="center"/>
                    <w:rPr>
                      <w:rFonts w:hint="eastAsia"/>
                      <w:color w:val="auto"/>
                      <w:sz w:val="21"/>
                      <w:szCs w:val="21"/>
                      <w:u w:val="none"/>
                      <w:lang w:val="en-US" w:eastAsia="zh-CN"/>
                    </w:rPr>
                  </w:pPr>
                </w:p>
              </w:tc>
              <w:tc>
                <w:tcPr>
                  <w:tcW w:w="1173" w:type="pct"/>
                  <w:vMerge w:val="continue"/>
                  <w:vAlign w:val="center"/>
                </w:tcPr>
                <w:p w14:paraId="23868A76">
                  <w:pPr>
                    <w:spacing w:line="240" w:lineRule="auto"/>
                    <w:ind w:firstLine="0" w:firstLineChars="0"/>
                    <w:jc w:val="center"/>
                    <w:rPr>
                      <w:rFonts w:hint="eastAsia"/>
                      <w:color w:val="auto"/>
                      <w:sz w:val="21"/>
                      <w:szCs w:val="21"/>
                      <w:u w:val="none"/>
                      <w:lang w:val="en-US" w:eastAsia="zh-CN"/>
                    </w:rPr>
                  </w:pPr>
                </w:p>
              </w:tc>
              <w:tc>
                <w:tcPr>
                  <w:tcW w:w="428" w:type="pct"/>
                  <w:vMerge w:val="continue"/>
                  <w:vAlign w:val="center"/>
                </w:tcPr>
                <w:p w14:paraId="5C240990">
                  <w:pPr>
                    <w:spacing w:line="240" w:lineRule="auto"/>
                    <w:ind w:firstLine="0" w:firstLineChars="0"/>
                    <w:jc w:val="center"/>
                    <w:rPr>
                      <w:rFonts w:hint="eastAsia"/>
                      <w:color w:val="auto"/>
                      <w:sz w:val="21"/>
                      <w:szCs w:val="21"/>
                      <w:u w:val="none"/>
                      <w:lang w:val="en-US" w:eastAsia="zh-CN"/>
                    </w:rPr>
                  </w:pPr>
                </w:p>
              </w:tc>
            </w:tr>
            <w:tr w14:paraId="359868E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75" w:hRule="atLeast"/>
                <w:jc w:val="center"/>
              </w:trPr>
              <w:tc>
                <w:tcPr>
                  <w:tcW w:w="268" w:type="pct"/>
                  <w:vMerge w:val="continue"/>
                  <w:tcMar>
                    <w:left w:w="28" w:type="dxa"/>
                    <w:right w:w="28" w:type="dxa"/>
                  </w:tcMar>
                  <w:vAlign w:val="center"/>
                </w:tcPr>
                <w:p w14:paraId="0F53A931">
                  <w:pPr>
                    <w:spacing w:line="240" w:lineRule="auto"/>
                    <w:ind w:firstLine="0" w:firstLineChars="0"/>
                    <w:jc w:val="center"/>
                    <w:rPr>
                      <w:color w:val="auto"/>
                      <w:sz w:val="21"/>
                      <w:szCs w:val="21"/>
                      <w:u w:val="none"/>
                    </w:rPr>
                  </w:pPr>
                </w:p>
              </w:tc>
              <w:tc>
                <w:tcPr>
                  <w:tcW w:w="211" w:type="pct"/>
                  <w:vMerge w:val="restart"/>
                  <w:vAlign w:val="center"/>
                </w:tcPr>
                <w:p w14:paraId="1A3598D2">
                  <w:pPr>
                    <w:spacing w:line="240" w:lineRule="auto"/>
                    <w:ind w:firstLine="0" w:firstLineChars="0"/>
                    <w:jc w:val="center"/>
                    <w:rPr>
                      <w:rFonts w:hint="eastAsia" w:eastAsia="宋体"/>
                      <w:color w:val="auto"/>
                      <w:sz w:val="21"/>
                      <w:szCs w:val="21"/>
                      <w:u w:val="none"/>
                      <w:lang w:eastAsia="zh-CN"/>
                    </w:rPr>
                  </w:pPr>
                  <w:r>
                    <w:rPr>
                      <w:rFonts w:hint="eastAsia"/>
                      <w:color w:val="auto"/>
                      <w:sz w:val="21"/>
                      <w:szCs w:val="21"/>
                      <w:u w:val="none"/>
                      <w:lang w:val="en-US" w:eastAsia="zh-CN"/>
                    </w:rPr>
                    <w:t>危险固废</w:t>
                  </w:r>
                </w:p>
              </w:tc>
              <w:tc>
                <w:tcPr>
                  <w:tcW w:w="619" w:type="pct"/>
                  <w:shd w:val="clear" w:color="auto" w:fill="auto"/>
                  <w:vAlign w:val="center"/>
                </w:tcPr>
                <w:p w14:paraId="1821A5CC">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sz w:val="21"/>
                      <w:szCs w:val="21"/>
                    </w:rPr>
                    <w:t>实验室废包装</w:t>
                  </w:r>
                </w:p>
              </w:tc>
              <w:tc>
                <w:tcPr>
                  <w:tcW w:w="1440" w:type="pct"/>
                  <w:shd w:val="clear" w:color="auto" w:fill="auto"/>
                  <w:tcMar>
                    <w:left w:w="28" w:type="dxa"/>
                    <w:right w:w="28" w:type="dxa"/>
                  </w:tcMar>
                  <w:vAlign w:val="center"/>
                </w:tcPr>
                <w:p w14:paraId="1FB29CF0">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rPr>
                    <w:t>专用桶收集后暂存于危废暂存间</w:t>
                  </w:r>
                </w:p>
              </w:tc>
              <w:tc>
                <w:tcPr>
                  <w:tcW w:w="859" w:type="pct"/>
                  <w:vMerge w:val="restart"/>
                  <w:vAlign w:val="center"/>
                </w:tcPr>
                <w:p w14:paraId="2CB7C950">
                  <w:pPr>
                    <w:spacing w:line="240" w:lineRule="auto"/>
                    <w:ind w:firstLine="0" w:firstLineChars="0"/>
                    <w:jc w:val="center"/>
                    <w:rPr>
                      <w:rFonts w:hint="default" w:eastAsia="宋体"/>
                      <w:color w:val="auto"/>
                      <w:sz w:val="21"/>
                      <w:szCs w:val="21"/>
                      <w:u w:val="none"/>
                      <w:lang w:val="en-US" w:eastAsia="zh-CN"/>
                    </w:rPr>
                  </w:pPr>
                  <w:r>
                    <w:rPr>
                      <w:rFonts w:hint="eastAsia"/>
                      <w:color w:val="auto"/>
                      <w:sz w:val="21"/>
                      <w:szCs w:val="21"/>
                      <w:u w:val="none"/>
                      <w:lang w:val="en-US" w:eastAsia="zh-CN"/>
                    </w:rPr>
                    <w:t>危废暂存间，</w:t>
                  </w:r>
                  <w:r>
                    <w:rPr>
                      <w:rFonts w:hint="eastAsia"/>
                      <w:bCs/>
                      <w:color w:val="000000"/>
                      <w:sz w:val="21"/>
                      <w:szCs w:val="21"/>
                      <w:lang w:val="en-US" w:eastAsia="zh-CN"/>
                    </w:rPr>
                    <w:t>面积50m</w:t>
                  </w:r>
                  <w:r>
                    <w:rPr>
                      <w:rFonts w:hint="eastAsia"/>
                      <w:bCs/>
                      <w:color w:val="000000"/>
                      <w:sz w:val="21"/>
                      <w:szCs w:val="21"/>
                      <w:vertAlign w:val="superscript"/>
                      <w:lang w:val="en-US" w:eastAsia="zh-CN"/>
                    </w:rPr>
                    <w:t>2</w:t>
                  </w:r>
                </w:p>
              </w:tc>
              <w:tc>
                <w:tcPr>
                  <w:tcW w:w="1173" w:type="pct"/>
                  <w:vMerge w:val="restart"/>
                  <w:vAlign w:val="center"/>
                </w:tcPr>
                <w:p w14:paraId="2082582A">
                  <w:pPr>
                    <w:spacing w:line="240" w:lineRule="auto"/>
                    <w:ind w:firstLine="0" w:firstLineChars="0"/>
                    <w:jc w:val="center"/>
                    <w:rPr>
                      <w:color w:val="auto"/>
                      <w:sz w:val="21"/>
                      <w:szCs w:val="21"/>
                    </w:rPr>
                  </w:pPr>
                  <w:r>
                    <w:rPr>
                      <w:color w:val="auto"/>
                      <w:sz w:val="21"/>
                      <w:szCs w:val="21"/>
                    </w:rPr>
                    <w:t>《危险废物贮存污染控制标准》（GB18597-20</w:t>
                  </w:r>
                  <w:r>
                    <w:rPr>
                      <w:rFonts w:hint="eastAsia"/>
                      <w:color w:val="auto"/>
                      <w:sz w:val="21"/>
                      <w:szCs w:val="21"/>
                      <w:lang w:val="en-US" w:eastAsia="zh-CN"/>
                    </w:rPr>
                    <w:t>23</w:t>
                  </w:r>
                  <w:r>
                    <w:rPr>
                      <w:color w:val="auto"/>
                      <w:sz w:val="21"/>
                      <w:szCs w:val="21"/>
                    </w:rPr>
                    <w:t>）</w:t>
                  </w:r>
                </w:p>
              </w:tc>
              <w:tc>
                <w:tcPr>
                  <w:tcW w:w="428" w:type="pct"/>
                  <w:vMerge w:val="restart"/>
                  <w:vAlign w:val="center"/>
                </w:tcPr>
                <w:p w14:paraId="1664E51B">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6</w:t>
                  </w:r>
                </w:p>
              </w:tc>
            </w:tr>
            <w:tr w14:paraId="2C8D518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75" w:hRule="atLeast"/>
                <w:jc w:val="center"/>
              </w:trPr>
              <w:tc>
                <w:tcPr>
                  <w:tcW w:w="268" w:type="pct"/>
                  <w:vMerge w:val="continue"/>
                  <w:tcMar>
                    <w:left w:w="28" w:type="dxa"/>
                    <w:right w:w="28" w:type="dxa"/>
                  </w:tcMar>
                  <w:vAlign w:val="center"/>
                </w:tcPr>
                <w:p w14:paraId="78164A0F">
                  <w:pPr>
                    <w:spacing w:line="240" w:lineRule="auto"/>
                    <w:ind w:firstLine="0" w:firstLineChars="0"/>
                    <w:jc w:val="center"/>
                  </w:pPr>
                </w:p>
              </w:tc>
              <w:tc>
                <w:tcPr>
                  <w:tcW w:w="211" w:type="pct"/>
                  <w:vMerge w:val="continue"/>
                  <w:vAlign w:val="center"/>
                </w:tcPr>
                <w:p w14:paraId="1232EB91">
                  <w:pPr>
                    <w:spacing w:line="240" w:lineRule="auto"/>
                    <w:ind w:firstLine="0" w:firstLineChars="0"/>
                    <w:jc w:val="center"/>
                  </w:pPr>
                </w:p>
              </w:tc>
              <w:tc>
                <w:tcPr>
                  <w:tcW w:w="619" w:type="pct"/>
                  <w:shd w:val="clear" w:color="auto" w:fill="auto"/>
                  <w:vAlign w:val="center"/>
                </w:tcPr>
                <w:p w14:paraId="38F1848F">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实验室废</w:t>
                  </w:r>
                  <w:r>
                    <w:rPr>
                      <w:rFonts w:hint="eastAsia"/>
                      <w:bCs/>
                      <w:color w:val="000000"/>
                      <w:sz w:val="21"/>
                      <w:szCs w:val="21"/>
                    </w:rPr>
                    <w:t>液</w:t>
                  </w:r>
                </w:p>
              </w:tc>
              <w:tc>
                <w:tcPr>
                  <w:tcW w:w="1440" w:type="pct"/>
                  <w:shd w:val="clear" w:color="auto" w:fill="auto"/>
                  <w:tcMar>
                    <w:left w:w="28" w:type="dxa"/>
                    <w:right w:w="28" w:type="dxa"/>
                  </w:tcMar>
                  <w:vAlign w:val="center"/>
                </w:tcPr>
                <w:p w14:paraId="146B234C">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rPr>
                    <w:t>专用桶收集后暂存于危废暂存间</w:t>
                  </w:r>
                </w:p>
              </w:tc>
              <w:tc>
                <w:tcPr>
                  <w:tcW w:w="859" w:type="pct"/>
                  <w:vMerge w:val="continue"/>
                  <w:vAlign w:val="center"/>
                </w:tcPr>
                <w:p w14:paraId="71E784E8">
                  <w:pPr>
                    <w:spacing w:line="240" w:lineRule="auto"/>
                    <w:ind w:firstLine="0" w:firstLineChars="0"/>
                    <w:jc w:val="center"/>
                    <w:rPr>
                      <w:rFonts w:hint="eastAsia"/>
                      <w:color w:val="auto"/>
                      <w:sz w:val="21"/>
                      <w:szCs w:val="21"/>
                      <w:u w:val="none"/>
                      <w:lang w:val="en-US" w:eastAsia="zh-CN"/>
                    </w:rPr>
                  </w:pPr>
                </w:p>
              </w:tc>
              <w:tc>
                <w:tcPr>
                  <w:tcW w:w="1173" w:type="pct"/>
                  <w:vMerge w:val="continue"/>
                  <w:vAlign w:val="center"/>
                </w:tcPr>
                <w:p w14:paraId="6EF5C109">
                  <w:pPr>
                    <w:spacing w:line="240" w:lineRule="auto"/>
                    <w:ind w:firstLine="0" w:firstLineChars="0"/>
                    <w:jc w:val="center"/>
                    <w:rPr>
                      <w:rFonts w:hint="eastAsia"/>
                      <w:color w:val="auto"/>
                      <w:sz w:val="21"/>
                      <w:szCs w:val="21"/>
                      <w:u w:val="none"/>
                      <w:lang w:val="en-US" w:eastAsia="zh-CN"/>
                    </w:rPr>
                  </w:pPr>
                </w:p>
              </w:tc>
              <w:tc>
                <w:tcPr>
                  <w:tcW w:w="428" w:type="pct"/>
                  <w:vMerge w:val="continue"/>
                  <w:vAlign w:val="center"/>
                </w:tcPr>
                <w:p w14:paraId="0440D376">
                  <w:pPr>
                    <w:spacing w:line="240" w:lineRule="auto"/>
                    <w:ind w:firstLine="0" w:firstLineChars="0"/>
                    <w:jc w:val="center"/>
                    <w:rPr>
                      <w:rFonts w:hint="eastAsia"/>
                      <w:color w:val="auto"/>
                      <w:sz w:val="21"/>
                      <w:szCs w:val="21"/>
                      <w:u w:val="none"/>
                      <w:lang w:val="en-US" w:eastAsia="zh-CN"/>
                    </w:rPr>
                  </w:pPr>
                </w:p>
              </w:tc>
            </w:tr>
            <w:tr w14:paraId="37DFA3B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75" w:hRule="atLeast"/>
                <w:jc w:val="center"/>
              </w:trPr>
              <w:tc>
                <w:tcPr>
                  <w:tcW w:w="268" w:type="pct"/>
                  <w:vMerge w:val="continue"/>
                  <w:tcMar>
                    <w:left w:w="28" w:type="dxa"/>
                    <w:right w:w="28" w:type="dxa"/>
                  </w:tcMar>
                  <w:vAlign w:val="center"/>
                </w:tcPr>
                <w:p w14:paraId="2D1FCCF3">
                  <w:pPr>
                    <w:spacing w:line="240" w:lineRule="auto"/>
                    <w:ind w:firstLine="0" w:firstLineChars="0"/>
                    <w:jc w:val="center"/>
                    <w:rPr>
                      <w:rFonts w:hint="eastAsia"/>
                      <w:color w:val="auto"/>
                      <w:sz w:val="21"/>
                      <w:szCs w:val="21"/>
                      <w:u w:val="none"/>
                      <w:lang w:val="en-US" w:eastAsia="zh-CN"/>
                    </w:rPr>
                  </w:pPr>
                </w:p>
              </w:tc>
              <w:tc>
                <w:tcPr>
                  <w:tcW w:w="211" w:type="pct"/>
                  <w:vMerge w:val="continue"/>
                  <w:vAlign w:val="center"/>
                </w:tcPr>
                <w:p w14:paraId="0B87FA5C">
                  <w:pPr>
                    <w:spacing w:line="240" w:lineRule="auto"/>
                    <w:ind w:firstLine="0" w:firstLineChars="0"/>
                    <w:jc w:val="center"/>
                    <w:rPr>
                      <w:rFonts w:hint="eastAsia"/>
                      <w:color w:val="auto"/>
                      <w:sz w:val="21"/>
                      <w:szCs w:val="21"/>
                      <w:u w:val="none"/>
                      <w:lang w:val="en-US" w:eastAsia="zh-CN"/>
                    </w:rPr>
                  </w:pPr>
                </w:p>
              </w:tc>
              <w:tc>
                <w:tcPr>
                  <w:tcW w:w="619" w:type="pct"/>
                  <w:shd w:val="clear" w:color="auto" w:fill="auto"/>
                  <w:vAlign w:val="center"/>
                </w:tcPr>
                <w:p w14:paraId="2A2F3374">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rPr>
                    <w:t>废</w:t>
                  </w:r>
                  <w:r>
                    <w:rPr>
                      <w:rFonts w:hint="eastAsia"/>
                      <w:bCs/>
                      <w:color w:val="000000"/>
                      <w:sz w:val="21"/>
                      <w:szCs w:val="21"/>
                      <w:lang w:val="en-US" w:eastAsia="zh-CN"/>
                    </w:rPr>
                    <w:t>活性炭</w:t>
                  </w:r>
                </w:p>
              </w:tc>
              <w:tc>
                <w:tcPr>
                  <w:tcW w:w="1440" w:type="pct"/>
                  <w:shd w:val="clear" w:color="auto" w:fill="auto"/>
                  <w:tcMar>
                    <w:left w:w="28" w:type="dxa"/>
                    <w:right w:w="28" w:type="dxa"/>
                  </w:tcMar>
                  <w:vAlign w:val="center"/>
                </w:tcPr>
                <w:p w14:paraId="53A3CF82">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rPr>
                    <w:t>专用桶收集后暂存于危废暂存间</w:t>
                  </w:r>
                </w:p>
              </w:tc>
              <w:tc>
                <w:tcPr>
                  <w:tcW w:w="859" w:type="pct"/>
                  <w:vMerge w:val="continue"/>
                  <w:vAlign w:val="center"/>
                </w:tcPr>
                <w:p w14:paraId="39A002DF">
                  <w:pPr>
                    <w:spacing w:line="240" w:lineRule="auto"/>
                    <w:ind w:firstLine="0" w:firstLineChars="0"/>
                    <w:jc w:val="center"/>
                    <w:rPr>
                      <w:rFonts w:hint="eastAsia"/>
                      <w:color w:val="auto"/>
                      <w:sz w:val="21"/>
                      <w:szCs w:val="21"/>
                      <w:u w:val="none"/>
                      <w:lang w:val="en-US" w:eastAsia="zh-CN"/>
                    </w:rPr>
                  </w:pPr>
                </w:p>
              </w:tc>
              <w:tc>
                <w:tcPr>
                  <w:tcW w:w="1173" w:type="pct"/>
                  <w:vMerge w:val="continue"/>
                  <w:vAlign w:val="center"/>
                </w:tcPr>
                <w:p w14:paraId="70AD0709">
                  <w:pPr>
                    <w:spacing w:line="240" w:lineRule="auto"/>
                    <w:ind w:firstLine="0" w:firstLineChars="0"/>
                    <w:jc w:val="center"/>
                    <w:rPr>
                      <w:rFonts w:hint="eastAsia"/>
                      <w:color w:val="auto"/>
                      <w:sz w:val="21"/>
                      <w:szCs w:val="21"/>
                      <w:u w:val="none"/>
                      <w:lang w:val="en-US" w:eastAsia="zh-CN"/>
                    </w:rPr>
                  </w:pPr>
                </w:p>
              </w:tc>
              <w:tc>
                <w:tcPr>
                  <w:tcW w:w="428" w:type="pct"/>
                  <w:vMerge w:val="continue"/>
                  <w:vAlign w:val="center"/>
                </w:tcPr>
                <w:p w14:paraId="67CE9894">
                  <w:pPr>
                    <w:spacing w:line="240" w:lineRule="auto"/>
                    <w:ind w:firstLine="0" w:firstLineChars="0"/>
                    <w:jc w:val="center"/>
                    <w:rPr>
                      <w:rFonts w:hint="eastAsia"/>
                      <w:color w:val="auto"/>
                      <w:sz w:val="21"/>
                      <w:szCs w:val="21"/>
                      <w:u w:val="none"/>
                      <w:lang w:val="en-US" w:eastAsia="zh-CN"/>
                    </w:rPr>
                  </w:pPr>
                </w:p>
              </w:tc>
            </w:tr>
            <w:tr w14:paraId="29764AE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75" w:hRule="atLeast"/>
                <w:jc w:val="center"/>
              </w:trPr>
              <w:tc>
                <w:tcPr>
                  <w:tcW w:w="268" w:type="pct"/>
                  <w:vMerge w:val="continue"/>
                  <w:tcMar>
                    <w:left w:w="28" w:type="dxa"/>
                    <w:right w:w="28" w:type="dxa"/>
                  </w:tcMar>
                  <w:vAlign w:val="center"/>
                </w:tcPr>
                <w:p w14:paraId="3CB162E9">
                  <w:pPr>
                    <w:spacing w:line="240" w:lineRule="auto"/>
                    <w:ind w:firstLine="0" w:firstLineChars="0"/>
                    <w:jc w:val="center"/>
                    <w:rPr>
                      <w:rFonts w:hint="eastAsia"/>
                      <w:color w:val="auto"/>
                      <w:sz w:val="21"/>
                      <w:szCs w:val="21"/>
                      <w:u w:val="none"/>
                      <w:lang w:val="en-US" w:eastAsia="zh-CN"/>
                    </w:rPr>
                  </w:pPr>
                </w:p>
              </w:tc>
              <w:tc>
                <w:tcPr>
                  <w:tcW w:w="211" w:type="pct"/>
                  <w:vMerge w:val="continue"/>
                  <w:vAlign w:val="center"/>
                </w:tcPr>
                <w:p w14:paraId="454E3C44">
                  <w:pPr>
                    <w:spacing w:line="240" w:lineRule="auto"/>
                    <w:ind w:firstLine="0" w:firstLineChars="0"/>
                    <w:jc w:val="center"/>
                    <w:rPr>
                      <w:rFonts w:hint="eastAsia"/>
                      <w:color w:val="auto"/>
                      <w:sz w:val="21"/>
                      <w:szCs w:val="21"/>
                      <w:u w:val="none"/>
                      <w:lang w:val="en-US" w:eastAsia="zh-CN"/>
                    </w:rPr>
                  </w:pPr>
                </w:p>
              </w:tc>
              <w:tc>
                <w:tcPr>
                  <w:tcW w:w="619" w:type="pct"/>
                  <w:shd w:val="clear" w:color="auto" w:fill="auto"/>
                  <w:vAlign w:val="center"/>
                </w:tcPr>
                <w:p w14:paraId="6083348D">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毒性</w:t>
                  </w:r>
                  <w:r>
                    <w:rPr>
                      <w:rFonts w:hint="eastAsia"/>
                      <w:bCs/>
                      <w:color w:val="000000"/>
                      <w:sz w:val="21"/>
                      <w:szCs w:val="21"/>
                    </w:rPr>
                    <w:t>药材废弃物</w:t>
                  </w:r>
                </w:p>
              </w:tc>
              <w:tc>
                <w:tcPr>
                  <w:tcW w:w="1440" w:type="pct"/>
                  <w:shd w:val="clear" w:color="auto" w:fill="auto"/>
                  <w:tcMar>
                    <w:left w:w="28" w:type="dxa"/>
                    <w:right w:w="28" w:type="dxa"/>
                  </w:tcMar>
                  <w:vAlign w:val="center"/>
                </w:tcPr>
                <w:p w14:paraId="1B209642">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rPr>
                    <w:t>专用桶收集后暂存于危废暂存间</w:t>
                  </w:r>
                </w:p>
              </w:tc>
              <w:tc>
                <w:tcPr>
                  <w:tcW w:w="859" w:type="pct"/>
                  <w:vMerge w:val="continue"/>
                  <w:vAlign w:val="center"/>
                </w:tcPr>
                <w:p w14:paraId="69EC0A9B">
                  <w:pPr>
                    <w:spacing w:line="240" w:lineRule="auto"/>
                    <w:ind w:firstLine="0" w:firstLineChars="0"/>
                    <w:jc w:val="center"/>
                    <w:rPr>
                      <w:rFonts w:hint="eastAsia"/>
                      <w:color w:val="auto"/>
                      <w:sz w:val="21"/>
                      <w:szCs w:val="21"/>
                      <w:u w:val="none"/>
                      <w:lang w:val="en-US" w:eastAsia="zh-CN"/>
                    </w:rPr>
                  </w:pPr>
                </w:p>
              </w:tc>
              <w:tc>
                <w:tcPr>
                  <w:tcW w:w="1173" w:type="pct"/>
                  <w:vMerge w:val="continue"/>
                  <w:vAlign w:val="center"/>
                </w:tcPr>
                <w:p w14:paraId="57ED4F3A">
                  <w:pPr>
                    <w:spacing w:line="240" w:lineRule="auto"/>
                    <w:ind w:firstLine="0" w:firstLineChars="0"/>
                    <w:jc w:val="center"/>
                    <w:rPr>
                      <w:rFonts w:hint="eastAsia"/>
                      <w:color w:val="auto"/>
                      <w:sz w:val="21"/>
                      <w:szCs w:val="21"/>
                      <w:u w:val="none"/>
                      <w:lang w:val="en-US" w:eastAsia="zh-CN"/>
                    </w:rPr>
                  </w:pPr>
                </w:p>
              </w:tc>
              <w:tc>
                <w:tcPr>
                  <w:tcW w:w="428" w:type="pct"/>
                  <w:vMerge w:val="continue"/>
                  <w:vAlign w:val="center"/>
                </w:tcPr>
                <w:p w14:paraId="3F32CCD4">
                  <w:pPr>
                    <w:spacing w:line="240" w:lineRule="auto"/>
                    <w:ind w:firstLine="0" w:firstLineChars="0"/>
                    <w:jc w:val="center"/>
                    <w:rPr>
                      <w:rFonts w:hint="eastAsia"/>
                      <w:color w:val="auto"/>
                      <w:sz w:val="21"/>
                      <w:szCs w:val="21"/>
                      <w:u w:val="none"/>
                      <w:lang w:val="en-US" w:eastAsia="zh-CN"/>
                    </w:rPr>
                  </w:pPr>
                </w:p>
              </w:tc>
            </w:tr>
            <w:tr w14:paraId="772B614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75" w:hRule="atLeast"/>
                <w:jc w:val="center"/>
              </w:trPr>
              <w:tc>
                <w:tcPr>
                  <w:tcW w:w="268" w:type="pct"/>
                  <w:vMerge w:val="continue"/>
                  <w:tcMar>
                    <w:left w:w="28" w:type="dxa"/>
                    <w:right w:w="28" w:type="dxa"/>
                  </w:tcMar>
                  <w:vAlign w:val="center"/>
                </w:tcPr>
                <w:p w14:paraId="1E8D4B50">
                  <w:pPr>
                    <w:spacing w:line="240" w:lineRule="auto"/>
                    <w:ind w:firstLine="0" w:firstLineChars="0"/>
                    <w:jc w:val="center"/>
                    <w:rPr>
                      <w:rFonts w:hint="eastAsia"/>
                      <w:color w:val="auto"/>
                      <w:sz w:val="21"/>
                      <w:szCs w:val="21"/>
                      <w:u w:val="none"/>
                      <w:lang w:val="en-US" w:eastAsia="zh-CN"/>
                    </w:rPr>
                  </w:pPr>
                </w:p>
              </w:tc>
              <w:tc>
                <w:tcPr>
                  <w:tcW w:w="211" w:type="pct"/>
                  <w:vMerge w:val="continue"/>
                  <w:vAlign w:val="center"/>
                </w:tcPr>
                <w:p w14:paraId="1C143A89">
                  <w:pPr>
                    <w:spacing w:line="240" w:lineRule="auto"/>
                    <w:ind w:firstLine="0" w:firstLineChars="0"/>
                    <w:jc w:val="center"/>
                    <w:rPr>
                      <w:rFonts w:hint="eastAsia"/>
                      <w:color w:val="auto"/>
                      <w:sz w:val="21"/>
                      <w:szCs w:val="21"/>
                      <w:u w:val="none"/>
                      <w:lang w:val="en-US" w:eastAsia="zh-CN"/>
                    </w:rPr>
                  </w:pPr>
                </w:p>
              </w:tc>
              <w:tc>
                <w:tcPr>
                  <w:tcW w:w="619" w:type="pct"/>
                  <w:shd w:val="clear" w:color="auto" w:fill="auto"/>
                  <w:vAlign w:val="center"/>
                </w:tcPr>
                <w:p w14:paraId="57F01129">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b/>
                      <w:bCs w:val="0"/>
                      <w:color w:val="000000"/>
                      <w:sz w:val="21"/>
                      <w:szCs w:val="21"/>
                      <w:u w:val="single"/>
                      <w:lang w:val="en-US" w:eastAsia="zh-CN"/>
                    </w:rPr>
                  </w:pPr>
                  <w:r>
                    <w:rPr>
                      <w:rFonts w:hint="eastAsia"/>
                      <w:b/>
                      <w:bCs w:val="0"/>
                      <w:color w:val="000000"/>
                      <w:sz w:val="21"/>
                      <w:szCs w:val="21"/>
                      <w:u w:val="single"/>
                      <w:lang w:val="en-US" w:eastAsia="zh-CN"/>
                    </w:rPr>
                    <w:t>毒性药材药渣</w:t>
                  </w:r>
                </w:p>
              </w:tc>
              <w:tc>
                <w:tcPr>
                  <w:tcW w:w="1440" w:type="pct"/>
                  <w:shd w:val="clear" w:color="auto" w:fill="auto"/>
                  <w:tcMar>
                    <w:left w:w="28" w:type="dxa"/>
                    <w:right w:w="28" w:type="dxa"/>
                  </w:tcMar>
                  <w:vAlign w:val="center"/>
                </w:tcPr>
                <w:p w14:paraId="19A46CC2">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
                      <w:bCs w:val="0"/>
                      <w:color w:val="000000"/>
                      <w:sz w:val="21"/>
                      <w:szCs w:val="21"/>
                      <w:u w:val="single"/>
                    </w:rPr>
                  </w:pPr>
                  <w:r>
                    <w:rPr>
                      <w:rFonts w:hint="eastAsia"/>
                      <w:b/>
                      <w:bCs w:val="0"/>
                      <w:color w:val="000000"/>
                      <w:sz w:val="21"/>
                      <w:szCs w:val="21"/>
                      <w:u w:val="single"/>
                    </w:rPr>
                    <w:t>专用桶收集后暂存于危废暂存间</w:t>
                  </w:r>
                </w:p>
              </w:tc>
              <w:tc>
                <w:tcPr>
                  <w:tcW w:w="859" w:type="pct"/>
                  <w:vMerge w:val="continue"/>
                  <w:vAlign w:val="center"/>
                </w:tcPr>
                <w:p w14:paraId="0582652E">
                  <w:pPr>
                    <w:spacing w:line="240" w:lineRule="auto"/>
                    <w:ind w:firstLine="0" w:firstLineChars="0"/>
                    <w:jc w:val="center"/>
                    <w:rPr>
                      <w:rFonts w:hint="eastAsia"/>
                      <w:color w:val="auto"/>
                      <w:sz w:val="21"/>
                      <w:szCs w:val="21"/>
                      <w:u w:val="none"/>
                      <w:lang w:val="en-US" w:eastAsia="zh-CN"/>
                    </w:rPr>
                  </w:pPr>
                </w:p>
              </w:tc>
              <w:tc>
                <w:tcPr>
                  <w:tcW w:w="1173" w:type="pct"/>
                  <w:vMerge w:val="continue"/>
                  <w:vAlign w:val="center"/>
                </w:tcPr>
                <w:p w14:paraId="16F4F783">
                  <w:pPr>
                    <w:spacing w:line="240" w:lineRule="auto"/>
                    <w:ind w:firstLine="0" w:firstLineChars="0"/>
                    <w:jc w:val="center"/>
                    <w:rPr>
                      <w:rFonts w:hint="eastAsia"/>
                      <w:color w:val="auto"/>
                      <w:sz w:val="21"/>
                      <w:szCs w:val="21"/>
                      <w:u w:val="none"/>
                      <w:lang w:val="en-US" w:eastAsia="zh-CN"/>
                    </w:rPr>
                  </w:pPr>
                </w:p>
              </w:tc>
              <w:tc>
                <w:tcPr>
                  <w:tcW w:w="428" w:type="pct"/>
                  <w:vMerge w:val="continue"/>
                  <w:vAlign w:val="center"/>
                </w:tcPr>
                <w:p w14:paraId="12C54643">
                  <w:pPr>
                    <w:spacing w:line="240" w:lineRule="auto"/>
                    <w:ind w:firstLine="0" w:firstLineChars="0"/>
                    <w:jc w:val="center"/>
                    <w:rPr>
                      <w:rFonts w:hint="eastAsia"/>
                      <w:color w:val="auto"/>
                      <w:sz w:val="21"/>
                      <w:szCs w:val="21"/>
                      <w:u w:val="none"/>
                      <w:lang w:val="en-US" w:eastAsia="zh-CN"/>
                    </w:rPr>
                  </w:pPr>
                </w:p>
              </w:tc>
            </w:tr>
            <w:tr w14:paraId="4107FFC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75" w:hRule="atLeast"/>
                <w:jc w:val="center"/>
              </w:trPr>
              <w:tc>
                <w:tcPr>
                  <w:tcW w:w="268" w:type="pct"/>
                  <w:vMerge w:val="continue"/>
                  <w:tcMar>
                    <w:left w:w="28" w:type="dxa"/>
                    <w:right w:w="28" w:type="dxa"/>
                  </w:tcMar>
                  <w:vAlign w:val="center"/>
                </w:tcPr>
                <w:p w14:paraId="0B6082D8">
                  <w:pPr>
                    <w:spacing w:line="240" w:lineRule="auto"/>
                    <w:ind w:firstLine="0" w:firstLineChars="0"/>
                    <w:jc w:val="center"/>
                    <w:rPr>
                      <w:rFonts w:hint="eastAsia"/>
                      <w:color w:val="auto"/>
                      <w:sz w:val="21"/>
                      <w:szCs w:val="21"/>
                      <w:u w:val="none"/>
                      <w:lang w:val="en-US" w:eastAsia="zh-CN"/>
                    </w:rPr>
                  </w:pPr>
                </w:p>
              </w:tc>
              <w:tc>
                <w:tcPr>
                  <w:tcW w:w="211" w:type="pct"/>
                  <w:vMerge w:val="continue"/>
                  <w:vAlign w:val="center"/>
                </w:tcPr>
                <w:p w14:paraId="4156106F">
                  <w:pPr>
                    <w:spacing w:line="240" w:lineRule="auto"/>
                    <w:ind w:firstLine="0" w:firstLineChars="0"/>
                    <w:jc w:val="center"/>
                    <w:rPr>
                      <w:rFonts w:hint="eastAsia"/>
                      <w:color w:val="auto"/>
                      <w:sz w:val="21"/>
                      <w:szCs w:val="21"/>
                      <w:u w:val="none"/>
                      <w:lang w:val="en-US" w:eastAsia="zh-CN"/>
                    </w:rPr>
                  </w:pPr>
                </w:p>
              </w:tc>
              <w:tc>
                <w:tcPr>
                  <w:tcW w:w="619" w:type="pct"/>
                  <w:shd w:val="clear" w:color="auto" w:fill="auto"/>
                  <w:vAlign w:val="center"/>
                </w:tcPr>
                <w:p w14:paraId="670AEA29">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毒性饮片除尘器截留药尘</w:t>
                  </w:r>
                </w:p>
              </w:tc>
              <w:tc>
                <w:tcPr>
                  <w:tcW w:w="1440" w:type="pct"/>
                  <w:shd w:val="clear" w:color="auto" w:fill="auto"/>
                  <w:tcMar>
                    <w:left w:w="28" w:type="dxa"/>
                    <w:right w:w="28" w:type="dxa"/>
                  </w:tcMar>
                  <w:vAlign w:val="center"/>
                </w:tcPr>
                <w:p w14:paraId="2395CB13">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rPr>
                    <w:t>专用桶收集后暂存于危废暂存间</w:t>
                  </w:r>
                </w:p>
              </w:tc>
              <w:tc>
                <w:tcPr>
                  <w:tcW w:w="859" w:type="pct"/>
                  <w:vMerge w:val="continue"/>
                  <w:vAlign w:val="center"/>
                </w:tcPr>
                <w:p w14:paraId="2FB07C1F">
                  <w:pPr>
                    <w:spacing w:line="240" w:lineRule="auto"/>
                    <w:ind w:firstLine="0" w:firstLineChars="0"/>
                    <w:jc w:val="center"/>
                    <w:rPr>
                      <w:rFonts w:hint="eastAsia"/>
                      <w:color w:val="auto"/>
                      <w:sz w:val="21"/>
                      <w:szCs w:val="21"/>
                      <w:u w:val="none"/>
                      <w:lang w:val="en-US" w:eastAsia="zh-CN"/>
                    </w:rPr>
                  </w:pPr>
                </w:p>
              </w:tc>
              <w:tc>
                <w:tcPr>
                  <w:tcW w:w="1173" w:type="pct"/>
                  <w:vMerge w:val="continue"/>
                  <w:vAlign w:val="center"/>
                </w:tcPr>
                <w:p w14:paraId="69E76A74">
                  <w:pPr>
                    <w:spacing w:line="240" w:lineRule="auto"/>
                    <w:ind w:firstLine="0" w:firstLineChars="0"/>
                    <w:jc w:val="center"/>
                    <w:rPr>
                      <w:rFonts w:hint="eastAsia"/>
                      <w:color w:val="auto"/>
                      <w:sz w:val="21"/>
                      <w:szCs w:val="21"/>
                      <w:u w:val="none"/>
                      <w:lang w:val="en-US" w:eastAsia="zh-CN"/>
                    </w:rPr>
                  </w:pPr>
                </w:p>
              </w:tc>
              <w:tc>
                <w:tcPr>
                  <w:tcW w:w="428" w:type="pct"/>
                  <w:vMerge w:val="continue"/>
                  <w:vAlign w:val="center"/>
                </w:tcPr>
                <w:p w14:paraId="4383A679">
                  <w:pPr>
                    <w:spacing w:line="240" w:lineRule="auto"/>
                    <w:ind w:firstLine="0" w:firstLineChars="0"/>
                    <w:jc w:val="center"/>
                    <w:rPr>
                      <w:rFonts w:hint="eastAsia"/>
                      <w:color w:val="auto"/>
                      <w:sz w:val="21"/>
                      <w:szCs w:val="21"/>
                      <w:u w:val="none"/>
                      <w:lang w:val="en-US" w:eastAsia="zh-CN"/>
                    </w:rPr>
                  </w:pPr>
                </w:p>
              </w:tc>
            </w:tr>
            <w:tr w14:paraId="7976947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75" w:hRule="atLeast"/>
                <w:jc w:val="center"/>
              </w:trPr>
              <w:tc>
                <w:tcPr>
                  <w:tcW w:w="268" w:type="pct"/>
                  <w:vMerge w:val="continue"/>
                  <w:tcMar>
                    <w:left w:w="28" w:type="dxa"/>
                    <w:right w:w="28" w:type="dxa"/>
                  </w:tcMar>
                  <w:vAlign w:val="center"/>
                </w:tcPr>
                <w:p w14:paraId="69615FBF">
                  <w:pPr>
                    <w:spacing w:line="240" w:lineRule="auto"/>
                    <w:ind w:firstLine="0" w:firstLineChars="0"/>
                    <w:jc w:val="center"/>
                    <w:rPr>
                      <w:rFonts w:hint="eastAsia"/>
                      <w:color w:val="auto"/>
                      <w:sz w:val="21"/>
                      <w:szCs w:val="21"/>
                      <w:u w:val="none"/>
                      <w:lang w:val="en-US" w:eastAsia="zh-CN"/>
                    </w:rPr>
                  </w:pPr>
                </w:p>
              </w:tc>
              <w:tc>
                <w:tcPr>
                  <w:tcW w:w="211" w:type="pct"/>
                  <w:vMerge w:val="continue"/>
                  <w:vAlign w:val="center"/>
                </w:tcPr>
                <w:p w14:paraId="6E9C5B3A">
                  <w:pPr>
                    <w:spacing w:line="240" w:lineRule="auto"/>
                    <w:ind w:firstLine="0" w:firstLineChars="0"/>
                    <w:jc w:val="center"/>
                    <w:rPr>
                      <w:rFonts w:hint="eastAsia"/>
                      <w:color w:val="auto"/>
                      <w:sz w:val="21"/>
                      <w:szCs w:val="21"/>
                      <w:u w:val="none"/>
                      <w:lang w:val="en-US" w:eastAsia="zh-CN"/>
                    </w:rPr>
                  </w:pPr>
                </w:p>
              </w:tc>
              <w:tc>
                <w:tcPr>
                  <w:tcW w:w="619" w:type="pct"/>
                  <w:shd w:val="clear" w:color="auto" w:fill="auto"/>
                  <w:vAlign w:val="center"/>
                </w:tcPr>
                <w:p w14:paraId="7FFC3B79">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毒性饮片检验过程中不合格品</w:t>
                  </w:r>
                </w:p>
              </w:tc>
              <w:tc>
                <w:tcPr>
                  <w:tcW w:w="1440" w:type="pct"/>
                  <w:shd w:val="clear" w:color="auto" w:fill="auto"/>
                  <w:tcMar>
                    <w:left w:w="28" w:type="dxa"/>
                    <w:right w:w="28" w:type="dxa"/>
                  </w:tcMar>
                  <w:vAlign w:val="center"/>
                </w:tcPr>
                <w:p w14:paraId="32BCC303">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rPr>
                    <w:t>专用桶收集后暂存于危废暂存间</w:t>
                  </w:r>
                </w:p>
              </w:tc>
              <w:tc>
                <w:tcPr>
                  <w:tcW w:w="859" w:type="pct"/>
                  <w:vMerge w:val="continue"/>
                  <w:vAlign w:val="center"/>
                </w:tcPr>
                <w:p w14:paraId="5ACC16A1">
                  <w:pPr>
                    <w:spacing w:line="240" w:lineRule="auto"/>
                    <w:ind w:firstLine="0" w:firstLineChars="0"/>
                    <w:jc w:val="center"/>
                    <w:rPr>
                      <w:rFonts w:hint="eastAsia"/>
                      <w:color w:val="auto"/>
                      <w:sz w:val="21"/>
                      <w:szCs w:val="21"/>
                      <w:u w:val="none"/>
                      <w:lang w:val="en-US" w:eastAsia="zh-CN"/>
                    </w:rPr>
                  </w:pPr>
                </w:p>
              </w:tc>
              <w:tc>
                <w:tcPr>
                  <w:tcW w:w="1173" w:type="pct"/>
                  <w:vMerge w:val="continue"/>
                  <w:vAlign w:val="center"/>
                </w:tcPr>
                <w:p w14:paraId="5F103039">
                  <w:pPr>
                    <w:spacing w:line="240" w:lineRule="auto"/>
                    <w:ind w:firstLine="0" w:firstLineChars="0"/>
                    <w:jc w:val="center"/>
                    <w:rPr>
                      <w:rFonts w:hint="eastAsia"/>
                      <w:color w:val="auto"/>
                      <w:sz w:val="21"/>
                      <w:szCs w:val="21"/>
                      <w:u w:val="none"/>
                      <w:lang w:val="en-US" w:eastAsia="zh-CN"/>
                    </w:rPr>
                  </w:pPr>
                </w:p>
              </w:tc>
              <w:tc>
                <w:tcPr>
                  <w:tcW w:w="428" w:type="pct"/>
                  <w:vMerge w:val="continue"/>
                  <w:vAlign w:val="center"/>
                </w:tcPr>
                <w:p w14:paraId="551D026E">
                  <w:pPr>
                    <w:spacing w:line="240" w:lineRule="auto"/>
                    <w:ind w:firstLine="0" w:firstLineChars="0"/>
                    <w:jc w:val="center"/>
                    <w:rPr>
                      <w:rFonts w:hint="eastAsia"/>
                      <w:color w:val="auto"/>
                      <w:sz w:val="21"/>
                      <w:szCs w:val="21"/>
                      <w:u w:val="none"/>
                      <w:lang w:val="en-US" w:eastAsia="zh-CN"/>
                    </w:rPr>
                  </w:pPr>
                </w:p>
              </w:tc>
            </w:tr>
            <w:tr w14:paraId="7A608C5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75" w:hRule="atLeast"/>
                <w:jc w:val="center"/>
              </w:trPr>
              <w:tc>
                <w:tcPr>
                  <w:tcW w:w="268" w:type="pct"/>
                  <w:vMerge w:val="continue"/>
                  <w:tcMar>
                    <w:left w:w="28" w:type="dxa"/>
                    <w:right w:w="28" w:type="dxa"/>
                  </w:tcMar>
                  <w:vAlign w:val="center"/>
                </w:tcPr>
                <w:p w14:paraId="23532E7E">
                  <w:pPr>
                    <w:spacing w:line="240" w:lineRule="auto"/>
                    <w:ind w:firstLine="0" w:firstLineChars="0"/>
                    <w:jc w:val="center"/>
                    <w:rPr>
                      <w:rFonts w:hint="eastAsia"/>
                      <w:color w:val="auto"/>
                      <w:sz w:val="21"/>
                      <w:szCs w:val="21"/>
                      <w:u w:val="none"/>
                      <w:lang w:val="en-US" w:eastAsia="zh-CN"/>
                    </w:rPr>
                  </w:pPr>
                </w:p>
              </w:tc>
              <w:tc>
                <w:tcPr>
                  <w:tcW w:w="211" w:type="pct"/>
                  <w:vMerge w:val="continue"/>
                  <w:vAlign w:val="center"/>
                </w:tcPr>
                <w:p w14:paraId="6DC9FE3F">
                  <w:pPr>
                    <w:spacing w:line="240" w:lineRule="auto"/>
                    <w:ind w:firstLine="0" w:firstLineChars="0"/>
                    <w:jc w:val="center"/>
                    <w:rPr>
                      <w:rFonts w:hint="eastAsia"/>
                      <w:color w:val="auto"/>
                      <w:sz w:val="21"/>
                      <w:szCs w:val="21"/>
                      <w:u w:val="none"/>
                      <w:lang w:val="en-US" w:eastAsia="zh-CN"/>
                    </w:rPr>
                  </w:pPr>
                </w:p>
              </w:tc>
              <w:tc>
                <w:tcPr>
                  <w:tcW w:w="619" w:type="pct"/>
                  <w:shd w:val="clear" w:color="auto" w:fill="auto"/>
                  <w:vAlign w:val="center"/>
                </w:tcPr>
                <w:p w14:paraId="431CE783">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rPr>
                    <w:t>解毒池沉渣</w:t>
                  </w:r>
                </w:p>
              </w:tc>
              <w:tc>
                <w:tcPr>
                  <w:tcW w:w="1440" w:type="pct"/>
                  <w:shd w:val="clear" w:color="auto" w:fill="auto"/>
                  <w:tcMar>
                    <w:left w:w="28" w:type="dxa"/>
                    <w:right w:w="28" w:type="dxa"/>
                  </w:tcMar>
                  <w:vAlign w:val="center"/>
                </w:tcPr>
                <w:p w14:paraId="5396939E">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rPr>
                    <w:t>专用桶收集后暂存于危废暂存间</w:t>
                  </w:r>
                </w:p>
              </w:tc>
              <w:tc>
                <w:tcPr>
                  <w:tcW w:w="859" w:type="pct"/>
                  <w:vMerge w:val="continue"/>
                  <w:vAlign w:val="center"/>
                </w:tcPr>
                <w:p w14:paraId="7067E3BE">
                  <w:pPr>
                    <w:spacing w:line="240" w:lineRule="auto"/>
                    <w:ind w:firstLine="0" w:firstLineChars="0"/>
                    <w:jc w:val="center"/>
                    <w:rPr>
                      <w:rFonts w:hint="eastAsia"/>
                      <w:color w:val="auto"/>
                      <w:sz w:val="21"/>
                      <w:szCs w:val="21"/>
                      <w:u w:val="none"/>
                      <w:lang w:val="en-US" w:eastAsia="zh-CN"/>
                    </w:rPr>
                  </w:pPr>
                </w:p>
              </w:tc>
              <w:tc>
                <w:tcPr>
                  <w:tcW w:w="1173" w:type="pct"/>
                  <w:vMerge w:val="continue"/>
                  <w:vAlign w:val="center"/>
                </w:tcPr>
                <w:p w14:paraId="5BCDA86F">
                  <w:pPr>
                    <w:spacing w:line="240" w:lineRule="auto"/>
                    <w:ind w:firstLine="0" w:firstLineChars="0"/>
                    <w:jc w:val="center"/>
                    <w:rPr>
                      <w:rFonts w:hint="eastAsia"/>
                      <w:color w:val="auto"/>
                      <w:sz w:val="21"/>
                      <w:szCs w:val="21"/>
                      <w:u w:val="none"/>
                      <w:lang w:val="en-US" w:eastAsia="zh-CN"/>
                    </w:rPr>
                  </w:pPr>
                </w:p>
              </w:tc>
              <w:tc>
                <w:tcPr>
                  <w:tcW w:w="428" w:type="pct"/>
                  <w:vMerge w:val="continue"/>
                  <w:vAlign w:val="center"/>
                </w:tcPr>
                <w:p w14:paraId="5C952B40">
                  <w:pPr>
                    <w:spacing w:line="240" w:lineRule="auto"/>
                    <w:ind w:firstLine="0" w:firstLineChars="0"/>
                    <w:jc w:val="center"/>
                    <w:rPr>
                      <w:rFonts w:hint="eastAsia"/>
                      <w:color w:val="auto"/>
                      <w:sz w:val="21"/>
                      <w:szCs w:val="21"/>
                      <w:u w:val="none"/>
                      <w:lang w:val="en-US" w:eastAsia="zh-CN"/>
                    </w:rPr>
                  </w:pPr>
                </w:p>
              </w:tc>
            </w:tr>
            <w:tr w14:paraId="20E65CD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28" w:hRule="atLeast"/>
                <w:jc w:val="center"/>
              </w:trPr>
              <w:tc>
                <w:tcPr>
                  <w:tcW w:w="268" w:type="pct"/>
                  <w:vMerge w:val="continue"/>
                  <w:tcMar>
                    <w:left w:w="28" w:type="dxa"/>
                    <w:right w:w="28" w:type="dxa"/>
                  </w:tcMar>
                  <w:vAlign w:val="center"/>
                </w:tcPr>
                <w:p w14:paraId="40D18FC7">
                  <w:pPr>
                    <w:spacing w:line="240" w:lineRule="auto"/>
                    <w:ind w:firstLine="0" w:firstLineChars="0"/>
                    <w:jc w:val="center"/>
                    <w:rPr>
                      <w:rFonts w:hint="eastAsia"/>
                      <w:color w:val="auto"/>
                      <w:sz w:val="21"/>
                      <w:szCs w:val="21"/>
                      <w:u w:val="none"/>
                      <w:lang w:val="en-US" w:eastAsia="zh-CN"/>
                    </w:rPr>
                  </w:pPr>
                </w:p>
              </w:tc>
              <w:tc>
                <w:tcPr>
                  <w:tcW w:w="830" w:type="pct"/>
                  <w:gridSpan w:val="2"/>
                  <w:vAlign w:val="center"/>
                </w:tcPr>
                <w:p w14:paraId="0A1CAE81">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bCs/>
                      <w:color w:val="000000"/>
                      <w:sz w:val="21"/>
                      <w:szCs w:val="21"/>
                      <w:lang w:val="en-US" w:eastAsia="zh-CN"/>
                    </w:rPr>
                  </w:pPr>
                  <w:r>
                    <w:rPr>
                      <w:rFonts w:hint="eastAsia"/>
                      <w:bCs/>
                      <w:color w:val="000000"/>
                      <w:sz w:val="21"/>
                      <w:szCs w:val="21"/>
                      <w:lang w:val="en-US" w:eastAsia="zh-CN"/>
                    </w:rPr>
                    <w:t>办公生活垃圾</w:t>
                  </w:r>
                </w:p>
              </w:tc>
              <w:tc>
                <w:tcPr>
                  <w:tcW w:w="1440" w:type="pct"/>
                  <w:shd w:val="clear" w:color="auto" w:fill="auto"/>
                  <w:tcMar>
                    <w:left w:w="28" w:type="dxa"/>
                    <w:right w:w="28" w:type="dxa"/>
                  </w:tcMar>
                  <w:vAlign w:val="center"/>
                </w:tcPr>
                <w:p w14:paraId="412D2887">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eastAsia="宋体"/>
                      <w:bCs/>
                      <w:color w:val="000000"/>
                      <w:sz w:val="21"/>
                      <w:szCs w:val="21"/>
                      <w:lang w:val="en-US" w:eastAsia="zh-CN"/>
                    </w:rPr>
                  </w:pPr>
                  <w:r>
                    <w:rPr>
                      <w:rFonts w:hint="eastAsia"/>
                      <w:bCs/>
                      <w:color w:val="000000"/>
                      <w:sz w:val="21"/>
                      <w:szCs w:val="21"/>
                      <w:lang w:val="en-US" w:eastAsia="zh-CN"/>
                    </w:rPr>
                    <w:t>垃圾桶若干，委托环卫部门拉走处置</w:t>
                  </w:r>
                </w:p>
              </w:tc>
              <w:tc>
                <w:tcPr>
                  <w:tcW w:w="859" w:type="pct"/>
                  <w:vAlign w:val="center"/>
                </w:tcPr>
                <w:p w14:paraId="021CB0BF">
                  <w:pPr>
                    <w:spacing w:line="240" w:lineRule="auto"/>
                    <w:ind w:firstLine="0" w:firstLineChars="0"/>
                    <w:jc w:val="center"/>
                    <w:rPr>
                      <w:rFonts w:hint="eastAsia"/>
                      <w:color w:val="auto"/>
                      <w:sz w:val="21"/>
                      <w:szCs w:val="21"/>
                      <w:u w:val="none"/>
                      <w:lang w:val="en-US" w:eastAsia="zh-CN"/>
                    </w:rPr>
                  </w:pPr>
                  <w:r>
                    <w:rPr>
                      <w:rFonts w:hint="eastAsia"/>
                      <w:bCs/>
                      <w:color w:val="000000"/>
                      <w:sz w:val="21"/>
                      <w:szCs w:val="21"/>
                      <w:lang w:val="en-US" w:eastAsia="zh-CN"/>
                    </w:rPr>
                    <w:t>垃圾桶若干</w:t>
                  </w:r>
                </w:p>
              </w:tc>
              <w:tc>
                <w:tcPr>
                  <w:tcW w:w="1173" w:type="pct"/>
                  <w:vAlign w:val="center"/>
                </w:tcPr>
                <w:p w14:paraId="514E93A6">
                  <w:pPr>
                    <w:spacing w:line="240" w:lineRule="auto"/>
                    <w:ind w:firstLine="0" w:firstLineChars="0"/>
                    <w:jc w:val="center"/>
                    <w:rPr>
                      <w:rFonts w:hint="default"/>
                      <w:color w:val="auto"/>
                      <w:sz w:val="21"/>
                      <w:szCs w:val="21"/>
                      <w:u w:val="none"/>
                      <w:lang w:val="en-US" w:eastAsia="zh-CN"/>
                    </w:rPr>
                  </w:pPr>
                  <w:r>
                    <w:rPr>
                      <w:rFonts w:hint="eastAsia"/>
                      <w:color w:val="auto"/>
                      <w:sz w:val="21"/>
                      <w:szCs w:val="21"/>
                      <w:u w:val="none"/>
                      <w:lang w:val="en-US" w:eastAsia="zh-CN"/>
                    </w:rPr>
                    <w:t>/</w:t>
                  </w:r>
                </w:p>
              </w:tc>
              <w:tc>
                <w:tcPr>
                  <w:tcW w:w="428" w:type="pct"/>
                  <w:vAlign w:val="center"/>
                </w:tcPr>
                <w:p w14:paraId="6160C515">
                  <w:pPr>
                    <w:spacing w:line="240" w:lineRule="auto"/>
                    <w:ind w:firstLine="0" w:firstLineChars="0"/>
                    <w:jc w:val="center"/>
                    <w:rPr>
                      <w:rFonts w:hint="default"/>
                      <w:color w:val="auto"/>
                      <w:sz w:val="21"/>
                      <w:szCs w:val="21"/>
                      <w:u w:val="none"/>
                      <w:lang w:val="en-US" w:eastAsia="zh-CN"/>
                    </w:rPr>
                  </w:pPr>
                  <w:r>
                    <w:rPr>
                      <w:rFonts w:hint="eastAsia"/>
                      <w:color w:val="auto"/>
                      <w:sz w:val="21"/>
                      <w:szCs w:val="21"/>
                      <w:u w:val="none"/>
                      <w:lang w:val="en-US" w:eastAsia="zh-CN"/>
                    </w:rPr>
                    <w:t>1</w:t>
                  </w:r>
                </w:p>
              </w:tc>
            </w:tr>
            <w:tr w14:paraId="3E16688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28" w:hRule="atLeast"/>
                <w:jc w:val="center"/>
              </w:trPr>
              <w:tc>
                <w:tcPr>
                  <w:tcW w:w="1098" w:type="pct"/>
                  <w:gridSpan w:val="3"/>
                  <w:tcMar>
                    <w:left w:w="28" w:type="dxa"/>
                    <w:right w:w="28" w:type="dxa"/>
                  </w:tcMar>
                  <w:vAlign w:val="center"/>
                </w:tcPr>
                <w:p w14:paraId="732A5889">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bCs/>
                      <w:color w:val="000000"/>
                      <w:sz w:val="21"/>
                      <w:szCs w:val="21"/>
                      <w:lang w:val="en-US" w:eastAsia="zh-CN"/>
                    </w:rPr>
                  </w:pPr>
                  <w:r>
                    <w:rPr>
                      <w:rFonts w:hint="eastAsia"/>
                      <w:color w:val="auto"/>
                      <w:sz w:val="21"/>
                      <w:szCs w:val="21"/>
                      <w:u w:val="none"/>
                      <w:lang w:val="en-US" w:eastAsia="zh-CN"/>
                    </w:rPr>
                    <w:t>环境风险</w:t>
                  </w:r>
                </w:p>
              </w:tc>
              <w:tc>
                <w:tcPr>
                  <w:tcW w:w="3472" w:type="pct"/>
                  <w:gridSpan w:val="3"/>
                  <w:shd w:val="clear" w:color="auto" w:fill="auto"/>
                  <w:tcMar>
                    <w:left w:w="28" w:type="dxa"/>
                    <w:right w:w="28" w:type="dxa"/>
                  </w:tcMar>
                  <w:vAlign w:val="center"/>
                </w:tcPr>
                <w:p w14:paraId="6731CC22">
                  <w:pPr>
                    <w:spacing w:line="240" w:lineRule="auto"/>
                    <w:ind w:firstLine="0" w:firstLineChars="0"/>
                    <w:jc w:val="center"/>
                    <w:rPr>
                      <w:rFonts w:hint="eastAsia"/>
                      <w:color w:val="auto"/>
                      <w:sz w:val="21"/>
                      <w:szCs w:val="21"/>
                      <w:u w:val="none"/>
                      <w:lang w:val="en-US" w:eastAsia="zh-CN"/>
                    </w:rPr>
                  </w:pPr>
                  <w:r>
                    <w:rPr>
                      <w:rFonts w:hint="eastAsia"/>
                      <w:bCs/>
                      <w:color w:val="000000"/>
                      <w:sz w:val="21"/>
                      <w:szCs w:val="21"/>
                      <w:lang w:val="en-US" w:eastAsia="zh-CN"/>
                    </w:rPr>
                    <w:t>消防器材及消防物资若干，事故池1座300m</w:t>
                  </w:r>
                  <w:r>
                    <w:rPr>
                      <w:rFonts w:hint="eastAsia"/>
                      <w:bCs/>
                      <w:color w:val="000000"/>
                      <w:sz w:val="21"/>
                      <w:szCs w:val="21"/>
                      <w:vertAlign w:val="superscript"/>
                      <w:lang w:val="en-US" w:eastAsia="zh-CN"/>
                    </w:rPr>
                    <w:t>3</w:t>
                  </w:r>
                </w:p>
              </w:tc>
              <w:tc>
                <w:tcPr>
                  <w:tcW w:w="428" w:type="pct"/>
                  <w:vAlign w:val="center"/>
                </w:tcPr>
                <w:p w14:paraId="6F00A9AC">
                  <w:pPr>
                    <w:spacing w:line="240" w:lineRule="auto"/>
                    <w:ind w:firstLine="0" w:firstLineChars="0"/>
                    <w:jc w:val="center"/>
                    <w:rPr>
                      <w:rFonts w:hint="default"/>
                      <w:color w:val="auto"/>
                      <w:sz w:val="21"/>
                      <w:szCs w:val="21"/>
                      <w:u w:val="none"/>
                      <w:lang w:val="en-US" w:eastAsia="zh-CN"/>
                    </w:rPr>
                  </w:pPr>
                  <w:r>
                    <w:rPr>
                      <w:rFonts w:hint="eastAsia"/>
                      <w:color w:val="auto"/>
                      <w:sz w:val="21"/>
                      <w:szCs w:val="21"/>
                      <w:u w:val="none"/>
                      <w:lang w:val="en-US" w:eastAsia="zh-CN"/>
                    </w:rPr>
                    <w:t>5</w:t>
                  </w:r>
                </w:p>
              </w:tc>
            </w:tr>
            <w:tr w14:paraId="434FC6F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571" w:type="pct"/>
                  <w:gridSpan w:val="6"/>
                  <w:tcMar>
                    <w:left w:w="28" w:type="dxa"/>
                    <w:right w:w="28" w:type="dxa"/>
                  </w:tcMar>
                  <w:vAlign w:val="center"/>
                </w:tcPr>
                <w:p w14:paraId="2F1E65A0">
                  <w:pPr>
                    <w:spacing w:line="240" w:lineRule="auto"/>
                    <w:ind w:firstLine="0" w:firstLineChars="0"/>
                    <w:jc w:val="center"/>
                    <w:rPr>
                      <w:color w:val="auto"/>
                      <w:sz w:val="21"/>
                      <w:szCs w:val="21"/>
                    </w:rPr>
                  </w:pPr>
                  <w:r>
                    <w:rPr>
                      <w:rFonts w:hint="eastAsia"/>
                      <w:bCs/>
                      <w:color w:val="auto"/>
                      <w:sz w:val="21"/>
                      <w:szCs w:val="21"/>
                    </w:rPr>
                    <w:t>合计</w:t>
                  </w:r>
                </w:p>
              </w:tc>
              <w:tc>
                <w:tcPr>
                  <w:tcW w:w="428" w:type="pct"/>
                  <w:vAlign w:val="center"/>
                </w:tcPr>
                <w:p w14:paraId="6BE5CAB7">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387</w:t>
                  </w:r>
                </w:p>
              </w:tc>
            </w:tr>
          </w:tbl>
          <w:p w14:paraId="4949384E">
            <w:pPr>
              <w:ind w:firstLine="440"/>
              <w:rPr>
                <w:rFonts w:hint="eastAsia" w:ascii="宋体" w:hAnsi="宋体" w:cs="宋体"/>
                <w:bCs/>
                <w:color w:val="auto"/>
                <w:spacing w:val="-10"/>
              </w:rPr>
            </w:pPr>
          </w:p>
        </w:tc>
      </w:tr>
    </w:tbl>
    <w:p w14:paraId="7CBD4248">
      <w:pPr>
        <w:widowControl/>
        <w:spacing w:line="240" w:lineRule="auto"/>
        <w:ind w:firstLine="0" w:firstLineChars="0"/>
        <w:jc w:val="left"/>
        <w:rPr>
          <w:rFonts w:eastAsia="黑体"/>
          <w:bCs/>
          <w:snapToGrid w:val="0"/>
          <w:color w:val="auto"/>
          <w:kern w:val="44"/>
          <w:sz w:val="30"/>
          <w:szCs w:val="30"/>
        </w:rPr>
      </w:pPr>
      <w:r>
        <w:rPr>
          <w:snapToGrid w:val="0"/>
          <w:color w:val="auto"/>
        </w:rPr>
        <w:br w:type="page"/>
      </w:r>
    </w:p>
    <w:p w14:paraId="2A55E0E7">
      <w:pPr>
        <w:pStyle w:val="2"/>
        <w:rPr>
          <w:b/>
          <w:bCs w:val="0"/>
          <w:snapToGrid w:val="0"/>
          <w:color w:val="auto"/>
        </w:rPr>
      </w:pPr>
      <w:bookmarkStart w:id="17" w:name="_Toc28733"/>
      <w:r>
        <w:rPr>
          <w:rFonts w:hint="eastAsia"/>
          <w:b/>
          <w:bCs w:val="0"/>
          <w:snapToGrid w:val="0"/>
          <w:color w:val="auto"/>
        </w:rPr>
        <w:t>五、</w:t>
      </w:r>
      <w:bookmarkStart w:id="18" w:name="_Hlk54167917"/>
      <w:r>
        <w:rPr>
          <w:rFonts w:hint="eastAsia"/>
          <w:b/>
          <w:bCs w:val="0"/>
          <w:snapToGrid w:val="0"/>
          <w:color w:val="auto"/>
        </w:rPr>
        <w:t>环境保护措施监督检查清单</w:t>
      </w:r>
      <w:bookmarkEnd w:id="17"/>
      <w:bookmarkEnd w:id="18"/>
    </w:p>
    <w:tbl>
      <w:tblPr>
        <w:tblStyle w:val="20"/>
        <w:tblW w:w="507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29"/>
        <w:gridCol w:w="1588"/>
        <w:gridCol w:w="1038"/>
        <w:gridCol w:w="2722"/>
        <w:gridCol w:w="3163"/>
      </w:tblGrid>
      <w:tr w14:paraId="416AB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93" w:type="pct"/>
          </w:tcPr>
          <w:p w14:paraId="4696C308">
            <w:pPr>
              <w:spacing w:line="240" w:lineRule="auto"/>
              <w:ind w:firstLine="0" w:firstLineChars="0"/>
              <w:jc w:val="center"/>
              <w:rPr>
                <w:color w:val="auto"/>
                <w:sz w:val="24"/>
                <w:szCs w:val="24"/>
              </w:rPr>
            </w:pPr>
            <w:r>
              <w:rPr>
                <w:rFonts w:hint="eastAsia"/>
                <w:color w:val="auto"/>
                <w:sz w:val="24"/>
                <w:szCs w:val="24"/>
              </w:rPr>
              <w:t>内容要素</w:t>
            </w:r>
          </w:p>
        </w:tc>
        <w:tc>
          <w:tcPr>
            <w:tcW w:w="878" w:type="pct"/>
            <w:vAlign w:val="center"/>
          </w:tcPr>
          <w:p w14:paraId="5B76B5D9">
            <w:pPr>
              <w:spacing w:line="240" w:lineRule="auto"/>
              <w:ind w:firstLine="0" w:firstLineChars="0"/>
              <w:jc w:val="center"/>
              <w:rPr>
                <w:color w:val="auto"/>
                <w:sz w:val="24"/>
                <w:szCs w:val="24"/>
              </w:rPr>
            </w:pPr>
            <w:r>
              <w:rPr>
                <w:rFonts w:hint="eastAsia"/>
                <w:color w:val="auto"/>
                <w:sz w:val="24"/>
                <w:szCs w:val="24"/>
              </w:rPr>
              <w:t>排放口（编号、名称）/污染源</w:t>
            </w:r>
          </w:p>
        </w:tc>
        <w:tc>
          <w:tcPr>
            <w:tcW w:w="574" w:type="pct"/>
            <w:vAlign w:val="center"/>
          </w:tcPr>
          <w:p w14:paraId="4EE311D9">
            <w:pPr>
              <w:spacing w:line="240" w:lineRule="auto"/>
              <w:ind w:firstLine="0" w:firstLineChars="0"/>
              <w:jc w:val="center"/>
              <w:rPr>
                <w:color w:val="auto"/>
                <w:sz w:val="24"/>
                <w:szCs w:val="24"/>
              </w:rPr>
            </w:pPr>
            <w:r>
              <w:rPr>
                <w:rFonts w:hint="eastAsia"/>
                <w:color w:val="auto"/>
                <w:sz w:val="24"/>
                <w:szCs w:val="24"/>
              </w:rPr>
              <w:t>污染物项目</w:t>
            </w:r>
          </w:p>
        </w:tc>
        <w:tc>
          <w:tcPr>
            <w:tcW w:w="1505" w:type="pct"/>
            <w:vAlign w:val="center"/>
          </w:tcPr>
          <w:p w14:paraId="0781F56E">
            <w:pPr>
              <w:spacing w:line="240" w:lineRule="auto"/>
              <w:ind w:firstLine="0" w:firstLineChars="0"/>
              <w:jc w:val="center"/>
              <w:rPr>
                <w:color w:val="auto"/>
                <w:sz w:val="24"/>
                <w:szCs w:val="24"/>
              </w:rPr>
            </w:pPr>
            <w:r>
              <w:rPr>
                <w:rFonts w:hint="eastAsia"/>
                <w:color w:val="auto"/>
                <w:sz w:val="24"/>
                <w:szCs w:val="24"/>
              </w:rPr>
              <w:t>环境保护措施</w:t>
            </w:r>
          </w:p>
        </w:tc>
        <w:tc>
          <w:tcPr>
            <w:tcW w:w="1748" w:type="pct"/>
            <w:vAlign w:val="center"/>
          </w:tcPr>
          <w:p w14:paraId="5A274DA1">
            <w:pPr>
              <w:spacing w:line="240" w:lineRule="auto"/>
              <w:ind w:firstLine="0" w:firstLineChars="0"/>
              <w:jc w:val="center"/>
              <w:rPr>
                <w:color w:val="auto"/>
                <w:sz w:val="24"/>
                <w:szCs w:val="24"/>
              </w:rPr>
            </w:pPr>
            <w:r>
              <w:rPr>
                <w:rFonts w:hint="eastAsia"/>
                <w:color w:val="auto"/>
                <w:sz w:val="24"/>
                <w:szCs w:val="24"/>
              </w:rPr>
              <w:t>执行标准</w:t>
            </w:r>
          </w:p>
        </w:tc>
      </w:tr>
      <w:tr w14:paraId="1A334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8" w:hRule="atLeast"/>
          <w:jc w:val="center"/>
        </w:trPr>
        <w:tc>
          <w:tcPr>
            <w:tcW w:w="293" w:type="pct"/>
            <w:vMerge w:val="restart"/>
            <w:vAlign w:val="center"/>
          </w:tcPr>
          <w:p w14:paraId="13155ED1">
            <w:pPr>
              <w:spacing w:line="240" w:lineRule="auto"/>
              <w:ind w:firstLine="0" w:firstLineChars="0"/>
              <w:jc w:val="center"/>
              <w:rPr>
                <w:color w:val="auto"/>
                <w:sz w:val="24"/>
                <w:szCs w:val="24"/>
              </w:rPr>
            </w:pPr>
            <w:r>
              <w:rPr>
                <w:rFonts w:hint="eastAsia"/>
                <w:color w:val="auto"/>
                <w:sz w:val="24"/>
                <w:szCs w:val="24"/>
              </w:rPr>
              <w:t>大气环境</w:t>
            </w:r>
          </w:p>
        </w:tc>
        <w:tc>
          <w:tcPr>
            <w:tcW w:w="878" w:type="pct"/>
            <w:vMerge w:val="restart"/>
            <w:shd w:val="clear" w:color="auto" w:fill="auto"/>
            <w:vAlign w:val="center"/>
          </w:tcPr>
          <w:p w14:paraId="7A7C4CED">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s="Times New Roman"/>
                <w:bCs/>
                <w:kern w:val="2"/>
                <w:sz w:val="24"/>
                <w:szCs w:val="24"/>
                <w:lang w:val="en-US" w:eastAsia="zh-CN" w:bidi="ar-SA"/>
              </w:rPr>
            </w:pPr>
            <w:r>
              <w:rPr>
                <w:rFonts w:hint="eastAsia"/>
                <w:bCs/>
                <w:sz w:val="24"/>
                <w:szCs w:val="24"/>
                <w:lang w:val="en-US" w:eastAsia="zh-CN"/>
              </w:rPr>
              <w:t>中药材异味</w:t>
            </w:r>
          </w:p>
        </w:tc>
        <w:tc>
          <w:tcPr>
            <w:tcW w:w="574" w:type="pct"/>
            <w:vMerge w:val="restart"/>
            <w:vAlign w:val="center"/>
          </w:tcPr>
          <w:p w14:paraId="6B0E2E1A">
            <w:pPr>
              <w:spacing w:line="240" w:lineRule="auto"/>
              <w:ind w:firstLine="0" w:firstLineChars="0"/>
              <w:jc w:val="center"/>
              <w:rPr>
                <w:rFonts w:hint="default"/>
                <w:color w:val="auto"/>
                <w:sz w:val="24"/>
                <w:szCs w:val="24"/>
                <w:lang w:val="en-US" w:eastAsia="zh-CN"/>
              </w:rPr>
            </w:pPr>
            <w:r>
              <w:rPr>
                <w:rFonts w:hint="eastAsia"/>
                <w:color w:val="auto"/>
                <w:sz w:val="24"/>
                <w:szCs w:val="24"/>
                <w:lang w:val="en-US" w:eastAsia="zh-CN"/>
              </w:rPr>
              <w:t>臭气浓度</w:t>
            </w:r>
          </w:p>
        </w:tc>
        <w:tc>
          <w:tcPr>
            <w:tcW w:w="1505" w:type="pct"/>
            <w:shd w:val="clear" w:color="auto" w:fill="auto"/>
            <w:vAlign w:val="center"/>
          </w:tcPr>
          <w:p w14:paraId="69F191E2">
            <w:pPr>
              <w:spacing w:line="240" w:lineRule="auto"/>
              <w:ind w:firstLine="0" w:firstLineChars="0"/>
              <w:jc w:val="center"/>
              <w:rPr>
                <w:rFonts w:hint="default"/>
                <w:color w:val="auto"/>
                <w:sz w:val="24"/>
                <w:szCs w:val="24"/>
                <w:lang w:val="en-US" w:eastAsia="zh-CN"/>
              </w:rPr>
            </w:pPr>
            <w:r>
              <w:rPr>
                <w:rFonts w:hint="eastAsia"/>
                <w:color w:val="auto"/>
                <w:sz w:val="24"/>
                <w:szCs w:val="24"/>
              </w:rPr>
              <w:t>设置为密闭作业房</w:t>
            </w:r>
            <w:r>
              <w:rPr>
                <w:rFonts w:hint="eastAsia"/>
                <w:color w:val="auto"/>
                <w:sz w:val="24"/>
                <w:szCs w:val="24"/>
                <w:lang w:eastAsia="zh-CN"/>
              </w:rPr>
              <w:t>，</w:t>
            </w:r>
            <w:r>
              <w:rPr>
                <w:rFonts w:hint="eastAsia"/>
                <w:color w:val="auto"/>
                <w:sz w:val="24"/>
                <w:szCs w:val="24"/>
              </w:rPr>
              <w:t>在产异味装置上方分别设置集气罩，整体密闭房设置负压抽风</w:t>
            </w:r>
            <w:r>
              <w:rPr>
                <w:rFonts w:hint="eastAsia"/>
                <w:color w:val="auto"/>
                <w:sz w:val="24"/>
                <w:szCs w:val="24"/>
                <w:lang w:eastAsia="zh-CN"/>
              </w:rPr>
              <w:t>，</w:t>
            </w:r>
            <w:r>
              <w:rPr>
                <w:rFonts w:hint="eastAsia"/>
                <w:color w:val="auto"/>
                <w:sz w:val="24"/>
                <w:szCs w:val="24"/>
                <w:lang w:val="en-US" w:eastAsia="zh-CN"/>
              </w:rPr>
              <w:t>引至“喷淋塔+水雾分离器+活性炭”</w:t>
            </w:r>
            <w:r>
              <w:rPr>
                <w:rFonts w:hint="eastAsia"/>
                <w:color w:val="auto"/>
                <w:sz w:val="24"/>
                <w:szCs w:val="24"/>
              </w:rPr>
              <w:t>，处理后通过15米高排气筒排放</w:t>
            </w:r>
          </w:p>
        </w:tc>
        <w:tc>
          <w:tcPr>
            <w:tcW w:w="1748" w:type="pct"/>
            <w:vMerge w:val="restart"/>
            <w:shd w:val="clear" w:color="auto" w:fill="auto"/>
            <w:vAlign w:val="center"/>
          </w:tcPr>
          <w:p w14:paraId="18333C26">
            <w:pPr>
              <w:spacing w:line="240" w:lineRule="auto"/>
              <w:ind w:firstLine="0" w:firstLineChars="0"/>
              <w:jc w:val="center"/>
              <w:rPr>
                <w:rFonts w:ascii="Times New Roman" w:hAnsi="Times New Roman" w:eastAsia="宋体" w:cs="Times New Roman"/>
                <w:color w:val="auto"/>
                <w:kern w:val="2"/>
                <w:sz w:val="24"/>
                <w:szCs w:val="24"/>
                <w:lang w:val="en-US" w:eastAsia="zh-CN" w:bidi="ar-SA"/>
              </w:rPr>
            </w:pPr>
            <w:r>
              <w:rPr>
                <w:rFonts w:hint="eastAsia"/>
                <w:color w:val="auto"/>
                <w:sz w:val="24"/>
                <w:szCs w:val="24"/>
              </w:rPr>
              <w:t>《恶臭污染物排放标准》（GB14554-93）</w:t>
            </w:r>
          </w:p>
        </w:tc>
      </w:tr>
      <w:tr w14:paraId="212BF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8" w:hRule="atLeast"/>
          <w:jc w:val="center"/>
        </w:trPr>
        <w:tc>
          <w:tcPr>
            <w:tcW w:w="293" w:type="pct"/>
            <w:vMerge w:val="continue"/>
            <w:vAlign w:val="center"/>
          </w:tcPr>
          <w:p w14:paraId="7120900F">
            <w:pPr>
              <w:spacing w:line="240" w:lineRule="auto"/>
              <w:ind w:firstLine="0" w:firstLineChars="0"/>
              <w:jc w:val="center"/>
            </w:pPr>
          </w:p>
        </w:tc>
        <w:tc>
          <w:tcPr>
            <w:tcW w:w="878" w:type="pct"/>
            <w:vMerge w:val="continue"/>
            <w:shd w:val="clear" w:color="auto" w:fill="auto"/>
            <w:vAlign w:val="center"/>
          </w:tcPr>
          <w:p w14:paraId="1141E51D">
            <w:pPr>
              <w:spacing w:line="240" w:lineRule="auto"/>
              <w:ind w:firstLine="0" w:firstLineChars="0"/>
              <w:jc w:val="center"/>
            </w:pPr>
          </w:p>
        </w:tc>
        <w:tc>
          <w:tcPr>
            <w:tcW w:w="574" w:type="pct"/>
            <w:vMerge w:val="continue"/>
            <w:vAlign w:val="center"/>
          </w:tcPr>
          <w:p w14:paraId="47A21BEB">
            <w:pPr>
              <w:spacing w:line="240" w:lineRule="auto"/>
              <w:ind w:firstLine="0" w:firstLineChars="0"/>
              <w:jc w:val="center"/>
              <w:rPr>
                <w:rFonts w:hint="eastAsia"/>
                <w:color w:val="auto"/>
                <w:sz w:val="24"/>
                <w:szCs w:val="24"/>
              </w:rPr>
            </w:pPr>
          </w:p>
        </w:tc>
        <w:tc>
          <w:tcPr>
            <w:tcW w:w="1505" w:type="pct"/>
            <w:shd w:val="clear" w:color="auto" w:fill="auto"/>
            <w:vAlign w:val="center"/>
          </w:tcPr>
          <w:p w14:paraId="24426DEE">
            <w:pPr>
              <w:spacing w:line="240" w:lineRule="auto"/>
              <w:ind w:firstLine="0" w:firstLineChars="0"/>
              <w:jc w:val="center"/>
              <w:rPr>
                <w:rFonts w:hint="eastAsia"/>
                <w:color w:val="auto"/>
                <w:sz w:val="24"/>
                <w:szCs w:val="24"/>
              </w:rPr>
            </w:pPr>
            <w:r>
              <w:rPr>
                <w:rFonts w:hint="eastAsia"/>
                <w:b/>
                <w:bCs/>
                <w:color w:val="auto"/>
                <w:sz w:val="24"/>
                <w:szCs w:val="24"/>
                <w:u w:val="single"/>
                <w:lang w:val="en-US" w:eastAsia="zh-CN"/>
              </w:rPr>
              <w:t>药渣暂存间及危废暂存间密封设置，废气引至上述生产工序设置的“喷淋塔+水雾分离器+活性炭”装置</w:t>
            </w:r>
            <w:r>
              <w:rPr>
                <w:rFonts w:hint="eastAsia"/>
                <w:b/>
                <w:bCs/>
                <w:color w:val="auto"/>
                <w:sz w:val="24"/>
                <w:szCs w:val="24"/>
                <w:u w:val="single"/>
              </w:rPr>
              <w:t>，处理后通过15米高排气筒排放</w:t>
            </w:r>
          </w:p>
        </w:tc>
        <w:tc>
          <w:tcPr>
            <w:tcW w:w="1748" w:type="pct"/>
            <w:vMerge w:val="continue"/>
            <w:shd w:val="clear" w:color="auto" w:fill="auto"/>
            <w:vAlign w:val="center"/>
          </w:tcPr>
          <w:p w14:paraId="706EEBF4">
            <w:pPr>
              <w:spacing w:line="240" w:lineRule="auto"/>
              <w:ind w:firstLine="0" w:firstLineChars="0"/>
              <w:jc w:val="center"/>
              <w:rPr>
                <w:rFonts w:hint="eastAsia"/>
                <w:color w:val="auto"/>
                <w:sz w:val="24"/>
                <w:szCs w:val="24"/>
              </w:rPr>
            </w:pPr>
          </w:p>
        </w:tc>
      </w:tr>
      <w:tr w14:paraId="288A2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93" w:type="pct"/>
            <w:vMerge w:val="continue"/>
            <w:vAlign w:val="center"/>
          </w:tcPr>
          <w:p w14:paraId="3A76DB75">
            <w:pPr>
              <w:spacing w:line="240" w:lineRule="auto"/>
              <w:ind w:firstLine="0" w:firstLineChars="0"/>
              <w:jc w:val="center"/>
              <w:rPr>
                <w:rFonts w:hint="eastAsia"/>
                <w:color w:val="auto"/>
                <w:sz w:val="24"/>
                <w:szCs w:val="24"/>
              </w:rPr>
            </w:pPr>
          </w:p>
        </w:tc>
        <w:tc>
          <w:tcPr>
            <w:tcW w:w="878" w:type="pct"/>
            <w:shd w:val="clear" w:color="auto" w:fill="auto"/>
            <w:vAlign w:val="center"/>
          </w:tcPr>
          <w:p w14:paraId="4E0B8567">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Cs/>
                <w:kern w:val="0"/>
                <w:sz w:val="24"/>
                <w:szCs w:val="24"/>
                <w:lang w:val="en-US" w:eastAsia="zh-CN" w:bidi="ar"/>
              </w:rPr>
            </w:pPr>
            <w:r>
              <w:rPr>
                <w:rFonts w:hint="eastAsia"/>
                <w:bCs/>
                <w:kern w:val="0"/>
                <w:sz w:val="24"/>
                <w:szCs w:val="24"/>
                <w:lang w:val="en-US" w:eastAsia="zh-CN" w:bidi="ar"/>
              </w:rPr>
              <w:t>普通</w:t>
            </w:r>
            <w:r>
              <w:rPr>
                <w:rFonts w:hint="eastAsia"/>
                <w:bCs/>
                <w:kern w:val="0"/>
                <w:sz w:val="24"/>
                <w:szCs w:val="24"/>
                <w:lang w:bidi="ar"/>
              </w:rPr>
              <w:t>中药饮片车间干燥、炒制、粉碎、筛分粉尘</w:t>
            </w:r>
          </w:p>
        </w:tc>
        <w:tc>
          <w:tcPr>
            <w:tcW w:w="574" w:type="pct"/>
            <w:vAlign w:val="center"/>
          </w:tcPr>
          <w:p w14:paraId="310E775C">
            <w:pPr>
              <w:spacing w:line="240" w:lineRule="auto"/>
              <w:ind w:firstLine="0" w:firstLineChars="0"/>
              <w:jc w:val="center"/>
              <w:rPr>
                <w:rFonts w:hint="eastAsia" w:eastAsia="宋体"/>
                <w:color w:val="auto"/>
                <w:sz w:val="24"/>
                <w:szCs w:val="24"/>
                <w:lang w:val="en-US" w:eastAsia="zh-CN"/>
              </w:rPr>
            </w:pPr>
            <w:r>
              <w:rPr>
                <w:rFonts w:hint="eastAsia"/>
                <w:color w:val="auto"/>
                <w:sz w:val="24"/>
                <w:szCs w:val="24"/>
                <w:lang w:val="en-US" w:eastAsia="zh-CN"/>
              </w:rPr>
              <w:t>颗粒物</w:t>
            </w:r>
          </w:p>
        </w:tc>
        <w:tc>
          <w:tcPr>
            <w:tcW w:w="1505" w:type="pct"/>
            <w:shd w:val="clear" w:color="auto" w:fill="auto"/>
            <w:vAlign w:val="center"/>
          </w:tcPr>
          <w:p w14:paraId="1711A914">
            <w:pPr>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default"/>
                <w:bCs/>
                <w:sz w:val="24"/>
                <w:szCs w:val="24"/>
                <w:lang w:val="en-US" w:eastAsia="zh-CN" w:bidi="ar"/>
              </w:rPr>
              <w:t>设置集尘罩，集气罩为三面包围结构</w:t>
            </w:r>
            <w:r>
              <w:rPr>
                <w:rFonts w:hint="eastAsia"/>
                <w:bCs/>
                <w:sz w:val="24"/>
                <w:szCs w:val="24"/>
                <w:lang w:val="en-US" w:eastAsia="zh-CN" w:bidi="ar"/>
              </w:rPr>
              <w:t>，</w:t>
            </w:r>
            <w:r>
              <w:rPr>
                <w:rFonts w:hint="default"/>
                <w:bCs/>
                <w:sz w:val="24"/>
                <w:szCs w:val="24"/>
                <w:lang w:val="en-US" w:eastAsia="zh-CN" w:bidi="ar"/>
              </w:rPr>
              <w:t>负压抽风</w:t>
            </w:r>
            <w:r>
              <w:rPr>
                <w:rFonts w:hint="eastAsia"/>
                <w:bCs/>
                <w:sz w:val="24"/>
                <w:szCs w:val="24"/>
                <w:lang w:val="en-US" w:eastAsia="zh-CN" w:bidi="ar"/>
              </w:rPr>
              <w:t>，引至袋式除尘器，处理后</w:t>
            </w:r>
            <w:r>
              <w:rPr>
                <w:rFonts w:hint="eastAsia"/>
                <w:color w:val="auto"/>
                <w:sz w:val="24"/>
                <w:szCs w:val="24"/>
              </w:rPr>
              <w:t>通过15米高排气筒排放</w:t>
            </w:r>
          </w:p>
        </w:tc>
        <w:tc>
          <w:tcPr>
            <w:tcW w:w="1748" w:type="pct"/>
            <w:shd w:val="clear" w:color="auto" w:fill="auto"/>
            <w:vAlign w:val="center"/>
          </w:tcPr>
          <w:p w14:paraId="0BAD92BD">
            <w:pPr>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szCs w:val="24"/>
              </w:rPr>
              <w:t>《制药工业大气污染物排放标准》（GB37823-2019）表2中</w:t>
            </w:r>
            <w:r>
              <w:rPr>
                <w:rFonts w:hint="eastAsia"/>
                <w:color w:val="auto"/>
                <w:sz w:val="24"/>
                <w:szCs w:val="24"/>
                <w:lang w:val="en-US" w:eastAsia="zh-CN"/>
              </w:rPr>
              <w:t>特别</w:t>
            </w:r>
            <w:r>
              <w:rPr>
                <w:rFonts w:hint="eastAsia"/>
                <w:color w:val="auto"/>
                <w:sz w:val="24"/>
                <w:szCs w:val="24"/>
              </w:rPr>
              <w:t>排放限值要求及《</w:t>
            </w:r>
            <w:r>
              <w:rPr>
                <w:rFonts w:hint="eastAsia"/>
                <w:color w:val="auto"/>
                <w:sz w:val="24"/>
                <w:szCs w:val="24"/>
                <w:lang w:eastAsia="zh-CN"/>
              </w:rPr>
              <w:t>河南省重污染天气通用行业应急减排措施制定技术指南（2024年修订版）</w:t>
            </w:r>
            <w:r>
              <w:rPr>
                <w:rFonts w:hint="eastAsia"/>
                <w:color w:val="auto"/>
                <w:sz w:val="24"/>
                <w:szCs w:val="24"/>
              </w:rPr>
              <w:t>》</w:t>
            </w:r>
          </w:p>
        </w:tc>
      </w:tr>
      <w:tr w14:paraId="2778F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93" w:type="pct"/>
            <w:vMerge w:val="continue"/>
            <w:vAlign w:val="center"/>
          </w:tcPr>
          <w:p w14:paraId="7917AB4F">
            <w:pPr>
              <w:spacing w:line="240" w:lineRule="auto"/>
              <w:ind w:firstLine="0" w:firstLineChars="0"/>
              <w:jc w:val="center"/>
              <w:rPr>
                <w:rFonts w:hint="eastAsia"/>
                <w:color w:val="auto"/>
                <w:sz w:val="24"/>
                <w:szCs w:val="24"/>
              </w:rPr>
            </w:pPr>
          </w:p>
        </w:tc>
        <w:tc>
          <w:tcPr>
            <w:tcW w:w="878" w:type="pct"/>
            <w:shd w:val="clear" w:color="auto" w:fill="auto"/>
            <w:vAlign w:val="center"/>
          </w:tcPr>
          <w:p w14:paraId="2472EFD1">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Cs/>
                <w:kern w:val="0"/>
                <w:sz w:val="24"/>
                <w:szCs w:val="24"/>
                <w:lang w:val="en-US" w:eastAsia="zh-CN" w:bidi="ar"/>
              </w:rPr>
            </w:pPr>
            <w:r>
              <w:rPr>
                <w:rFonts w:hint="eastAsia"/>
                <w:color w:val="auto"/>
                <w:sz w:val="24"/>
                <w:szCs w:val="24"/>
                <w:lang w:val="en-US" w:eastAsia="zh-CN"/>
              </w:rPr>
              <w:t>毒性饮片</w:t>
            </w:r>
            <w:r>
              <w:rPr>
                <w:rFonts w:hint="eastAsia"/>
                <w:bCs/>
                <w:kern w:val="0"/>
                <w:sz w:val="24"/>
                <w:szCs w:val="24"/>
                <w:lang w:bidi="ar"/>
              </w:rPr>
              <w:t>车间干燥、</w:t>
            </w:r>
            <w:r>
              <w:rPr>
                <w:rFonts w:hint="eastAsia"/>
                <w:bCs/>
                <w:kern w:val="0"/>
                <w:sz w:val="24"/>
                <w:szCs w:val="24"/>
                <w:lang w:val="en-US" w:eastAsia="zh-CN" w:bidi="ar"/>
              </w:rPr>
              <w:t>切制</w:t>
            </w:r>
            <w:r>
              <w:rPr>
                <w:rFonts w:hint="eastAsia"/>
                <w:bCs/>
                <w:kern w:val="0"/>
                <w:sz w:val="24"/>
                <w:szCs w:val="24"/>
                <w:lang w:bidi="ar"/>
              </w:rPr>
              <w:t>、筛分粉尘</w:t>
            </w:r>
          </w:p>
        </w:tc>
        <w:tc>
          <w:tcPr>
            <w:tcW w:w="574" w:type="pct"/>
            <w:vAlign w:val="center"/>
          </w:tcPr>
          <w:p w14:paraId="1E862D9D">
            <w:pPr>
              <w:spacing w:line="240" w:lineRule="auto"/>
              <w:ind w:firstLine="0" w:firstLineChars="0"/>
              <w:jc w:val="center"/>
              <w:rPr>
                <w:rFonts w:hint="eastAsia"/>
                <w:color w:val="auto"/>
                <w:sz w:val="24"/>
                <w:szCs w:val="24"/>
              </w:rPr>
            </w:pPr>
            <w:r>
              <w:rPr>
                <w:rFonts w:hint="eastAsia"/>
                <w:color w:val="auto"/>
                <w:sz w:val="24"/>
                <w:szCs w:val="24"/>
                <w:lang w:val="en-US" w:eastAsia="zh-CN"/>
              </w:rPr>
              <w:t>颗粒物</w:t>
            </w:r>
          </w:p>
        </w:tc>
        <w:tc>
          <w:tcPr>
            <w:tcW w:w="1505" w:type="pct"/>
            <w:shd w:val="clear" w:color="auto" w:fill="auto"/>
            <w:vAlign w:val="center"/>
          </w:tcPr>
          <w:p w14:paraId="20C91D5E">
            <w:pPr>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default"/>
                <w:bCs/>
                <w:sz w:val="24"/>
                <w:szCs w:val="24"/>
                <w:lang w:val="en-US" w:eastAsia="zh-CN" w:bidi="ar"/>
              </w:rPr>
              <w:t>设置集尘罩，集气罩为三面包围结构</w:t>
            </w:r>
            <w:r>
              <w:rPr>
                <w:rFonts w:hint="eastAsia"/>
                <w:bCs/>
                <w:sz w:val="24"/>
                <w:szCs w:val="24"/>
                <w:lang w:val="en-US" w:eastAsia="zh-CN" w:bidi="ar"/>
              </w:rPr>
              <w:t>，</w:t>
            </w:r>
            <w:r>
              <w:rPr>
                <w:rFonts w:hint="default"/>
                <w:bCs/>
                <w:sz w:val="24"/>
                <w:szCs w:val="24"/>
                <w:lang w:val="en-US" w:eastAsia="zh-CN" w:bidi="ar"/>
              </w:rPr>
              <w:t>负压抽风</w:t>
            </w:r>
            <w:r>
              <w:rPr>
                <w:rFonts w:hint="eastAsia"/>
                <w:bCs/>
                <w:sz w:val="24"/>
                <w:szCs w:val="24"/>
                <w:lang w:val="en-US" w:eastAsia="zh-CN" w:bidi="ar"/>
              </w:rPr>
              <w:t>，引至袋式除尘器，处理后</w:t>
            </w:r>
            <w:r>
              <w:rPr>
                <w:rFonts w:hint="eastAsia"/>
                <w:color w:val="auto"/>
                <w:sz w:val="24"/>
                <w:szCs w:val="24"/>
              </w:rPr>
              <w:t>通过15米高排气筒排放</w:t>
            </w:r>
          </w:p>
        </w:tc>
        <w:tc>
          <w:tcPr>
            <w:tcW w:w="1748" w:type="pct"/>
            <w:shd w:val="clear" w:color="auto" w:fill="auto"/>
            <w:vAlign w:val="center"/>
          </w:tcPr>
          <w:p w14:paraId="13ED75C5">
            <w:pPr>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szCs w:val="24"/>
              </w:rPr>
              <w:t>《制药工业大气污染物排放标准》（GB37823-2019）表2中</w:t>
            </w:r>
            <w:r>
              <w:rPr>
                <w:rFonts w:hint="eastAsia"/>
                <w:color w:val="auto"/>
                <w:sz w:val="24"/>
                <w:szCs w:val="24"/>
                <w:lang w:val="en-US" w:eastAsia="zh-CN"/>
              </w:rPr>
              <w:t>特别</w:t>
            </w:r>
            <w:r>
              <w:rPr>
                <w:rFonts w:hint="eastAsia"/>
                <w:color w:val="auto"/>
                <w:sz w:val="24"/>
                <w:szCs w:val="24"/>
              </w:rPr>
              <w:t>排放限值要求及《</w:t>
            </w:r>
            <w:r>
              <w:rPr>
                <w:rFonts w:hint="eastAsia"/>
                <w:color w:val="auto"/>
                <w:sz w:val="24"/>
                <w:szCs w:val="24"/>
                <w:lang w:eastAsia="zh-CN"/>
              </w:rPr>
              <w:t>河南省重污染天气通用行业应急减排措施制定技术指南（2024年修订版）</w:t>
            </w:r>
            <w:r>
              <w:rPr>
                <w:rFonts w:hint="eastAsia"/>
                <w:color w:val="auto"/>
                <w:sz w:val="24"/>
                <w:szCs w:val="24"/>
              </w:rPr>
              <w:t>》</w:t>
            </w:r>
          </w:p>
        </w:tc>
      </w:tr>
      <w:tr w14:paraId="59DE0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93" w:type="pct"/>
            <w:vMerge w:val="continue"/>
            <w:vAlign w:val="center"/>
          </w:tcPr>
          <w:p w14:paraId="69C1C656">
            <w:pPr>
              <w:spacing w:line="240" w:lineRule="auto"/>
              <w:ind w:firstLine="0" w:firstLineChars="0"/>
              <w:jc w:val="center"/>
              <w:rPr>
                <w:rFonts w:hint="eastAsia"/>
                <w:color w:val="auto"/>
                <w:sz w:val="24"/>
                <w:szCs w:val="24"/>
              </w:rPr>
            </w:pPr>
          </w:p>
        </w:tc>
        <w:tc>
          <w:tcPr>
            <w:tcW w:w="878" w:type="pct"/>
            <w:shd w:val="clear" w:color="auto" w:fill="auto"/>
            <w:vAlign w:val="center"/>
          </w:tcPr>
          <w:p w14:paraId="4EF14247">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Cs/>
                <w:kern w:val="0"/>
                <w:sz w:val="24"/>
                <w:szCs w:val="24"/>
                <w:lang w:val="en-US" w:eastAsia="zh-CN" w:bidi="ar"/>
              </w:rPr>
            </w:pPr>
            <w:r>
              <w:rPr>
                <w:rFonts w:hint="eastAsia"/>
                <w:bCs/>
                <w:kern w:val="0"/>
                <w:sz w:val="24"/>
                <w:szCs w:val="24"/>
                <w:lang w:val="en-US" w:eastAsia="zh-CN" w:bidi="ar"/>
              </w:rPr>
              <w:t>口服饮片车间、颗粒剂车间及制丸车间</w:t>
            </w:r>
          </w:p>
        </w:tc>
        <w:tc>
          <w:tcPr>
            <w:tcW w:w="574" w:type="pct"/>
            <w:vAlign w:val="center"/>
          </w:tcPr>
          <w:p w14:paraId="49269A77">
            <w:pPr>
              <w:spacing w:line="240" w:lineRule="auto"/>
              <w:ind w:firstLine="0" w:firstLineChars="0"/>
              <w:jc w:val="center"/>
              <w:rPr>
                <w:rFonts w:hint="eastAsia"/>
                <w:color w:val="auto"/>
                <w:sz w:val="24"/>
                <w:szCs w:val="24"/>
              </w:rPr>
            </w:pPr>
            <w:r>
              <w:rPr>
                <w:rFonts w:hint="eastAsia"/>
                <w:color w:val="auto"/>
                <w:sz w:val="24"/>
                <w:szCs w:val="24"/>
                <w:lang w:val="en-US" w:eastAsia="zh-CN"/>
              </w:rPr>
              <w:t>颗粒物</w:t>
            </w:r>
          </w:p>
        </w:tc>
        <w:tc>
          <w:tcPr>
            <w:tcW w:w="1505" w:type="pct"/>
            <w:shd w:val="clear" w:color="auto" w:fill="auto"/>
            <w:vAlign w:val="center"/>
          </w:tcPr>
          <w:p w14:paraId="61F26282">
            <w:pPr>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szCs w:val="24"/>
                <w:lang w:val="en-US" w:eastAsia="zh-CN"/>
              </w:rPr>
              <w:t>位于D级洁净车间，收集后引至空气滤网系统，</w:t>
            </w:r>
            <w:r>
              <w:rPr>
                <w:rFonts w:hint="eastAsia"/>
                <w:bCs/>
                <w:sz w:val="24"/>
                <w:szCs w:val="24"/>
                <w:lang w:val="en-US" w:eastAsia="zh-CN" w:bidi="ar"/>
              </w:rPr>
              <w:t>处理后</w:t>
            </w:r>
            <w:r>
              <w:rPr>
                <w:rFonts w:hint="eastAsia"/>
                <w:color w:val="auto"/>
                <w:sz w:val="24"/>
                <w:szCs w:val="24"/>
              </w:rPr>
              <w:t>通过15米高排气筒排放</w:t>
            </w:r>
          </w:p>
        </w:tc>
        <w:tc>
          <w:tcPr>
            <w:tcW w:w="1748" w:type="pct"/>
            <w:shd w:val="clear" w:color="auto" w:fill="auto"/>
            <w:vAlign w:val="center"/>
          </w:tcPr>
          <w:p w14:paraId="701F9A7F">
            <w:pPr>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szCs w:val="24"/>
              </w:rPr>
              <w:t>《制药工业大气污染物排放标准》（GB37823-2019）表2中</w:t>
            </w:r>
            <w:r>
              <w:rPr>
                <w:rFonts w:hint="eastAsia"/>
                <w:color w:val="auto"/>
                <w:sz w:val="24"/>
                <w:szCs w:val="24"/>
                <w:lang w:val="en-US" w:eastAsia="zh-CN"/>
              </w:rPr>
              <w:t>特别</w:t>
            </w:r>
            <w:r>
              <w:rPr>
                <w:rFonts w:hint="eastAsia"/>
                <w:color w:val="auto"/>
                <w:sz w:val="24"/>
                <w:szCs w:val="24"/>
              </w:rPr>
              <w:t>排放限值要求及《</w:t>
            </w:r>
            <w:r>
              <w:rPr>
                <w:rFonts w:hint="eastAsia"/>
                <w:color w:val="auto"/>
                <w:sz w:val="24"/>
                <w:szCs w:val="24"/>
                <w:lang w:eastAsia="zh-CN"/>
              </w:rPr>
              <w:t>河南省重污染天气通用行业应急减排措施制定技术指南（2024年修订版）</w:t>
            </w:r>
            <w:r>
              <w:rPr>
                <w:rFonts w:hint="eastAsia"/>
                <w:color w:val="auto"/>
                <w:sz w:val="24"/>
                <w:szCs w:val="24"/>
              </w:rPr>
              <w:t>》</w:t>
            </w:r>
          </w:p>
        </w:tc>
      </w:tr>
      <w:tr w14:paraId="22D9A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93" w:type="pct"/>
            <w:vMerge w:val="continue"/>
            <w:vAlign w:val="center"/>
          </w:tcPr>
          <w:p w14:paraId="4CBAC625">
            <w:pPr>
              <w:spacing w:line="240" w:lineRule="auto"/>
              <w:ind w:firstLine="0" w:firstLineChars="0"/>
              <w:jc w:val="center"/>
              <w:rPr>
                <w:rFonts w:hint="eastAsia"/>
                <w:color w:val="auto"/>
                <w:sz w:val="24"/>
                <w:szCs w:val="24"/>
              </w:rPr>
            </w:pPr>
          </w:p>
        </w:tc>
        <w:tc>
          <w:tcPr>
            <w:tcW w:w="878" w:type="pct"/>
            <w:shd w:val="clear" w:color="auto" w:fill="auto"/>
            <w:vAlign w:val="center"/>
          </w:tcPr>
          <w:p w14:paraId="264D922A">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bCs w:val="0"/>
                <w:kern w:val="0"/>
                <w:sz w:val="24"/>
                <w:szCs w:val="24"/>
                <w:u w:val="single"/>
                <w:lang w:val="en-US" w:eastAsia="zh-CN" w:bidi="ar"/>
              </w:rPr>
            </w:pPr>
            <w:r>
              <w:rPr>
                <w:rFonts w:hint="eastAsia"/>
                <w:b/>
                <w:bCs w:val="0"/>
                <w:kern w:val="0"/>
                <w:sz w:val="24"/>
                <w:szCs w:val="24"/>
                <w:u w:val="single"/>
                <w:lang w:bidi="ar"/>
              </w:rPr>
              <w:t>污水处理站</w:t>
            </w:r>
          </w:p>
        </w:tc>
        <w:tc>
          <w:tcPr>
            <w:tcW w:w="574" w:type="pct"/>
            <w:vAlign w:val="center"/>
          </w:tcPr>
          <w:p w14:paraId="1B2EBA44">
            <w:pPr>
              <w:spacing w:line="240" w:lineRule="auto"/>
              <w:ind w:firstLine="0" w:firstLineChars="0"/>
              <w:jc w:val="center"/>
              <w:rPr>
                <w:rFonts w:hint="eastAsia"/>
                <w:b/>
                <w:bCs w:val="0"/>
                <w:color w:val="auto"/>
                <w:sz w:val="24"/>
                <w:szCs w:val="24"/>
                <w:u w:val="single"/>
              </w:rPr>
            </w:pPr>
            <w:r>
              <w:rPr>
                <w:b/>
                <w:bCs w:val="0"/>
                <w:color w:val="auto"/>
                <w:sz w:val="24"/>
                <w:szCs w:val="24"/>
                <w:u w:val="single"/>
              </w:rPr>
              <w:t>NH</w:t>
            </w:r>
            <w:r>
              <w:rPr>
                <w:b/>
                <w:bCs w:val="0"/>
                <w:color w:val="auto"/>
                <w:sz w:val="24"/>
                <w:szCs w:val="24"/>
                <w:u w:val="single"/>
                <w:vertAlign w:val="subscript"/>
              </w:rPr>
              <w:t>3</w:t>
            </w:r>
            <w:r>
              <w:rPr>
                <w:b/>
                <w:bCs w:val="0"/>
                <w:color w:val="auto"/>
                <w:sz w:val="24"/>
                <w:szCs w:val="24"/>
                <w:u w:val="single"/>
              </w:rPr>
              <w:t>、H</w:t>
            </w:r>
            <w:r>
              <w:rPr>
                <w:b/>
                <w:bCs w:val="0"/>
                <w:color w:val="auto"/>
                <w:sz w:val="24"/>
                <w:szCs w:val="24"/>
                <w:u w:val="single"/>
                <w:vertAlign w:val="subscript"/>
              </w:rPr>
              <w:t>2</w:t>
            </w:r>
            <w:r>
              <w:rPr>
                <w:b/>
                <w:bCs w:val="0"/>
                <w:color w:val="auto"/>
                <w:sz w:val="24"/>
                <w:szCs w:val="24"/>
                <w:u w:val="single"/>
              </w:rPr>
              <w:t>S</w:t>
            </w:r>
          </w:p>
        </w:tc>
        <w:tc>
          <w:tcPr>
            <w:tcW w:w="1505" w:type="pct"/>
            <w:shd w:val="clear" w:color="auto" w:fill="auto"/>
            <w:vAlign w:val="center"/>
          </w:tcPr>
          <w:p w14:paraId="60A2FFDA">
            <w:pPr>
              <w:spacing w:line="240" w:lineRule="auto"/>
              <w:ind w:firstLine="0" w:firstLineChars="0"/>
              <w:jc w:val="center"/>
              <w:rPr>
                <w:rFonts w:hint="eastAsia" w:ascii="Times New Roman" w:hAnsi="Times New Roman" w:eastAsia="宋体" w:cs="Times New Roman"/>
                <w:b/>
                <w:bCs w:val="0"/>
                <w:color w:val="auto"/>
                <w:kern w:val="2"/>
                <w:sz w:val="24"/>
                <w:szCs w:val="24"/>
                <w:u w:val="single"/>
                <w:lang w:val="en-US" w:eastAsia="zh-CN" w:bidi="ar-SA"/>
              </w:rPr>
            </w:pPr>
            <w:r>
              <w:rPr>
                <w:rFonts w:hint="eastAsia" w:ascii="Times New Roman" w:hAnsi="Times New Roman" w:eastAsia="宋体" w:cs="Times New Roman"/>
                <w:b/>
                <w:bCs w:val="0"/>
                <w:color w:val="auto"/>
                <w:sz w:val="24"/>
                <w:szCs w:val="24"/>
                <w:u w:val="single"/>
                <w:lang w:val="en-US" w:eastAsia="zh-CN"/>
              </w:rPr>
              <w:t>加盖密闭+生物滤池除臭措施，处理后通过15米高排气筒排放</w:t>
            </w:r>
          </w:p>
        </w:tc>
        <w:tc>
          <w:tcPr>
            <w:tcW w:w="1748" w:type="pct"/>
            <w:shd w:val="clear" w:color="auto" w:fill="auto"/>
            <w:vAlign w:val="center"/>
          </w:tcPr>
          <w:p w14:paraId="2C8B6F4C">
            <w:pPr>
              <w:spacing w:line="240" w:lineRule="auto"/>
              <w:ind w:firstLine="0" w:firstLineChars="0"/>
              <w:jc w:val="center"/>
              <w:rPr>
                <w:rFonts w:hint="eastAsia" w:ascii="Times New Roman" w:hAnsi="Times New Roman" w:eastAsia="宋体" w:cs="Times New Roman"/>
                <w:b/>
                <w:bCs w:val="0"/>
                <w:color w:val="auto"/>
                <w:kern w:val="2"/>
                <w:sz w:val="24"/>
                <w:szCs w:val="24"/>
                <w:u w:val="single"/>
                <w:lang w:val="en-US" w:eastAsia="zh-CN" w:bidi="ar-SA"/>
              </w:rPr>
            </w:pPr>
            <w:r>
              <w:rPr>
                <w:rFonts w:hint="eastAsia"/>
                <w:b/>
                <w:bCs w:val="0"/>
                <w:color w:val="auto"/>
                <w:sz w:val="24"/>
                <w:szCs w:val="24"/>
                <w:u w:val="single"/>
              </w:rPr>
              <w:t>《制药工业大气污染物排放标准》（GB37823-2019）表2中</w:t>
            </w:r>
            <w:r>
              <w:rPr>
                <w:rFonts w:hint="eastAsia"/>
                <w:b/>
                <w:bCs w:val="0"/>
                <w:color w:val="auto"/>
                <w:sz w:val="24"/>
                <w:szCs w:val="24"/>
                <w:u w:val="single"/>
                <w:lang w:val="en-US" w:eastAsia="zh-CN"/>
              </w:rPr>
              <w:t>特别</w:t>
            </w:r>
            <w:r>
              <w:rPr>
                <w:rFonts w:hint="eastAsia"/>
                <w:b/>
                <w:bCs w:val="0"/>
                <w:color w:val="auto"/>
                <w:sz w:val="24"/>
                <w:szCs w:val="24"/>
                <w:u w:val="single"/>
              </w:rPr>
              <w:t>排放限值要求</w:t>
            </w:r>
          </w:p>
        </w:tc>
      </w:tr>
      <w:tr w14:paraId="3CBB0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93" w:type="pct"/>
            <w:vMerge w:val="continue"/>
            <w:vAlign w:val="center"/>
          </w:tcPr>
          <w:p w14:paraId="4563ED50">
            <w:pPr>
              <w:spacing w:line="240" w:lineRule="auto"/>
              <w:ind w:firstLine="0" w:firstLineChars="0"/>
              <w:jc w:val="center"/>
              <w:rPr>
                <w:color w:val="auto"/>
                <w:sz w:val="24"/>
                <w:szCs w:val="24"/>
              </w:rPr>
            </w:pPr>
          </w:p>
        </w:tc>
        <w:tc>
          <w:tcPr>
            <w:tcW w:w="878" w:type="pct"/>
            <w:shd w:val="clear" w:color="auto" w:fill="auto"/>
            <w:vAlign w:val="center"/>
          </w:tcPr>
          <w:p w14:paraId="06C44B10">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Cs/>
                <w:kern w:val="0"/>
                <w:sz w:val="24"/>
                <w:szCs w:val="24"/>
                <w:lang w:val="en-US" w:eastAsia="zh-CN" w:bidi="ar"/>
              </w:rPr>
            </w:pPr>
            <w:r>
              <w:rPr>
                <w:rFonts w:hint="eastAsia"/>
                <w:bCs/>
                <w:kern w:val="0"/>
                <w:sz w:val="24"/>
                <w:szCs w:val="24"/>
                <w:lang w:val="en-US" w:eastAsia="zh-CN" w:bidi="ar"/>
              </w:rPr>
              <w:t>质检工序</w:t>
            </w:r>
          </w:p>
        </w:tc>
        <w:tc>
          <w:tcPr>
            <w:tcW w:w="574" w:type="pct"/>
            <w:vAlign w:val="center"/>
          </w:tcPr>
          <w:p w14:paraId="30D6BC90">
            <w:pPr>
              <w:spacing w:line="240" w:lineRule="auto"/>
              <w:ind w:firstLine="0" w:firstLineChars="0"/>
              <w:jc w:val="center"/>
              <w:rPr>
                <w:rFonts w:hint="default" w:eastAsia="宋体"/>
                <w:color w:val="auto"/>
                <w:sz w:val="24"/>
                <w:szCs w:val="24"/>
                <w:lang w:val="en-US" w:eastAsia="zh-CN"/>
              </w:rPr>
            </w:pPr>
            <w:r>
              <w:rPr>
                <w:rFonts w:hint="eastAsia"/>
                <w:color w:val="auto"/>
                <w:sz w:val="24"/>
                <w:szCs w:val="24"/>
                <w:lang w:val="en-US" w:eastAsia="zh-CN"/>
              </w:rPr>
              <w:t>VOCs</w:t>
            </w:r>
          </w:p>
        </w:tc>
        <w:tc>
          <w:tcPr>
            <w:tcW w:w="1505" w:type="pct"/>
            <w:shd w:val="clear" w:color="auto" w:fill="auto"/>
            <w:vAlign w:val="center"/>
          </w:tcPr>
          <w:p w14:paraId="7BCE2AA7">
            <w:pPr>
              <w:spacing w:line="240" w:lineRule="auto"/>
              <w:ind w:firstLine="0" w:firstLineChars="0"/>
              <w:jc w:val="center"/>
              <w:rPr>
                <w:rFonts w:ascii="Times New Roman" w:hAnsi="Times New Roman" w:eastAsia="宋体" w:cs="Times New Roman"/>
                <w:color w:val="auto"/>
                <w:kern w:val="2"/>
                <w:sz w:val="24"/>
                <w:szCs w:val="24"/>
                <w:lang w:val="en-US" w:eastAsia="zh-CN" w:bidi="ar-SA"/>
              </w:rPr>
            </w:pPr>
            <w:r>
              <w:rPr>
                <w:rFonts w:hint="eastAsia"/>
                <w:color w:val="auto"/>
                <w:sz w:val="24"/>
                <w:szCs w:val="24"/>
                <w:lang w:val="en-US" w:eastAsia="zh-CN"/>
              </w:rPr>
              <w:t>通风橱</w:t>
            </w:r>
            <w:r>
              <w:rPr>
                <w:rFonts w:hint="eastAsia"/>
                <w:color w:val="auto"/>
                <w:sz w:val="24"/>
                <w:szCs w:val="24"/>
              </w:rPr>
              <w:t>收集</w:t>
            </w:r>
            <w:r>
              <w:rPr>
                <w:rFonts w:hint="eastAsia"/>
                <w:color w:val="auto"/>
                <w:sz w:val="24"/>
                <w:szCs w:val="24"/>
                <w:lang w:val="en-US" w:eastAsia="zh-CN"/>
              </w:rPr>
              <w:t>后引至</w:t>
            </w:r>
            <w:r>
              <w:rPr>
                <w:rFonts w:hint="eastAsia"/>
                <w:color w:val="auto"/>
                <w:sz w:val="24"/>
                <w:szCs w:val="24"/>
              </w:rPr>
              <w:t>1套二级活性炭吸附装置</w:t>
            </w:r>
            <w:r>
              <w:rPr>
                <w:rFonts w:hint="eastAsia" w:ascii="Times New Roman" w:hAnsi="Times New Roman" w:eastAsia="宋体" w:cs="Times New Roman"/>
                <w:color w:val="auto"/>
                <w:sz w:val="24"/>
                <w:szCs w:val="24"/>
                <w:lang w:val="en-US" w:eastAsia="zh-CN"/>
              </w:rPr>
              <w:t>，处理后通过楼顶专用排气筒排放</w:t>
            </w:r>
          </w:p>
        </w:tc>
        <w:tc>
          <w:tcPr>
            <w:tcW w:w="1748" w:type="pct"/>
            <w:shd w:val="clear" w:color="auto" w:fill="auto"/>
            <w:vAlign w:val="center"/>
          </w:tcPr>
          <w:p w14:paraId="6300EA6E">
            <w:pPr>
              <w:spacing w:line="240" w:lineRule="auto"/>
              <w:ind w:firstLine="0" w:firstLineChars="0"/>
              <w:jc w:val="center"/>
              <w:rPr>
                <w:rFonts w:ascii="Times New Roman" w:hAnsi="Times New Roman" w:eastAsia="宋体" w:cs="Times New Roman"/>
                <w:color w:val="auto"/>
                <w:kern w:val="2"/>
                <w:sz w:val="24"/>
                <w:szCs w:val="24"/>
                <w:lang w:val="en-US" w:eastAsia="zh-CN" w:bidi="ar-SA"/>
              </w:rPr>
            </w:pPr>
            <w:r>
              <w:rPr>
                <w:rFonts w:hint="eastAsia"/>
                <w:color w:val="auto"/>
                <w:sz w:val="24"/>
                <w:szCs w:val="24"/>
              </w:rPr>
              <w:t>《制药工业大气污染物排放标准》（GB37823-2019）表</w:t>
            </w:r>
            <w:r>
              <w:rPr>
                <w:rFonts w:hint="eastAsia"/>
                <w:color w:val="auto"/>
                <w:sz w:val="24"/>
                <w:szCs w:val="24"/>
                <w:lang w:val="en-US" w:eastAsia="zh-CN"/>
              </w:rPr>
              <w:t>2特别</w:t>
            </w:r>
            <w:r>
              <w:rPr>
                <w:rFonts w:hint="eastAsia"/>
                <w:color w:val="auto"/>
                <w:sz w:val="24"/>
                <w:szCs w:val="24"/>
              </w:rPr>
              <w:t>排放限值及《</w:t>
            </w:r>
            <w:r>
              <w:rPr>
                <w:rFonts w:hint="eastAsia"/>
                <w:color w:val="auto"/>
                <w:sz w:val="24"/>
                <w:szCs w:val="24"/>
                <w:lang w:eastAsia="zh-CN"/>
              </w:rPr>
              <w:t>河南省重污染天气通用行业应急减排措施制定技术指南（2024年修订版）</w:t>
            </w:r>
            <w:r>
              <w:rPr>
                <w:rFonts w:hint="eastAsia"/>
                <w:color w:val="auto"/>
                <w:sz w:val="24"/>
                <w:szCs w:val="24"/>
              </w:rPr>
              <w:t>》</w:t>
            </w:r>
          </w:p>
        </w:tc>
      </w:tr>
      <w:tr w14:paraId="6D22F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93" w:type="pct"/>
            <w:vMerge w:val="continue"/>
            <w:vAlign w:val="center"/>
          </w:tcPr>
          <w:p w14:paraId="12DE2BBC">
            <w:pPr>
              <w:spacing w:line="240" w:lineRule="auto"/>
              <w:ind w:firstLine="0" w:firstLineChars="0"/>
              <w:jc w:val="center"/>
              <w:rPr>
                <w:color w:val="auto"/>
                <w:sz w:val="24"/>
                <w:szCs w:val="24"/>
              </w:rPr>
            </w:pPr>
          </w:p>
        </w:tc>
        <w:tc>
          <w:tcPr>
            <w:tcW w:w="878" w:type="pct"/>
            <w:shd w:val="clear" w:color="auto" w:fill="auto"/>
            <w:vAlign w:val="center"/>
          </w:tcPr>
          <w:p w14:paraId="53AFE0BB">
            <w:pPr>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Cs/>
                <w:kern w:val="0"/>
                <w:sz w:val="24"/>
                <w:szCs w:val="24"/>
                <w:lang w:val="en-US" w:eastAsia="zh-CN" w:bidi="ar"/>
              </w:rPr>
            </w:pPr>
            <w:r>
              <w:rPr>
                <w:rFonts w:hint="eastAsia"/>
                <w:bCs/>
                <w:kern w:val="0"/>
                <w:sz w:val="24"/>
                <w:szCs w:val="24"/>
                <w:lang w:val="en-US" w:eastAsia="zh-CN" w:bidi="ar"/>
              </w:rPr>
              <w:t>食堂</w:t>
            </w:r>
          </w:p>
        </w:tc>
        <w:tc>
          <w:tcPr>
            <w:tcW w:w="574" w:type="pct"/>
            <w:vAlign w:val="center"/>
          </w:tcPr>
          <w:p w14:paraId="470EB73D">
            <w:pPr>
              <w:spacing w:line="240" w:lineRule="auto"/>
              <w:ind w:firstLine="0" w:firstLineChars="0"/>
              <w:jc w:val="center"/>
              <w:rPr>
                <w:rFonts w:hint="eastAsia" w:eastAsia="宋体"/>
                <w:color w:val="auto"/>
                <w:sz w:val="24"/>
                <w:szCs w:val="24"/>
                <w:lang w:val="en-US" w:eastAsia="zh-CN"/>
              </w:rPr>
            </w:pPr>
            <w:r>
              <w:rPr>
                <w:rFonts w:hint="eastAsia"/>
                <w:color w:val="auto"/>
                <w:sz w:val="24"/>
                <w:szCs w:val="24"/>
                <w:lang w:val="en-US" w:eastAsia="zh-CN"/>
              </w:rPr>
              <w:t>油烟</w:t>
            </w:r>
          </w:p>
        </w:tc>
        <w:tc>
          <w:tcPr>
            <w:tcW w:w="1505" w:type="pct"/>
            <w:shd w:val="clear" w:color="auto" w:fill="auto"/>
            <w:vAlign w:val="center"/>
          </w:tcPr>
          <w:p w14:paraId="50C9F6D5">
            <w:pPr>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szCs w:val="24"/>
              </w:rPr>
              <w:t>经过油烟净化装置处理后通过设置于屋顶的</w:t>
            </w:r>
            <w:r>
              <w:rPr>
                <w:rFonts w:hint="eastAsia"/>
                <w:color w:val="auto"/>
                <w:sz w:val="24"/>
                <w:szCs w:val="24"/>
                <w:lang w:val="en-US" w:eastAsia="zh-CN"/>
              </w:rPr>
              <w:t>专用烟道</w:t>
            </w:r>
            <w:r>
              <w:rPr>
                <w:rFonts w:hint="eastAsia"/>
                <w:color w:val="auto"/>
                <w:sz w:val="24"/>
                <w:szCs w:val="24"/>
              </w:rPr>
              <w:t>排放</w:t>
            </w:r>
          </w:p>
        </w:tc>
        <w:tc>
          <w:tcPr>
            <w:tcW w:w="1748" w:type="pct"/>
            <w:shd w:val="clear" w:color="auto" w:fill="auto"/>
            <w:vAlign w:val="center"/>
          </w:tcPr>
          <w:p w14:paraId="25C36A90">
            <w:pPr>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szCs w:val="24"/>
                <w:lang w:val="en-US" w:eastAsia="zh-CN"/>
              </w:rPr>
              <w:t>河南省地方标准</w:t>
            </w:r>
            <w:r>
              <w:rPr>
                <w:rFonts w:hint="eastAsia"/>
                <w:color w:val="auto"/>
                <w:sz w:val="24"/>
                <w:szCs w:val="24"/>
              </w:rPr>
              <w:fldChar w:fldCharType="begin"/>
            </w:r>
            <w:r>
              <w:rPr>
                <w:rFonts w:hint="eastAsia"/>
                <w:color w:val="auto"/>
                <w:sz w:val="24"/>
                <w:szCs w:val="24"/>
              </w:rPr>
              <w:instrText xml:space="preserve"> HYPERLINK "http://oss.henan.gov.cn/sbgt-wztipt/attachment/sthjt/portal/cn/rootimages/2018/06/14/20180614153132709.pdf" \t "https://sthjt.henan.gov.cn/2018/06-14/_blank" </w:instrText>
            </w:r>
            <w:r>
              <w:rPr>
                <w:rFonts w:hint="eastAsia"/>
                <w:color w:val="auto"/>
                <w:sz w:val="24"/>
                <w:szCs w:val="24"/>
              </w:rPr>
              <w:fldChar w:fldCharType="separate"/>
            </w:r>
            <w:r>
              <w:rPr>
                <w:rFonts w:hint="eastAsia"/>
                <w:color w:val="auto"/>
                <w:sz w:val="24"/>
                <w:szCs w:val="24"/>
                <w:lang w:eastAsia="zh-CN"/>
              </w:rPr>
              <w:t>《</w:t>
            </w:r>
            <w:r>
              <w:rPr>
                <w:rFonts w:hint="eastAsia"/>
                <w:color w:val="auto"/>
                <w:sz w:val="24"/>
                <w:szCs w:val="24"/>
              </w:rPr>
              <w:t>餐饮业油烟污染物排放标准</w:t>
            </w:r>
            <w:r>
              <w:rPr>
                <w:rFonts w:hint="eastAsia"/>
                <w:color w:val="auto"/>
                <w:sz w:val="24"/>
                <w:szCs w:val="24"/>
                <w:lang w:eastAsia="zh-CN"/>
              </w:rPr>
              <w:t>》</w:t>
            </w:r>
            <w:r>
              <w:rPr>
                <w:rFonts w:hint="eastAsia"/>
                <w:color w:val="auto"/>
                <w:sz w:val="24"/>
                <w:szCs w:val="24"/>
              </w:rPr>
              <w:fldChar w:fldCharType="end"/>
            </w:r>
            <w:r>
              <w:rPr>
                <w:rFonts w:hint="eastAsia"/>
                <w:color w:val="auto"/>
                <w:sz w:val="24"/>
                <w:szCs w:val="24"/>
              </w:rPr>
              <w:t>（DB41/1604—2018）</w:t>
            </w:r>
          </w:p>
        </w:tc>
      </w:tr>
      <w:tr w14:paraId="7ABDC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37" w:hRule="atLeast"/>
          <w:jc w:val="center"/>
        </w:trPr>
        <w:tc>
          <w:tcPr>
            <w:tcW w:w="293" w:type="pct"/>
            <w:vMerge w:val="restart"/>
            <w:vAlign w:val="center"/>
          </w:tcPr>
          <w:p w14:paraId="57C07FA2">
            <w:pPr>
              <w:spacing w:line="240" w:lineRule="auto"/>
              <w:ind w:firstLine="0" w:firstLineChars="0"/>
              <w:jc w:val="center"/>
              <w:rPr>
                <w:color w:val="auto"/>
                <w:sz w:val="24"/>
                <w:szCs w:val="24"/>
              </w:rPr>
            </w:pPr>
            <w:r>
              <w:rPr>
                <w:rFonts w:hint="eastAsia"/>
                <w:color w:val="auto"/>
                <w:sz w:val="24"/>
                <w:szCs w:val="24"/>
              </w:rPr>
              <w:t>地表水环境</w:t>
            </w:r>
          </w:p>
        </w:tc>
        <w:tc>
          <w:tcPr>
            <w:tcW w:w="878" w:type="pct"/>
            <w:vAlign w:val="center"/>
          </w:tcPr>
          <w:p w14:paraId="38F3658E">
            <w:pPr>
              <w:spacing w:line="240" w:lineRule="auto"/>
              <w:ind w:firstLine="0" w:firstLineChars="0"/>
              <w:jc w:val="center"/>
              <w:rPr>
                <w:rFonts w:hint="default" w:eastAsia="宋体"/>
                <w:color w:val="auto"/>
                <w:sz w:val="24"/>
                <w:szCs w:val="24"/>
                <w:lang w:val="en-US" w:eastAsia="zh-CN"/>
              </w:rPr>
            </w:pPr>
            <w:r>
              <w:rPr>
                <w:rFonts w:hint="eastAsia"/>
                <w:color w:val="auto"/>
                <w:sz w:val="24"/>
                <w:szCs w:val="24"/>
                <w:lang w:val="en-US" w:eastAsia="zh-CN"/>
              </w:rPr>
              <w:t>综合生产废水（包括</w:t>
            </w:r>
            <w:r>
              <w:rPr>
                <w:rFonts w:hint="eastAsia"/>
                <w:color w:val="auto"/>
                <w:sz w:val="24"/>
                <w:szCs w:val="24"/>
              </w:rPr>
              <w:t>药材清洗、润药</w:t>
            </w:r>
            <w:r>
              <w:rPr>
                <w:rFonts w:hint="eastAsia"/>
                <w:color w:val="auto"/>
                <w:sz w:val="24"/>
                <w:szCs w:val="24"/>
                <w:lang w:val="en-US" w:eastAsia="zh-CN"/>
              </w:rPr>
              <w:t>废</w:t>
            </w:r>
            <w:r>
              <w:rPr>
                <w:rFonts w:hint="eastAsia"/>
                <w:color w:val="auto"/>
                <w:sz w:val="24"/>
                <w:szCs w:val="24"/>
              </w:rPr>
              <w:t>水</w:t>
            </w:r>
            <w:r>
              <w:rPr>
                <w:color w:val="auto"/>
                <w:sz w:val="24"/>
                <w:szCs w:val="24"/>
              </w:rPr>
              <w:t>、</w:t>
            </w:r>
            <w:r>
              <w:rPr>
                <w:rFonts w:hint="eastAsia"/>
                <w:color w:val="auto"/>
                <w:sz w:val="24"/>
                <w:szCs w:val="24"/>
                <w:lang w:val="en-US" w:eastAsia="zh-CN"/>
              </w:rPr>
              <w:t>煮提废水、发酵工序废水、毒性饮片炮制废水、</w:t>
            </w:r>
            <w:r>
              <w:rPr>
                <w:color w:val="auto"/>
                <w:sz w:val="24"/>
                <w:szCs w:val="24"/>
              </w:rPr>
              <w:t>设备清洗废水、</w:t>
            </w:r>
            <w:r>
              <w:rPr>
                <w:rFonts w:hint="eastAsia"/>
                <w:color w:val="auto"/>
                <w:sz w:val="24"/>
                <w:szCs w:val="24"/>
                <w:lang w:val="en-US" w:eastAsia="zh-CN"/>
              </w:rPr>
              <w:t>地面清洗废水、纯水</w:t>
            </w:r>
            <w:r>
              <w:rPr>
                <w:color w:val="auto"/>
                <w:sz w:val="24"/>
                <w:szCs w:val="24"/>
              </w:rPr>
              <w:t>制水系统排水</w:t>
            </w:r>
            <w:r>
              <w:rPr>
                <w:rFonts w:hint="eastAsia"/>
                <w:color w:val="auto"/>
                <w:sz w:val="24"/>
                <w:szCs w:val="24"/>
                <w:lang w:val="en-US" w:eastAsia="zh-CN"/>
              </w:rPr>
              <w:t>）</w:t>
            </w:r>
          </w:p>
        </w:tc>
        <w:tc>
          <w:tcPr>
            <w:tcW w:w="574" w:type="pct"/>
            <w:vAlign w:val="center"/>
          </w:tcPr>
          <w:p w14:paraId="70AA607B">
            <w:pPr>
              <w:spacing w:line="240" w:lineRule="auto"/>
              <w:ind w:firstLine="0" w:firstLineChars="0"/>
              <w:jc w:val="center"/>
              <w:rPr>
                <w:rFonts w:cs="宋体"/>
                <w:color w:val="auto"/>
                <w:sz w:val="24"/>
                <w:szCs w:val="24"/>
              </w:rPr>
            </w:pPr>
            <w:r>
              <w:rPr>
                <w:rFonts w:hint="eastAsia"/>
                <w:snapToGrid w:val="0"/>
                <w:color w:val="auto"/>
                <w:sz w:val="24"/>
                <w:szCs w:val="24"/>
                <w:lang w:val="en-US" w:eastAsia="zh-CN"/>
              </w:rPr>
              <w:t>pH、色度、</w:t>
            </w:r>
            <w:r>
              <w:rPr>
                <w:rFonts w:hint="eastAsia"/>
                <w:snapToGrid w:val="0"/>
                <w:color w:val="auto"/>
                <w:sz w:val="24"/>
                <w:szCs w:val="24"/>
              </w:rPr>
              <w:t>COD、BOD</w:t>
            </w:r>
            <w:r>
              <w:rPr>
                <w:rFonts w:hint="eastAsia"/>
                <w:snapToGrid w:val="0"/>
                <w:color w:val="auto"/>
                <w:sz w:val="24"/>
                <w:szCs w:val="24"/>
                <w:vertAlign w:val="subscript"/>
              </w:rPr>
              <w:t>5</w:t>
            </w:r>
            <w:r>
              <w:rPr>
                <w:rFonts w:hint="eastAsia"/>
                <w:snapToGrid w:val="0"/>
                <w:color w:val="auto"/>
                <w:sz w:val="24"/>
                <w:szCs w:val="24"/>
              </w:rPr>
              <w:t>、氨氮、SS</w:t>
            </w:r>
          </w:p>
        </w:tc>
        <w:tc>
          <w:tcPr>
            <w:tcW w:w="1505" w:type="pct"/>
            <w:vAlign w:val="center"/>
          </w:tcPr>
          <w:p w14:paraId="6E50C05A">
            <w:pPr>
              <w:spacing w:line="240" w:lineRule="auto"/>
              <w:ind w:firstLine="0" w:firstLineChars="0"/>
              <w:rPr>
                <w:color w:val="auto"/>
                <w:sz w:val="24"/>
                <w:szCs w:val="24"/>
              </w:rPr>
            </w:pPr>
            <w:r>
              <w:rPr>
                <w:rFonts w:hint="eastAsia"/>
                <w:color w:val="auto"/>
                <w:sz w:val="24"/>
                <w:szCs w:val="24"/>
                <w:lang w:val="en-US" w:eastAsia="zh-CN"/>
              </w:rPr>
              <w:t>排入厂区</w:t>
            </w:r>
            <w:r>
              <w:rPr>
                <w:rFonts w:hint="default"/>
                <w:color w:val="auto"/>
                <w:sz w:val="24"/>
                <w:szCs w:val="24"/>
              </w:rPr>
              <w:t>污水处理站处理</w:t>
            </w:r>
            <w:r>
              <w:rPr>
                <w:rFonts w:hint="eastAsia"/>
                <w:color w:val="auto"/>
                <w:sz w:val="24"/>
                <w:szCs w:val="24"/>
                <w:lang w:eastAsia="zh-CN"/>
              </w:rPr>
              <w:t>（</w:t>
            </w:r>
            <w:r>
              <w:rPr>
                <w:rFonts w:hint="eastAsia"/>
                <w:color w:val="auto"/>
                <w:sz w:val="24"/>
                <w:szCs w:val="24"/>
                <w:lang w:val="en-US" w:eastAsia="zh-CN"/>
              </w:rPr>
              <w:t>采用“混凝+UASB+生物接触氧化”工艺处理，设计处理能力210m</w:t>
            </w:r>
            <w:r>
              <w:rPr>
                <w:rFonts w:hint="eastAsia"/>
                <w:color w:val="auto"/>
                <w:sz w:val="24"/>
                <w:szCs w:val="24"/>
                <w:vertAlign w:val="superscript"/>
                <w:lang w:val="en-US" w:eastAsia="zh-CN"/>
              </w:rPr>
              <w:t>3</w:t>
            </w:r>
            <w:r>
              <w:rPr>
                <w:rFonts w:hint="eastAsia"/>
                <w:color w:val="auto"/>
                <w:sz w:val="24"/>
                <w:szCs w:val="24"/>
                <w:lang w:val="en-US" w:eastAsia="zh-CN"/>
              </w:rPr>
              <w:t>/d</w:t>
            </w:r>
            <w:r>
              <w:rPr>
                <w:rFonts w:hint="eastAsia"/>
                <w:color w:val="auto"/>
                <w:sz w:val="24"/>
                <w:szCs w:val="24"/>
                <w:lang w:eastAsia="zh-CN"/>
              </w:rPr>
              <w:t>）</w:t>
            </w:r>
          </w:p>
        </w:tc>
        <w:tc>
          <w:tcPr>
            <w:tcW w:w="1748" w:type="pct"/>
            <w:vMerge w:val="restart"/>
            <w:vAlign w:val="center"/>
          </w:tcPr>
          <w:p w14:paraId="576C3133">
            <w:pPr>
              <w:spacing w:line="240" w:lineRule="auto"/>
              <w:ind w:firstLine="0" w:firstLineChars="0"/>
              <w:rPr>
                <w:color w:val="auto"/>
                <w:sz w:val="24"/>
                <w:szCs w:val="24"/>
              </w:rPr>
            </w:pPr>
            <w:r>
              <w:rPr>
                <w:rFonts w:hint="eastAsia"/>
                <w:color w:val="auto"/>
                <w:sz w:val="24"/>
                <w:szCs w:val="24"/>
                <w:lang w:val="zh-CN"/>
              </w:rPr>
              <w:t>《中药类制药工业水污染物排放标准》（GB21906-2008）表2标准及</w:t>
            </w:r>
            <w:r>
              <w:rPr>
                <w:rFonts w:hint="eastAsia"/>
                <w:color w:val="auto"/>
                <w:sz w:val="24"/>
                <w:szCs w:val="24"/>
                <w:lang w:val="en-US" w:eastAsia="zh-CN"/>
              </w:rPr>
              <w:t>南乐县</w:t>
            </w:r>
            <w:r>
              <w:rPr>
                <w:rFonts w:hint="default"/>
                <w:color w:val="auto"/>
                <w:sz w:val="24"/>
                <w:szCs w:val="24"/>
                <w:lang w:val="en-US" w:eastAsia="zh-CN"/>
              </w:rPr>
              <w:t>污水处理厂纳管标准</w:t>
            </w:r>
          </w:p>
        </w:tc>
      </w:tr>
      <w:tr w14:paraId="27E31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93" w:type="pct"/>
            <w:vMerge w:val="continue"/>
            <w:vAlign w:val="center"/>
          </w:tcPr>
          <w:p w14:paraId="3C161277">
            <w:pPr>
              <w:spacing w:line="240" w:lineRule="auto"/>
              <w:ind w:firstLine="0" w:firstLineChars="0"/>
              <w:jc w:val="center"/>
              <w:rPr>
                <w:color w:val="auto"/>
                <w:sz w:val="24"/>
                <w:szCs w:val="24"/>
              </w:rPr>
            </w:pPr>
          </w:p>
        </w:tc>
        <w:tc>
          <w:tcPr>
            <w:tcW w:w="878" w:type="pct"/>
            <w:vAlign w:val="center"/>
          </w:tcPr>
          <w:p w14:paraId="59FB3C9E">
            <w:pPr>
              <w:spacing w:line="240" w:lineRule="auto"/>
              <w:ind w:firstLine="0" w:firstLineChars="0"/>
              <w:jc w:val="center"/>
              <w:rPr>
                <w:rFonts w:hint="eastAsia" w:eastAsia="宋体" w:cs="宋体"/>
                <w:color w:val="auto"/>
                <w:sz w:val="24"/>
                <w:szCs w:val="24"/>
                <w:lang w:val="en-US" w:eastAsia="zh-CN"/>
              </w:rPr>
            </w:pPr>
            <w:r>
              <w:rPr>
                <w:rFonts w:hint="eastAsia" w:cs="宋体"/>
                <w:color w:val="auto"/>
                <w:sz w:val="24"/>
                <w:szCs w:val="24"/>
                <w:lang w:val="en-US" w:eastAsia="zh-CN"/>
              </w:rPr>
              <w:t>生活污水</w:t>
            </w:r>
          </w:p>
        </w:tc>
        <w:tc>
          <w:tcPr>
            <w:tcW w:w="574" w:type="pct"/>
            <w:vAlign w:val="center"/>
          </w:tcPr>
          <w:p w14:paraId="54B93B01">
            <w:pPr>
              <w:spacing w:line="240" w:lineRule="auto"/>
              <w:ind w:firstLine="0" w:firstLineChars="0"/>
              <w:jc w:val="center"/>
              <w:rPr>
                <w:rFonts w:cs="宋体"/>
                <w:color w:val="auto"/>
                <w:sz w:val="24"/>
                <w:szCs w:val="24"/>
              </w:rPr>
            </w:pPr>
            <w:r>
              <w:rPr>
                <w:rFonts w:hint="eastAsia"/>
                <w:snapToGrid w:val="0"/>
                <w:color w:val="auto"/>
                <w:sz w:val="24"/>
                <w:szCs w:val="24"/>
                <w:lang w:val="en-US" w:eastAsia="zh-CN"/>
              </w:rPr>
              <w:t>pH、</w:t>
            </w:r>
            <w:r>
              <w:rPr>
                <w:rFonts w:hint="eastAsia"/>
                <w:snapToGrid w:val="0"/>
                <w:color w:val="auto"/>
                <w:sz w:val="24"/>
                <w:szCs w:val="24"/>
              </w:rPr>
              <w:t>COD、BOD</w:t>
            </w:r>
            <w:r>
              <w:rPr>
                <w:rFonts w:hint="eastAsia"/>
                <w:snapToGrid w:val="0"/>
                <w:color w:val="auto"/>
                <w:sz w:val="24"/>
                <w:szCs w:val="24"/>
                <w:vertAlign w:val="subscript"/>
              </w:rPr>
              <w:t>5</w:t>
            </w:r>
            <w:r>
              <w:rPr>
                <w:rFonts w:hint="eastAsia"/>
                <w:snapToGrid w:val="0"/>
                <w:color w:val="auto"/>
                <w:sz w:val="24"/>
                <w:szCs w:val="24"/>
              </w:rPr>
              <w:t>、氨氮、SS</w:t>
            </w:r>
          </w:p>
        </w:tc>
        <w:tc>
          <w:tcPr>
            <w:tcW w:w="1505" w:type="pct"/>
            <w:vAlign w:val="center"/>
          </w:tcPr>
          <w:p w14:paraId="5C25BBC1">
            <w:pPr>
              <w:spacing w:line="240" w:lineRule="auto"/>
              <w:ind w:firstLine="0" w:firstLineChars="0"/>
              <w:rPr>
                <w:rFonts w:hint="eastAsia" w:eastAsia="宋体" w:cs="宋体"/>
                <w:color w:val="auto"/>
                <w:sz w:val="24"/>
                <w:szCs w:val="24"/>
                <w:lang w:val="en-US" w:eastAsia="zh-CN"/>
              </w:rPr>
            </w:pPr>
            <w:r>
              <w:rPr>
                <w:rFonts w:hint="eastAsia" w:eastAsia="宋体" w:cs="宋体"/>
                <w:color w:val="auto"/>
                <w:sz w:val="24"/>
                <w:szCs w:val="24"/>
                <w:lang w:val="en-US" w:eastAsia="zh-CN"/>
              </w:rPr>
              <w:t>经化粪池处理后排入厂区污水处理站</w:t>
            </w:r>
          </w:p>
        </w:tc>
        <w:tc>
          <w:tcPr>
            <w:tcW w:w="1748" w:type="pct"/>
            <w:vMerge w:val="continue"/>
            <w:vAlign w:val="center"/>
          </w:tcPr>
          <w:p w14:paraId="753FAD7A">
            <w:pPr>
              <w:spacing w:line="240" w:lineRule="auto"/>
              <w:ind w:firstLine="0" w:firstLineChars="0"/>
              <w:rPr>
                <w:rFonts w:cs="宋体"/>
                <w:color w:val="auto"/>
                <w:sz w:val="24"/>
                <w:szCs w:val="24"/>
              </w:rPr>
            </w:pPr>
          </w:p>
        </w:tc>
      </w:tr>
      <w:tr w14:paraId="34998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93" w:type="pct"/>
            <w:vAlign w:val="center"/>
          </w:tcPr>
          <w:p w14:paraId="077FF9CF">
            <w:pPr>
              <w:spacing w:line="240" w:lineRule="auto"/>
              <w:ind w:firstLine="0" w:firstLineChars="0"/>
              <w:jc w:val="center"/>
              <w:rPr>
                <w:color w:val="auto"/>
                <w:sz w:val="24"/>
                <w:szCs w:val="24"/>
              </w:rPr>
            </w:pPr>
            <w:r>
              <w:rPr>
                <w:rFonts w:hint="eastAsia"/>
                <w:color w:val="auto"/>
                <w:sz w:val="24"/>
                <w:szCs w:val="24"/>
              </w:rPr>
              <w:t>声环境</w:t>
            </w:r>
          </w:p>
        </w:tc>
        <w:tc>
          <w:tcPr>
            <w:tcW w:w="878" w:type="pct"/>
            <w:vAlign w:val="center"/>
          </w:tcPr>
          <w:p w14:paraId="23F706D7">
            <w:pPr>
              <w:spacing w:line="240" w:lineRule="auto"/>
              <w:ind w:firstLine="0" w:firstLineChars="0"/>
              <w:jc w:val="center"/>
              <w:rPr>
                <w:color w:val="auto"/>
                <w:sz w:val="24"/>
                <w:szCs w:val="24"/>
              </w:rPr>
            </w:pPr>
            <w:r>
              <w:rPr>
                <w:rFonts w:hint="eastAsia"/>
                <w:color w:val="auto"/>
                <w:sz w:val="24"/>
                <w:szCs w:val="24"/>
              </w:rPr>
              <w:t>生产设备</w:t>
            </w:r>
          </w:p>
        </w:tc>
        <w:tc>
          <w:tcPr>
            <w:tcW w:w="574" w:type="pct"/>
            <w:vAlign w:val="center"/>
          </w:tcPr>
          <w:p w14:paraId="7C6ABDED">
            <w:pPr>
              <w:spacing w:line="240" w:lineRule="auto"/>
              <w:ind w:firstLine="0" w:firstLineChars="0"/>
              <w:jc w:val="center"/>
              <w:rPr>
                <w:color w:val="auto"/>
                <w:sz w:val="24"/>
                <w:szCs w:val="24"/>
              </w:rPr>
            </w:pPr>
            <w:r>
              <w:rPr>
                <w:rFonts w:hint="eastAsia"/>
                <w:color w:val="auto"/>
                <w:sz w:val="24"/>
                <w:szCs w:val="24"/>
              </w:rPr>
              <w:t>噪声</w:t>
            </w:r>
          </w:p>
        </w:tc>
        <w:tc>
          <w:tcPr>
            <w:tcW w:w="1505" w:type="pct"/>
            <w:vAlign w:val="center"/>
          </w:tcPr>
          <w:p w14:paraId="0E612BA9">
            <w:pPr>
              <w:spacing w:line="240" w:lineRule="auto"/>
              <w:ind w:firstLine="0" w:firstLineChars="0"/>
              <w:rPr>
                <w:color w:val="auto"/>
                <w:sz w:val="24"/>
                <w:szCs w:val="24"/>
              </w:rPr>
            </w:pPr>
            <w:r>
              <w:rPr>
                <w:color w:val="auto"/>
                <w:sz w:val="24"/>
                <w:szCs w:val="24"/>
              </w:rPr>
              <w:t>加固减振，车间屏蔽，距离衰减</w:t>
            </w:r>
          </w:p>
        </w:tc>
        <w:tc>
          <w:tcPr>
            <w:tcW w:w="1748" w:type="pct"/>
            <w:vAlign w:val="center"/>
          </w:tcPr>
          <w:p w14:paraId="7D6E96E6">
            <w:pPr>
              <w:spacing w:line="240" w:lineRule="auto"/>
              <w:ind w:firstLine="0" w:firstLineChars="0"/>
              <w:rPr>
                <w:color w:val="auto"/>
                <w:sz w:val="24"/>
                <w:szCs w:val="24"/>
              </w:rPr>
            </w:pPr>
            <w:r>
              <w:rPr>
                <w:color w:val="auto"/>
                <w:sz w:val="24"/>
                <w:szCs w:val="24"/>
              </w:rPr>
              <w:t>《工业企业厂界环境噪声排放标准》（GB12348-2008）</w:t>
            </w:r>
            <w:r>
              <w:rPr>
                <w:rFonts w:hint="eastAsia"/>
                <w:color w:val="auto"/>
                <w:sz w:val="24"/>
                <w:szCs w:val="24"/>
              </w:rPr>
              <w:t>3</w:t>
            </w:r>
            <w:r>
              <w:rPr>
                <w:color w:val="auto"/>
                <w:sz w:val="24"/>
                <w:szCs w:val="24"/>
              </w:rPr>
              <w:t>类标准</w:t>
            </w:r>
          </w:p>
        </w:tc>
      </w:tr>
      <w:tr w14:paraId="253E5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93" w:type="pct"/>
            <w:vAlign w:val="center"/>
          </w:tcPr>
          <w:p w14:paraId="65F3C7BA">
            <w:pPr>
              <w:spacing w:line="240" w:lineRule="auto"/>
              <w:ind w:firstLine="0" w:firstLineChars="0"/>
              <w:jc w:val="center"/>
              <w:rPr>
                <w:color w:val="auto"/>
                <w:sz w:val="24"/>
                <w:szCs w:val="24"/>
              </w:rPr>
            </w:pPr>
            <w:r>
              <w:rPr>
                <w:rFonts w:hint="eastAsia"/>
                <w:color w:val="auto"/>
                <w:sz w:val="24"/>
                <w:szCs w:val="24"/>
              </w:rPr>
              <w:t>电磁辐射</w:t>
            </w:r>
          </w:p>
        </w:tc>
        <w:tc>
          <w:tcPr>
            <w:tcW w:w="4706" w:type="pct"/>
            <w:gridSpan w:val="4"/>
            <w:vAlign w:val="center"/>
          </w:tcPr>
          <w:p w14:paraId="6633C5F0">
            <w:pPr>
              <w:spacing w:line="240" w:lineRule="auto"/>
              <w:ind w:firstLine="0" w:firstLineChars="0"/>
              <w:jc w:val="center"/>
              <w:rPr>
                <w:color w:val="auto"/>
                <w:sz w:val="24"/>
                <w:szCs w:val="24"/>
              </w:rPr>
            </w:pPr>
            <w:r>
              <w:rPr>
                <w:rFonts w:hint="eastAsia"/>
                <w:color w:val="auto"/>
                <w:sz w:val="24"/>
                <w:szCs w:val="24"/>
              </w:rPr>
              <w:t>无</w:t>
            </w:r>
          </w:p>
        </w:tc>
      </w:tr>
      <w:tr w14:paraId="531D9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atLeast"/>
          <w:jc w:val="center"/>
        </w:trPr>
        <w:tc>
          <w:tcPr>
            <w:tcW w:w="293" w:type="pct"/>
            <w:vMerge w:val="restart"/>
            <w:vAlign w:val="center"/>
          </w:tcPr>
          <w:p w14:paraId="692AC1A2">
            <w:pPr>
              <w:spacing w:line="240" w:lineRule="auto"/>
              <w:ind w:firstLine="0" w:firstLineChars="0"/>
              <w:jc w:val="center"/>
              <w:rPr>
                <w:color w:val="auto"/>
                <w:sz w:val="24"/>
                <w:szCs w:val="24"/>
              </w:rPr>
            </w:pPr>
            <w:r>
              <w:rPr>
                <w:rFonts w:hint="eastAsia"/>
                <w:color w:val="auto"/>
                <w:sz w:val="24"/>
                <w:szCs w:val="24"/>
              </w:rPr>
              <w:t>固体废物</w:t>
            </w:r>
          </w:p>
        </w:tc>
        <w:tc>
          <w:tcPr>
            <w:tcW w:w="878" w:type="pct"/>
            <w:vAlign w:val="center"/>
          </w:tcPr>
          <w:p w14:paraId="3771EC03">
            <w:pPr>
              <w:spacing w:line="240" w:lineRule="auto"/>
              <w:ind w:firstLine="0" w:firstLineChars="0"/>
              <w:rPr>
                <w:rFonts w:hint="eastAsia" w:eastAsia="宋体"/>
                <w:color w:val="auto"/>
                <w:sz w:val="24"/>
                <w:szCs w:val="24"/>
                <w:lang w:eastAsia="zh-CN"/>
              </w:rPr>
            </w:pPr>
            <w:r>
              <w:rPr>
                <w:rFonts w:hint="eastAsia"/>
                <w:color w:val="auto"/>
                <w:sz w:val="24"/>
                <w:szCs w:val="24"/>
                <w:lang w:val="en-US" w:eastAsia="zh-CN"/>
              </w:rPr>
              <w:t>一般固废</w:t>
            </w:r>
          </w:p>
        </w:tc>
        <w:tc>
          <w:tcPr>
            <w:tcW w:w="2079" w:type="pct"/>
            <w:gridSpan w:val="2"/>
            <w:tcBorders>
              <w:top w:val="single" w:color="auto" w:sz="4" w:space="0"/>
              <w:left w:val="single" w:color="auto" w:sz="4" w:space="0"/>
              <w:bottom w:val="single" w:color="auto" w:sz="4" w:space="0"/>
            </w:tcBorders>
            <w:vAlign w:val="center"/>
          </w:tcPr>
          <w:p w14:paraId="261CA671">
            <w:pPr>
              <w:spacing w:line="240" w:lineRule="auto"/>
              <w:ind w:firstLine="0" w:firstLineChars="0"/>
              <w:rPr>
                <w:rFonts w:hint="default" w:eastAsia="宋体"/>
                <w:color w:val="auto"/>
                <w:sz w:val="24"/>
                <w:szCs w:val="24"/>
                <w:lang w:val="en-US" w:eastAsia="zh-CN"/>
              </w:rPr>
            </w:pPr>
            <w:r>
              <w:rPr>
                <w:rFonts w:hint="eastAsia"/>
                <w:color w:val="auto"/>
                <w:sz w:val="24"/>
                <w:szCs w:val="24"/>
                <w:lang w:val="en-US" w:eastAsia="zh-CN"/>
              </w:rPr>
              <w:t>暂存于一般固废暂存间，定期按照要求进行处置</w:t>
            </w:r>
          </w:p>
        </w:tc>
        <w:tc>
          <w:tcPr>
            <w:tcW w:w="1748" w:type="pct"/>
            <w:vAlign w:val="center"/>
          </w:tcPr>
          <w:p w14:paraId="67B24A02">
            <w:pPr>
              <w:spacing w:line="240" w:lineRule="auto"/>
              <w:ind w:firstLine="0" w:firstLineChars="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参考《一般工业固体废物贮存、处置场污染物控制标准》（GB18599-2020）</w:t>
            </w:r>
          </w:p>
        </w:tc>
      </w:tr>
      <w:tr w14:paraId="7EAB4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93" w:type="pct"/>
            <w:vMerge w:val="continue"/>
            <w:vAlign w:val="center"/>
          </w:tcPr>
          <w:p w14:paraId="7A13F33F">
            <w:pPr>
              <w:spacing w:line="240" w:lineRule="auto"/>
              <w:ind w:firstLine="0" w:firstLineChars="0"/>
              <w:jc w:val="center"/>
              <w:rPr>
                <w:color w:val="auto"/>
                <w:sz w:val="24"/>
                <w:szCs w:val="24"/>
              </w:rPr>
            </w:pPr>
          </w:p>
        </w:tc>
        <w:tc>
          <w:tcPr>
            <w:tcW w:w="878" w:type="pct"/>
            <w:vAlign w:val="center"/>
          </w:tcPr>
          <w:p w14:paraId="7AF310D7">
            <w:pPr>
              <w:spacing w:line="240" w:lineRule="auto"/>
              <w:ind w:firstLine="0" w:firstLineChars="0"/>
              <w:rPr>
                <w:rFonts w:hint="eastAsia" w:eastAsia="宋体"/>
                <w:color w:val="auto"/>
                <w:sz w:val="24"/>
                <w:szCs w:val="24"/>
                <w:lang w:val="en-US" w:eastAsia="zh-CN"/>
              </w:rPr>
            </w:pPr>
            <w:r>
              <w:rPr>
                <w:rFonts w:hint="eastAsia"/>
                <w:color w:val="auto"/>
                <w:sz w:val="24"/>
                <w:szCs w:val="24"/>
                <w:lang w:val="en-US" w:eastAsia="zh-CN"/>
              </w:rPr>
              <w:t>危险固废</w:t>
            </w:r>
          </w:p>
        </w:tc>
        <w:tc>
          <w:tcPr>
            <w:tcW w:w="2079" w:type="pct"/>
            <w:gridSpan w:val="2"/>
            <w:tcBorders>
              <w:top w:val="single" w:color="auto" w:sz="4" w:space="0"/>
              <w:left w:val="single" w:color="auto" w:sz="4" w:space="0"/>
              <w:bottom w:val="single" w:color="auto" w:sz="4" w:space="0"/>
            </w:tcBorders>
            <w:vAlign w:val="center"/>
          </w:tcPr>
          <w:p w14:paraId="119FA526">
            <w:pPr>
              <w:spacing w:line="240" w:lineRule="auto"/>
              <w:ind w:firstLine="0" w:firstLineChars="0"/>
              <w:rPr>
                <w:rFonts w:hint="default" w:eastAsia="宋体"/>
                <w:color w:val="auto"/>
                <w:sz w:val="24"/>
                <w:szCs w:val="24"/>
                <w:lang w:val="en-US" w:eastAsia="zh-CN"/>
              </w:rPr>
            </w:pPr>
            <w:r>
              <w:rPr>
                <w:rFonts w:hint="eastAsia"/>
                <w:color w:val="auto"/>
                <w:sz w:val="24"/>
                <w:szCs w:val="24"/>
                <w:lang w:val="en-US" w:eastAsia="zh-CN"/>
              </w:rPr>
              <w:t>暂存于危废暂存间，定期委托有资质单位处置</w:t>
            </w:r>
          </w:p>
        </w:tc>
        <w:tc>
          <w:tcPr>
            <w:tcW w:w="1748" w:type="pct"/>
            <w:vAlign w:val="center"/>
          </w:tcPr>
          <w:p w14:paraId="591B586D">
            <w:pPr>
              <w:spacing w:line="240" w:lineRule="auto"/>
              <w:ind w:firstLine="0" w:firstLineChars="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《危险废物贮存污染控制标准》（GB18597-2023）</w:t>
            </w:r>
          </w:p>
        </w:tc>
      </w:tr>
      <w:tr w14:paraId="4957E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93" w:type="pct"/>
            <w:vMerge w:val="continue"/>
            <w:vAlign w:val="center"/>
          </w:tcPr>
          <w:p w14:paraId="75504064">
            <w:pPr>
              <w:spacing w:line="240" w:lineRule="auto"/>
              <w:ind w:firstLine="0" w:firstLineChars="0"/>
              <w:jc w:val="center"/>
              <w:rPr>
                <w:color w:val="auto"/>
                <w:sz w:val="24"/>
                <w:szCs w:val="24"/>
              </w:rPr>
            </w:pPr>
          </w:p>
        </w:tc>
        <w:tc>
          <w:tcPr>
            <w:tcW w:w="878" w:type="pct"/>
            <w:vAlign w:val="center"/>
          </w:tcPr>
          <w:p w14:paraId="1B8B5F9C">
            <w:pPr>
              <w:spacing w:line="240" w:lineRule="auto"/>
              <w:ind w:firstLine="0" w:firstLineChars="0"/>
              <w:rPr>
                <w:rFonts w:hint="default"/>
                <w:color w:val="auto"/>
                <w:sz w:val="24"/>
                <w:szCs w:val="24"/>
                <w:lang w:val="en-US" w:eastAsia="zh-CN"/>
              </w:rPr>
            </w:pPr>
            <w:r>
              <w:rPr>
                <w:rFonts w:hint="eastAsia"/>
                <w:color w:val="auto"/>
                <w:sz w:val="24"/>
                <w:szCs w:val="24"/>
                <w:lang w:val="en-US" w:eastAsia="zh-CN"/>
              </w:rPr>
              <w:t>生活垃圾</w:t>
            </w:r>
          </w:p>
        </w:tc>
        <w:tc>
          <w:tcPr>
            <w:tcW w:w="2079" w:type="pct"/>
            <w:gridSpan w:val="2"/>
            <w:tcBorders>
              <w:top w:val="single" w:color="auto" w:sz="4" w:space="0"/>
              <w:left w:val="single" w:color="auto" w:sz="4" w:space="0"/>
              <w:bottom w:val="single" w:color="auto" w:sz="4" w:space="0"/>
            </w:tcBorders>
            <w:vAlign w:val="center"/>
          </w:tcPr>
          <w:p w14:paraId="3098042F">
            <w:pPr>
              <w:spacing w:line="240" w:lineRule="auto"/>
              <w:ind w:firstLine="0" w:firstLineChars="0"/>
              <w:rPr>
                <w:rFonts w:hint="eastAsia"/>
                <w:color w:val="auto"/>
                <w:sz w:val="24"/>
                <w:szCs w:val="24"/>
              </w:rPr>
            </w:pPr>
            <w:r>
              <w:rPr>
                <w:rFonts w:hint="eastAsia"/>
                <w:color w:val="auto"/>
                <w:sz w:val="24"/>
                <w:szCs w:val="24"/>
                <w:lang w:val="en-US" w:eastAsia="zh-CN"/>
              </w:rPr>
              <w:t>设置垃圾桶若干，委托环卫部门拉走处置</w:t>
            </w:r>
          </w:p>
        </w:tc>
        <w:tc>
          <w:tcPr>
            <w:tcW w:w="1748" w:type="pct"/>
            <w:vAlign w:val="center"/>
          </w:tcPr>
          <w:p w14:paraId="48098CA8">
            <w:pPr>
              <w:spacing w:line="240" w:lineRule="auto"/>
              <w:ind w:firstLine="0" w:firstLineChars="0"/>
              <w:rPr>
                <w:rFonts w:hint="eastAsia" w:eastAsia="宋体"/>
                <w:color w:val="auto"/>
                <w:sz w:val="24"/>
                <w:szCs w:val="24"/>
                <w:lang w:val="en-US" w:eastAsia="zh-CN"/>
              </w:rPr>
            </w:pPr>
            <w:r>
              <w:rPr>
                <w:rFonts w:hint="eastAsia"/>
                <w:color w:val="auto"/>
                <w:sz w:val="24"/>
                <w:szCs w:val="24"/>
                <w:lang w:val="en-US" w:eastAsia="zh-CN"/>
              </w:rPr>
              <w:t>/</w:t>
            </w:r>
          </w:p>
        </w:tc>
      </w:tr>
      <w:tr w14:paraId="5ABCD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93" w:type="pct"/>
            <w:vAlign w:val="center"/>
          </w:tcPr>
          <w:p w14:paraId="712CE348">
            <w:pPr>
              <w:spacing w:line="240" w:lineRule="auto"/>
              <w:ind w:firstLine="0" w:firstLineChars="0"/>
              <w:jc w:val="center"/>
              <w:rPr>
                <w:color w:val="auto"/>
                <w:sz w:val="24"/>
                <w:szCs w:val="24"/>
              </w:rPr>
            </w:pPr>
            <w:r>
              <w:rPr>
                <w:rFonts w:hint="eastAsia"/>
                <w:color w:val="auto"/>
                <w:sz w:val="24"/>
                <w:szCs w:val="24"/>
              </w:rPr>
              <w:t>土壤及地下水污染防治措施</w:t>
            </w:r>
          </w:p>
        </w:tc>
        <w:tc>
          <w:tcPr>
            <w:tcW w:w="4706" w:type="pct"/>
            <w:gridSpan w:val="4"/>
            <w:vAlign w:val="center"/>
          </w:tcPr>
          <w:p w14:paraId="2708F862">
            <w:pPr>
              <w:spacing w:line="240" w:lineRule="auto"/>
              <w:ind w:firstLine="480"/>
              <w:rPr>
                <w:color w:val="auto"/>
                <w:sz w:val="24"/>
                <w:szCs w:val="24"/>
              </w:rPr>
            </w:pPr>
            <w:r>
              <w:rPr>
                <w:rFonts w:hint="eastAsia"/>
                <w:color w:val="auto"/>
                <w:sz w:val="24"/>
                <w:szCs w:val="24"/>
              </w:rPr>
              <w:t>车间采取了防渗、防腐的工程。在运营期通过加强管理、值班人员定时巡查、设备区定时检修维护，从源头上控制潜在污染源。</w:t>
            </w:r>
          </w:p>
          <w:p w14:paraId="2B1E3B8F">
            <w:pPr>
              <w:spacing w:line="240" w:lineRule="auto"/>
              <w:ind w:firstLine="480"/>
              <w:jc w:val="left"/>
              <w:rPr>
                <w:color w:val="auto"/>
                <w:sz w:val="24"/>
                <w:szCs w:val="24"/>
              </w:rPr>
            </w:pPr>
            <w:r>
              <w:rPr>
                <w:rFonts w:hint="eastAsia"/>
                <w:color w:val="auto"/>
                <w:sz w:val="24"/>
                <w:szCs w:val="24"/>
              </w:rPr>
              <w:t>做好分区防渗工作，采取分区防渗的原则，将各个场地划分为一般防渗区、简单防渗区，并采取相应的防渗措施，达到规定的防渗技术要求。对一般防渗区、简单防渗区按照《环境影响评价技术导则地下水环境》（HJ610-2016）进行防渗。</w:t>
            </w:r>
          </w:p>
        </w:tc>
      </w:tr>
      <w:tr w14:paraId="67B0D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93" w:type="pct"/>
            <w:vAlign w:val="center"/>
          </w:tcPr>
          <w:p w14:paraId="7429C863">
            <w:pPr>
              <w:spacing w:line="240" w:lineRule="auto"/>
              <w:ind w:firstLine="0" w:firstLineChars="0"/>
              <w:jc w:val="center"/>
              <w:rPr>
                <w:color w:val="auto"/>
                <w:sz w:val="24"/>
                <w:szCs w:val="24"/>
              </w:rPr>
            </w:pPr>
            <w:r>
              <w:rPr>
                <w:rFonts w:hint="eastAsia"/>
                <w:color w:val="auto"/>
                <w:sz w:val="24"/>
                <w:szCs w:val="24"/>
              </w:rPr>
              <w:t>生态保护措施</w:t>
            </w:r>
          </w:p>
        </w:tc>
        <w:tc>
          <w:tcPr>
            <w:tcW w:w="4706" w:type="pct"/>
            <w:gridSpan w:val="4"/>
            <w:vAlign w:val="center"/>
          </w:tcPr>
          <w:p w14:paraId="19826BF7">
            <w:pPr>
              <w:spacing w:line="240" w:lineRule="auto"/>
              <w:ind w:firstLine="0" w:firstLineChars="0"/>
              <w:jc w:val="center"/>
              <w:rPr>
                <w:color w:val="auto"/>
                <w:sz w:val="24"/>
                <w:szCs w:val="24"/>
              </w:rPr>
            </w:pPr>
            <w:r>
              <w:rPr>
                <w:rFonts w:hint="eastAsia"/>
                <w:color w:val="auto"/>
                <w:sz w:val="24"/>
                <w:szCs w:val="24"/>
              </w:rPr>
              <w:t>无</w:t>
            </w:r>
          </w:p>
        </w:tc>
      </w:tr>
      <w:tr w14:paraId="32F65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93" w:type="pct"/>
            <w:vAlign w:val="center"/>
          </w:tcPr>
          <w:p w14:paraId="68FE7F27">
            <w:pPr>
              <w:spacing w:line="240" w:lineRule="auto"/>
              <w:ind w:firstLine="0" w:firstLineChars="0"/>
              <w:jc w:val="center"/>
              <w:rPr>
                <w:color w:val="auto"/>
                <w:spacing w:val="-8"/>
                <w:sz w:val="24"/>
                <w:szCs w:val="24"/>
              </w:rPr>
            </w:pPr>
            <w:r>
              <w:rPr>
                <w:rFonts w:hint="eastAsia"/>
                <w:color w:val="auto"/>
                <w:spacing w:val="-8"/>
                <w:sz w:val="24"/>
                <w:szCs w:val="24"/>
              </w:rPr>
              <w:t>环境风险防范措施</w:t>
            </w:r>
          </w:p>
        </w:tc>
        <w:tc>
          <w:tcPr>
            <w:tcW w:w="4706" w:type="pct"/>
            <w:gridSpan w:val="4"/>
            <w:vAlign w:val="center"/>
          </w:tcPr>
          <w:p w14:paraId="2FD98E82">
            <w:pPr>
              <w:keepNext w:val="0"/>
              <w:keepLines w:val="0"/>
              <w:pageBreakBefore w:val="0"/>
              <w:widowControl w:val="0"/>
              <w:kinsoku/>
              <w:wordWrap w:val="0"/>
              <w:overflowPunct/>
              <w:topLinePunct w:val="0"/>
              <w:autoSpaceDE/>
              <w:autoSpaceDN/>
              <w:bidi w:val="0"/>
              <w:adjustRightInd/>
              <w:snapToGrid/>
              <w:ind w:left="0" w:leftChars="0" w:firstLine="480"/>
              <w:textAlignment w:val="auto"/>
            </w:pPr>
            <w:r>
              <w:rPr>
                <w:rFonts w:hint="eastAsia"/>
                <w:color w:val="auto"/>
                <w:sz w:val="24"/>
                <w:szCs w:val="24"/>
              </w:rPr>
              <w:t>项目环境风险源主要为实验室药品及中药材火灾事故，所涉化学品均为瓶装等小规模包装，只要严格按照操作过程取用和操作，发生倾倒或破碎等造成泄漏</w:t>
            </w:r>
            <w:r>
              <w:rPr>
                <w:rFonts w:hint="eastAsia"/>
                <w:color w:val="auto"/>
                <w:sz w:val="24"/>
                <w:szCs w:val="24"/>
                <w:lang w:eastAsia="zh-CN"/>
              </w:rPr>
              <w:t>、</w:t>
            </w:r>
            <w:r>
              <w:rPr>
                <w:rFonts w:hint="eastAsia"/>
                <w:color w:val="auto"/>
                <w:sz w:val="24"/>
                <w:szCs w:val="24"/>
              </w:rPr>
              <w:t>火灾的可能性较小，一旦泄漏其泄漏量也较小，能够及时收容处理，对环境和地表水的影响较小。</w:t>
            </w:r>
            <w:r>
              <w:rPr>
                <w:rFonts w:hint="eastAsia"/>
              </w:rPr>
              <w:t>项目应加强火灾、泄漏事故防范措施，避免事故发生时造成重大损失；加强实验室药品、易燃易爆气体的管理，以及在灾害发生的时候采取及时有效的应急救援行动，及系统恢复和善后处理</w:t>
            </w:r>
            <w:r>
              <w:rPr>
                <w:rFonts w:hint="eastAsia"/>
                <w:lang w:eastAsia="zh-CN"/>
              </w:rPr>
              <w:t>；</w:t>
            </w:r>
            <w:r>
              <w:rPr>
                <w:rFonts w:hint="eastAsia"/>
                <w:lang w:val="en-US" w:eastAsia="zh-CN"/>
              </w:rPr>
              <w:t>设置应急事故池1座</w:t>
            </w:r>
            <w:r>
              <w:rPr>
                <w:rFonts w:hint="eastAsia"/>
              </w:rPr>
              <w:t>。在规范操作、加强管理的前提下，本项目环境风险可防可控。</w:t>
            </w:r>
          </w:p>
        </w:tc>
      </w:tr>
      <w:tr w14:paraId="10588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93" w:type="pct"/>
            <w:vAlign w:val="center"/>
          </w:tcPr>
          <w:p w14:paraId="2A366115">
            <w:pPr>
              <w:spacing w:line="240" w:lineRule="auto"/>
              <w:ind w:firstLine="0" w:firstLineChars="0"/>
              <w:jc w:val="center"/>
              <w:rPr>
                <w:color w:val="auto"/>
                <w:spacing w:val="-8"/>
                <w:sz w:val="24"/>
                <w:szCs w:val="24"/>
              </w:rPr>
            </w:pPr>
            <w:r>
              <w:rPr>
                <w:rFonts w:hint="eastAsia"/>
                <w:color w:val="auto"/>
                <w:spacing w:val="-8"/>
                <w:sz w:val="24"/>
                <w:szCs w:val="24"/>
              </w:rPr>
              <w:t>其他环境管理要求</w:t>
            </w:r>
          </w:p>
        </w:tc>
        <w:tc>
          <w:tcPr>
            <w:tcW w:w="4706" w:type="pct"/>
            <w:gridSpan w:val="4"/>
            <w:vAlign w:val="center"/>
          </w:tcPr>
          <w:p w14:paraId="0167D1B2">
            <w:pPr>
              <w:ind w:firstLine="482"/>
              <w:rPr>
                <w:b/>
                <w:bCs/>
                <w:color w:val="auto"/>
                <w:sz w:val="24"/>
                <w:szCs w:val="24"/>
                <w:lang w:val="zh-CN"/>
              </w:rPr>
            </w:pPr>
            <w:r>
              <w:rPr>
                <w:rFonts w:hint="eastAsia"/>
                <w:b/>
                <w:bCs/>
                <w:color w:val="auto"/>
                <w:sz w:val="24"/>
                <w:szCs w:val="24"/>
                <w:lang w:val="zh-CN"/>
              </w:rPr>
              <w:t>一、规范化排污口</w:t>
            </w:r>
          </w:p>
          <w:p w14:paraId="4177228C">
            <w:pPr>
              <w:ind w:firstLine="480"/>
              <w:rPr>
                <w:color w:val="auto"/>
                <w:sz w:val="24"/>
                <w:szCs w:val="24"/>
                <w:lang w:val="zh-CN"/>
              </w:rPr>
            </w:pPr>
            <w:r>
              <w:rPr>
                <w:rFonts w:hint="eastAsia"/>
                <w:color w:val="auto"/>
                <w:sz w:val="24"/>
                <w:szCs w:val="24"/>
                <w:lang w:val="zh-CN"/>
              </w:rPr>
              <w:t>根据国家标准《环境保护图形标志-排放口（源）》、原环境保护部《排污口规范化整治要求》（试行）的技术要求，企业所有排放口（包括水、气、声、渣）必须按照“便于采集样品、便于计量监测、便于日常现场监督检查”的原则和规范化要求，设置与之相适应的环境保护图形标志牌，绘制企业排污口分布图，排污口的规范化要符合有关要求。</w:t>
            </w:r>
          </w:p>
          <w:p w14:paraId="2684D5C4">
            <w:pPr>
              <w:ind w:firstLine="482"/>
              <w:rPr>
                <w:b/>
                <w:bCs/>
                <w:color w:val="auto"/>
                <w:sz w:val="24"/>
                <w:szCs w:val="24"/>
                <w:lang w:val="zh-CN"/>
              </w:rPr>
            </w:pPr>
            <w:r>
              <w:rPr>
                <w:rFonts w:hint="eastAsia"/>
                <w:b/>
                <w:bCs/>
                <w:color w:val="auto"/>
                <w:sz w:val="24"/>
                <w:szCs w:val="24"/>
                <w:lang w:val="zh-CN"/>
              </w:rPr>
              <w:t>二、环保验收要求与内容</w:t>
            </w:r>
          </w:p>
          <w:p w14:paraId="416EC313">
            <w:pPr>
              <w:ind w:firstLine="480"/>
              <w:rPr>
                <w:color w:val="auto"/>
                <w:sz w:val="24"/>
                <w:szCs w:val="24"/>
                <w:lang w:val="zh-CN"/>
              </w:rPr>
            </w:pPr>
            <w:r>
              <w:rPr>
                <w:rFonts w:hint="eastAsia"/>
                <w:color w:val="auto"/>
                <w:sz w:val="24"/>
                <w:szCs w:val="24"/>
                <w:lang w:val="zh-CN"/>
              </w:rPr>
              <w:t>建设单位是项目竣工环境保护验收的责任主体，应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w:t>
            </w:r>
          </w:p>
          <w:p w14:paraId="55C090C6">
            <w:pPr>
              <w:ind w:firstLine="482"/>
              <w:rPr>
                <w:b/>
                <w:bCs/>
                <w:color w:val="auto"/>
                <w:sz w:val="24"/>
                <w:szCs w:val="24"/>
                <w:lang w:val="zh-CN"/>
              </w:rPr>
            </w:pPr>
            <w:r>
              <w:rPr>
                <w:rFonts w:hint="eastAsia"/>
                <w:b/>
                <w:bCs/>
                <w:color w:val="auto"/>
                <w:sz w:val="24"/>
                <w:szCs w:val="24"/>
                <w:lang w:val="zh-CN"/>
              </w:rPr>
              <w:t>三、排污许可证申请制度</w:t>
            </w:r>
          </w:p>
          <w:p w14:paraId="16BA4ACC">
            <w:pPr>
              <w:ind w:firstLine="480"/>
              <w:rPr>
                <w:color w:val="auto"/>
                <w:sz w:val="24"/>
                <w:szCs w:val="24"/>
                <w:lang w:val="zh-CN"/>
              </w:rPr>
            </w:pPr>
            <w:r>
              <w:rPr>
                <w:rFonts w:hint="eastAsia"/>
                <w:color w:val="auto"/>
                <w:sz w:val="24"/>
                <w:szCs w:val="24"/>
                <w:lang w:val="zh-CN"/>
              </w:rPr>
              <w:t>根据《排污许可管理办法（试行）》（部令第48号）中：纳入固定污染源排污许可分类管理名录的企业事业单位和其他生产经营者（以下简称排污单位）应当按照开工前申请并取得排污许可证。企业应做好与排污许可的衔接工作。</w:t>
            </w:r>
          </w:p>
          <w:p w14:paraId="31B7759C">
            <w:pPr>
              <w:ind w:firstLine="482"/>
              <w:rPr>
                <w:b/>
                <w:bCs/>
                <w:color w:val="auto"/>
                <w:sz w:val="24"/>
                <w:szCs w:val="24"/>
              </w:rPr>
            </w:pPr>
            <w:r>
              <w:rPr>
                <w:rFonts w:hint="eastAsia"/>
                <w:b/>
                <w:bCs/>
                <w:color w:val="auto"/>
                <w:sz w:val="24"/>
                <w:szCs w:val="24"/>
              </w:rPr>
              <w:t>四、</w:t>
            </w:r>
            <w:r>
              <w:rPr>
                <w:b/>
                <w:bCs/>
                <w:color w:val="auto"/>
                <w:sz w:val="24"/>
                <w:szCs w:val="24"/>
              </w:rPr>
              <w:t>环境管理</w:t>
            </w:r>
          </w:p>
          <w:p w14:paraId="3CB1E3D7">
            <w:pPr>
              <w:ind w:firstLine="480"/>
              <w:rPr>
                <w:color w:val="auto"/>
                <w:sz w:val="24"/>
                <w:szCs w:val="24"/>
              </w:rPr>
            </w:pPr>
            <w:r>
              <w:rPr>
                <w:color w:val="auto"/>
                <w:sz w:val="24"/>
                <w:szCs w:val="24"/>
              </w:rPr>
              <w:t>建设单位应有专人负责厂区环境监测的管理与监督工作并遵守下列要求：</w:t>
            </w:r>
          </w:p>
          <w:p w14:paraId="2AB035F7">
            <w:pPr>
              <w:ind w:firstLine="480"/>
              <w:rPr>
                <w:color w:val="auto"/>
                <w:sz w:val="24"/>
                <w:szCs w:val="24"/>
              </w:rPr>
            </w:pPr>
            <w:r>
              <w:rPr>
                <w:color w:val="auto"/>
                <w:sz w:val="24"/>
                <w:szCs w:val="24"/>
              </w:rPr>
              <w:t>（1）在当地环保部门对其进行监督性污染源监测时，应积极协助环境监测人员开展工作，不得以任何借口加以阻挠；</w:t>
            </w:r>
          </w:p>
          <w:p w14:paraId="3E18CEE8">
            <w:pPr>
              <w:ind w:firstLine="480"/>
              <w:rPr>
                <w:color w:val="auto"/>
                <w:sz w:val="24"/>
                <w:szCs w:val="24"/>
              </w:rPr>
            </w:pPr>
            <w:r>
              <w:rPr>
                <w:color w:val="auto"/>
                <w:sz w:val="24"/>
                <w:szCs w:val="24"/>
              </w:rPr>
              <w:t>（2）污染源监测设施应建立健全岗位责任制、操作规程及分析化验制度；</w:t>
            </w:r>
          </w:p>
          <w:p w14:paraId="6D63BC6F">
            <w:pPr>
              <w:ind w:firstLine="480"/>
              <w:rPr>
                <w:color w:val="auto"/>
                <w:sz w:val="24"/>
                <w:szCs w:val="24"/>
              </w:rPr>
            </w:pPr>
            <w:r>
              <w:rPr>
                <w:color w:val="auto"/>
                <w:sz w:val="24"/>
                <w:szCs w:val="24"/>
              </w:rPr>
              <w:t>（3）建立污染源监测设施日常运行情况记录和设备台账，接受当地环境保护局的监督检查。</w:t>
            </w:r>
          </w:p>
          <w:p w14:paraId="00CFD62E">
            <w:pPr>
              <w:ind w:firstLine="480"/>
              <w:rPr>
                <w:color w:val="auto"/>
                <w:sz w:val="24"/>
                <w:szCs w:val="24"/>
              </w:rPr>
            </w:pPr>
            <w:r>
              <w:rPr>
                <w:rFonts w:hint="eastAsia"/>
                <w:color w:val="auto"/>
                <w:sz w:val="24"/>
                <w:szCs w:val="24"/>
              </w:rPr>
              <w:t>（4）监测数据应及时整理、统计，按时向管理部门、调度部门报告，做好监测资料的归档工作。</w:t>
            </w:r>
          </w:p>
          <w:p w14:paraId="37D73873">
            <w:pPr>
              <w:ind w:firstLine="480"/>
              <w:rPr>
                <w:color w:val="auto"/>
                <w:sz w:val="24"/>
                <w:szCs w:val="24"/>
              </w:rPr>
            </w:pPr>
            <w:r>
              <w:rPr>
                <w:rFonts w:hint="eastAsia"/>
                <w:color w:val="auto"/>
                <w:sz w:val="24"/>
                <w:szCs w:val="24"/>
              </w:rPr>
              <w:t>（5）</w:t>
            </w:r>
            <w:r>
              <w:rPr>
                <w:color w:val="auto"/>
                <w:sz w:val="24"/>
                <w:szCs w:val="24"/>
              </w:rPr>
              <w:t>除了进行常规监测外，当发现环保处理设施发生故障或运行不正常时，应及时向上级报告，并必须即时进行取样监测和跟踪监测。必要时应提出暂时停产措施，直至环保设施恢复正常运转，坚决杜绝事故性排放。</w:t>
            </w:r>
          </w:p>
        </w:tc>
      </w:tr>
    </w:tbl>
    <w:p w14:paraId="11669027">
      <w:pPr>
        <w:pStyle w:val="2"/>
        <w:rPr>
          <w:snapToGrid w:val="0"/>
          <w:color w:val="auto"/>
        </w:rPr>
      </w:pPr>
      <w:r>
        <w:rPr>
          <w:snapToGrid w:val="0"/>
          <w:color w:val="auto"/>
        </w:rPr>
        <w:br w:type="page"/>
      </w:r>
      <w:bookmarkStart w:id="19" w:name="_Toc3380"/>
      <w:r>
        <w:rPr>
          <w:rFonts w:hint="eastAsia"/>
          <w:snapToGrid w:val="0"/>
          <w:color w:val="auto"/>
        </w:rPr>
        <w:t>六、结论</w:t>
      </w:r>
      <w:bookmarkEnd w:id="19"/>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16"/>
      </w:tblGrid>
      <w:tr w14:paraId="0DEE1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5000" w:type="pct"/>
          </w:tcPr>
          <w:p w14:paraId="56F95EC4">
            <w:pPr>
              <w:spacing w:before="240" w:beforeLines="100"/>
              <w:ind w:firstLine="482"/>
              <w:rPr>
                <w:b/>
                <w:color w:val="auto"/>
              </w:rPr>
            </w:pPr>
            <w:r>
              <w:rPr>
                <w:b/>
                <w:snapToGrid w:val="0"/>
                <w:color w:val="auto"/>
              </w:rPr>
              <w:t>综上所述，</w:t>
            </w:r>
            <w:r>
              <w:rPr>
                <w:rFonts w:hint="eastAsia"/>
                <w:b/>
                <w:snapToGrid w:val="0"/>
                <w:color w:val="auto"/>
                <w:lang w:val="en-US" w:eastAsia="zh-CN"/>
              </w:rPr>
              <w:t>河南普惠天成生物制药有限公司新型中药饮片生产建设项目</w:t>
            </w:r>
            <w:r>
              <w:rPr>
                <w:b/>
                <w:snapToGrid w:val="0"/>
                <w:color w:val="auto"/>
              </w:rPr>
              <w:t>的建设符合国家产业政策，项目选址符合土地和规划要求。</w:t>
            </w:r>
            <w:r>
              <w:rPr>
                <w:b/>
                <w:color w:val="auto"/>
              </w:rPr>
              <w:t>项目运营期的各项污染物在认真落实评价提出的各项污染防治措施治理后可达标排放或有效处置，对周围环境影响较小。因此，从环保角度分析，认为该项目建设是可行的。</w:t>
            </w:r>
          </w:p>
          <w:p w14:paraId="5A409778">
            <w:pPr>
              <w:ind w:firstLine="480"/>
              <w:rPr>
                <w:rFonts w:ascii="宋体" w:cs="宋体"/>
                <w:color w:val="auto"/>
              </w:rPr>
            </w:pPr>
          </w:p>
        </w:tc>
      </w:tr>
    </w:tbl>
    <w:p w14:paraId="5CD64661">
      <w:pPr>
        <w:ind w:firstLine="480"/>
        <w:rPr>
          <w:rFonts w:ascii="宋体"/>
          <w:color w:val="auto"/>
        </w:rPr>
        <w:sectPr>
          <w:pgSz w:w="11906" w:h="16838"/>
          <w:pgMar w:top="1418" w:right="1418" w:bottom="1418" w:left="1588" w:header="1134" w:footer="1134" w:gutter="0"/>
          <w:pgBorders>
            <w:top w:val="none" w:sz="0" w:space="0"/>
            <w:left w:val="none" w:sz="0" w:space="0"/>
            <w:bottom w:val="none" w:sz="0" w:space="0"/>
            <w:right w:val="none" w:sz="0" w:space="0"/>
          </w:pgBorders>
          <w:cols w:space="720" w:num="1"/>
          <w:docGrid w:linePitch="326" w:charSpace="0"/>
        </w:sectPr>
      </w:pPr>
    </w:p>
    <w:p w14:paraId="614C260E">
      <w:pPr>
        <w:ind w:firstLine="482"/>
        <w:rPr>
          <w:b/>
          <w:bCs/>
          <w:color w:val="auto"/>
        </w:rPr>
      </w:pPr>
      <w:r>
        <w:rPr>
          <w:rFonts w:hint="eastAsia"/>
          <w:b/>
          <w:bCs/>
          <w:color w:val="auto"/>
        </w:rPr>
        <w:t>附表</w:t>
      </w:r>
    </w:p>
    <w:p w14:paraId="539509A1">
      <w:pPr>
        <w:pStyle w:val="2"/>
        <w:rPr>
          <w:snapToGrid w:val="0"/>
          <w:color w:val="auto"/>
        </w:rPr>
      </w:pPr>
      <w:bookmarkStart w:id="20" w:name="_Toc18078"/>
      <w:r>
        <w:rPr>
          <w:rFonts w:hint="eastAsia"/>
          <w:snapToGrid w:val="0"/>
          <w:color w:val="auto"/>
        </w:rPr>
        <w:t>建设项目污染物排放量汇总表</w:t>
      </w:r>
      <w:bookmarkEnd w:id="20"/>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50"/>
        <w:gridCol w:w="1815"/>
        <w:gridCol w:w="1579"/>
        <w:gridCol w:w="1032"/>
        <w:gridCol w:w="1994"/>
        <w:gridCol w:w="1994"/>
        <w:gridCol w:w="1707"/>
        <w:gridCol w:w="2330"/>
        <w:gridCol w:w="887"/>
      </w:tblGrid>
      <w:tr w14:paraId="1BB57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8" w:type="pct"/>
            <w:tcMar>
              <w:left w:w="28" w:type="dxa"/>
              <w:right w:w="28" w:type="dxa"/>
            </w:tcMar>
            <w:vAlign w:val="center"/>
          </w:tcPr>
          <w:p w14:paraId="73669DCB">
            <w:pPr>
              <w:spacing w:line="240" w:lineRule="auto"/>
              <w:ind w:firstLine="0" w:firstLineChars="0"/>
              <w:jc w:val="center"/>
              <w:rPr>
                <w:snapToGrid w:val="0"/>
                <w:color w:val="auto"/>
                <w:sz w:val="21"/>
                <w:szCs w:val="21"/>
              </w:rPr>
            </w:pPr>
            <w:r>
              <w:rPr>
                <w:rFonts w:hint="eastAsia"/>
                <w:snapToGrid w:val="0"/>
                <w:color w:val="auto"/>
                <w:sz w:val="21"/>
                <w:szCs w:val="21"/>
              </w:rPr>
              <w:t>项目</w:t>
            </w:r>
          </w:p>
          <w:p w14:paraId="3323C9C6">
            <w:pPr>
              <w:spacing w:line="240" w:lineRule="auto"/>
              <w:ind w:firstLine="0" w:firstLineChars="0"/>
              <w:jc w:val="center"/>
              <w:rPr>
                <w:snapToGrid w:val="0"/>
                <w:color w:val="auto"/>
                <w:sz w:val="21"/>
                <w:szCs w:val="21"/>
              </w:rPr>
            </w:pPr>
            <w:r>
              <w:rPr>
                <w:rFonts w:hint="eastAsia"/>
                <w:snapToGrid w:val="0"/>
                <w:color w:val="auto"/>
                <w:sz w:val="21"/>
                <w:szCs w:val="21"/>
              </w:rPr>
              <w:t>分类</w:t>
            </w:r>
          </w:p>
        </w:tc>
        <w:tc>
          <w:tcPr>
            <w:tcW w:w="653" w:type="pct"/>
            <w:tcMar>
              <w:left w:w="28" w:type="dxa"/>
              <w:right w:w="28" w:type="dxa"/>
            </w:tcMar>
            <w:vAlign w:val="center"/>
          </w:tcPr>
          <w:p w14:paraId="085B6A11">
            <w:pPr>
              <w:spacing w:line="240" w:lineRule="auto"/>
              <w:ind w:firstLine="0" w:firstLineChars="0"/>
              <w:jc w:val="center"/>
              <w:rPr>
                <w:snapToGrid w:val="0"/>
                <w:color w:val="auto"/>
                <w:sz w:val="21"/>
                <w:szCs w:val="21"/>
              </w:rPr>
            </w:pPr>
            <w:r>
              <w:rPr>
                <w:rFonts w:hint="eastAsia"/>
                <w:snapToGrid w:val="0"/>
                <w:color w:val="auto"/>
                <w:sz w:val="21"/>
                <w:szCs w:val="21"/>
              </w:rPr>
              <w:t>污染物名称</w:t>
            </w:r>
          </w:p>
        </w:tc>
        <w:tc>
          <w:tcPr>
            <w:tcW w:w="568" w:type="pct"/>
            <w:tcMar>
              <w:left w:w="28" w:type="dxa"/>
              <w:right w:w="28" w:type="dxa"/>
            </w:tcMar>
            <w:vAlign w:val="center"/>
          </w:tcPr>
          <w:p w14:paraId="579A60CE">
            <w:pPr>
              <w:spacing w:line="240" w:lineRule="auto"/>
              <w:ind w:firstLine="0" w:firstLineChars="0"/>
              <w:jc w:val="center"/>
              <w:rPr>
                <w:snapToGrid w:val="0"/>
                <w:color w:val="auto"/>
                <w:sz w:val="21"/>
                <w:szCs w:val="21"/>
              </w:rPr>
            </w:pPr>
            <w:r>
              <w:rPr>
                <w:snapToGrid w:val="0"/>
                <w:color w:val="auto"/>
                <w:sz w:val="21"/>
                <w:szCs w:val="21"/>
              </w:rPr>
              <w:t>现有工程排放量（固</w:t>
            </w:r>
            <w:r>
              <w:rPr>
                <w:rFonts w:hint="eastAsia"/>
                <w:snapToGrid w:val="0"/>
                <w:color w:val="auto"/>
                <w:sz w:val="21"/>
                <w:szCs w:val="21"/>
              </w:rPr>
              <w:t>体</w:t>
            </w:r>
            <w:r>
              <w:rPr>
                <w:snapToGrid w:val="0"/>
                <w:color w:val="auto"/>
                <w:sz w:val="21"/>
                <w:szCs w:val="21"/>
              </w:rPr>
              <w:t>废</w:t>
            </w:r>
            <w:r>
              <w:rPr>
                <w:rFonts w:hint="eastAsia"/>
                <w:snapToGrid w:val="0"/>
                <w:color w:val="auto"/>
                <w:sz w:val="21"/>
                <w:szCs w:val="21"/>
              </w:rPr>
              <w:t>物</w:t>
            </w:r>
            <w:r>
              <w:rPr>
                <w:snapToGrid w:val="0"/>
                <w:color w:val="auto"/>
                <w:sz w:val="21"/>
                <w:szCs w:val="21"/>
              </w:rPr>
              <w:t>产生量）</w:t>
            </w:r>
            <w:r>
              <w:rPr>
                <w:snapToGrid w:val="0"/>
                <w:color w:val="auto"/>
                <w:sz w:val="21"/>
                <w:szCs w:val="21"/>
              </w:rPr>
              <w:fldChar w:fldCharType="begin"/>
            </w:r>
            <w:r>
              <w:rPr>
                <w:snapToGrid w:val="0"/>
                <w:color w:val="auto"/>
                <w:sz w:val="21"/>
                <w:szCs w:val="21"/>
              </w:rPr>
              <w:instrText xml:space="preserve"> = 1 \* GB3 \* MERGEFORMAT </w:instrText>
            </w:r>
            <w:r>
              <w:rPr>
                <w:snapToGrid w:val="0"/>
                <w:color w:val="auto"/>
                <w:sz w:val="21"/>
                <w:szCs w:val="21"/>
              </w:rPr>
              <w:fldChar w:fldCharType="separate"/>
            </w:r>
            <w:r>
              <w:rPr>
                <w:rFonts w:hint="eastAsia"/>
                <w:color w:val="auto"/>
                <w:sz w:val="21"/>
                <w:szCs w:val="21"/>
              </w:rPr>
              <w:t>①</w:t>
            </w:r>
            <w:r>
              <w:rPr>
                <w:snapToGrid w:val="0"/>
                <w:color w:val="auto"/>
                <w:sz w:val="21"/>
                <w:szCs w:val="21"/>
              </w:rPr>
              <w:fldChar w:fldCharType="end"/>
            </w:r>
            <w:r>
              <w:rPr>
                <w:rFonts w:hint="eastAsia"/>
                <w:snapToGrid w:val="0"/>
                <w:color w:val="auto"/>
                <w:sz w:val="21"/>
                <w:szCs w:val="21"/>
              </w:rPr>
              <w:t>t/a</w:t>
            </w:r>
          </w:p>
        </w:tc>
        <w:tc>
          <w:tcPr>
            <w:tcW w:w="371" w:type="pct"/>
            <w:tcMar>
              <w:left w:w="28" w:type="dxa"/>
              <w:right w:w="28" w:type="dxa"/>
            </w:tcMar>
            <w:vAlign w:val="center"/>
          </w:tcPr>
          <w:p w14:paraId="76B7409A">
            <w:pPr>
              <w:spacing w:line="240" w:lineRule="auto"/>
              <w:ind w:firstLine="0" w:firstLineChars="0"/>
              <w:jc w:val="center"/>
              <w:rPr>
                <w:snapToGrid w:val="0"/>
                <w:color w:val="auto"/>
                <w:sz w:val="21"/>
                <w:szCs w:val="21"/>
              </w:rPr>
            </w:pPr>
            <w:r>
              <w:rPr>
                <w:snapToGrid w:val="0"/>
                <w:color w:val="auto"/>
                <w:sz w:val="21"/>
                <w:szCs w:val="21"/>
              </w:rPr>
              <w:t>现有工程许可排放量</w:t>
            </w:r>
            <w:r>
              <w:rPr>
                <w:snapToGrid w:val="0"/>
                <w:color w:val="auto"/>
                <w:sz w:val="21"/>
                <w:szCs w:val="21"/>
              </w:rPr>
              <w:fldChar w:fldCharType="begin"/>
            </w:r>
            <w:r>
              <w:rPr>
                <w:snapToGrid w:val="0"/>
                <w:color w:val="auto"/>
                <w:sz w:val="21"/>
                <w:szCs w:val="21"/>
              </w:rPr>
              <w:instrText xml:space="preserve"> = 2 \* GB3 \* MERGEFORMAT </w:instrText>
            </w:r>
            <w:r>
              <w:rPr>
                <w:snapToGrid w:val="0"/>
                <w:color w:val="auto"/>
                <w:sz w:val="21"/>
                <w:szCs w:val="21"/>
              </w:rPr>
              <w:fldChar w:fldCharType="separate"/>
            </w:r>
            <w:r>
              <w:rPr>
                <w:rFonts w:hint="eastAsia"/>
                <w:snapToGrid w:val="0"/>
                <w:color w:val="auto"/>
                <w:sz w:val="21"/>
                <w:szCs w:val="21"/>
              </w:rPr>
              <w:t>②</w:t>
            </w:r>
            <w:r>
              <w:rPr>
                <w:snapToGrid w:val="0"/>
                <w:color w:val="auto"/>
                <w:sz w:val="21"/>
                <w:szCs w:val="21"/>
              </w:rPr>
              <w:fldChar w:fldCharType="end"/>
            </w:r>
            <w:r>
              <w:rPr>
                <w:rFonts w:hint="eastAsia"/>
                <w:snapToGrid w:val="0"/>
                <w:color w:val="auto"/>
                <w:sz w:val="21"/>
                <w:szCs w:val="21"/>
              </w:rPr>
              <w:t>t/a</w:t>
            </w:r>
          </w:p>
        </w:tc>
        <w:tc>
          <w:tcPr>
            <w:tcW w:w="717" w:type="pct"/>
            <w:tcMar>
              <w:left w:w="28" w:type="dxa"/>
              <w:right w:w="28" w:type="dxa"/>
            </w:tcMar>
            <w:vAlign w:val="center"/>
          </w:tcPr>
          <w:p w14:paraId="18D3F9E4">
            <w:pPr>
              <w:spacing w:line="240" w:lineRule="auto"/>
              <w:ind w:firstLine="0" w:firstLineChars="0"/>
              <w:jc w:val="center"/>
              <w:rPr>
                <w:snapToGrid w:val="0"/>
                <w:color w:val="auto"/>
                <w:sz w:val="21"/>
                <w:szCs w:val="21"/>
              </w:rPr>
            </w:pPr>
            <w:r>
              <w:rPr>
                <w:snapToGrid w:val="0"/>
                <w:color w:val="auto"/>
                <w:sz w:val="21"/>
                <w:szCs w:val="21"/>
              </w:rPr>
              <w:t>在建工程排放量（固</w:t>
            </w:r>
            <w:r>
              <w:rPr>
                <w:rFonts w:hint="eastAsia"/>
                <w:snapToGrid w:val="0"/>
                <w:color w:val="auto"/>
                <w:sz w:val="21"/>
                <w:szCs w:val="21"/>
              </w:rPr>
              <w:t>体</w:t>
            </w:r>
            <w:r>
              <w:rPr>
                <w:snapToGrid w:val="0"/>
                <w:color w:val="auto"/>
                <w:sz w:val="21"/>
                <w:szCs w:val="21"/>
              </w:rPr>
              <w:t>废</w:t>
            </w:r>
            <w:r>
              <w:rPr>
                <w:rFonts w:hint="eastAsia"/>
                <w:snapToGrid w:val="0"/>
                <w:color w:val="auto"/>
                <w:sz w:val="21"/>
                <w:szCs w:val="21"/>
              </w:rPr>
              <w:t>物</w:t>
            </w:r>
            <w:r>
              <w:rPr>
                <w:snapToGrid w:val="0"/>
                <w:color w:val="auto"/>
                <w:sz w:val="21"/>
                <w:szCs w:val="21"/>
              </w:rPr>
              <w:t>产生量）</w:t>
            </w:r>
            <w:r>
              <w:rPr>
                <w:snapToGrid w:val="0"/>
                <w:color w:val="auto"/>
                <w:sz w:val="21"/>
                <w:szCs w:val="21"/>
              </w:rPr>
              <w:fldChar w:fldCharType="begin"/>
            </w:r>
            <w:r>
              <w:rPr>
                <w:snapToGrid w:val="0"/>
                <w:color w:val="auto"/>
                <w:sz w:val="21"/>
                <w:szCs w:val="21"/>
              </w:rPr>
              <w:instrText xml:space="preserve"> = 3 \* GB3 \* MERGEFORMAT </w:instrText>
            </w:r>
            <w:r>
              <w:rPr>
                <w:snapToGrid w:val="0"/>
                <w:color w:val="auto"/>
                <w:sz w:val="21"/>
                <w:szCs w:val="21"/>
              </w:rPr>
              <w:fldChar w:fldCharType="separate"/>
            </w:r>
            <w:r>
              <w:rPr>
                <w:rFonts w:hint="eastAsia"/>
                <w:color w:val="auto"/>
                <w:sz w:val="21"/>
                <w:szCs w:val="21"/>
              </w:rPr>
              <w:t>③</w:t>
            </w:r>
            <w:r>
              <w:rPr>
                <w:snapToGrid w:val="0"/>
                <w:color w:val="auto"/>
                <w:sz w:val="21"/>
                <w:szCs w:val="21"/>
              </w:rPr>
              <w:fldChar w:fldCharType="end"/>
            </w:r>
            <w:r>
              <w:rPr>
                <w:rFonts w:hint="eastAsia"/>
                <w:snapToGrid w:val="0"/>
                <w:color w:val="auto"/>
                <w:sz w:val="21"/>
                <w:szCs w:val="21"/>
              </w:rPr>
              <w:t>t/a</w:t>
            </w:r>
          </w:p>
        </w:tc>
        <w:tc>
          <w:tcPr>
            <w:tcW w:w="717" w:type="pct"/>
            <w:tcMar>
              <w:left w:w="28" w:type="dxa"/>
              <w:right w:w="28" w:type="dxa"/>
            </w:tcMar>
            <w:vAlign w:val="center"/>
          </w:tcPr>
          <w:p w14:paraId="2C865DA1">
            <w:pPr>
              <w:spacing w:line="240" w:lineRule="auto"/>
              <w:ind w:firstLine="0" w:firstLineChars="0"/>
              <w:jc w:val="center"/>
              <w:rPr>
                <w:snapToGrid w:val="0"/>
                <w:color w:val="auto"/>
                <w:sz w:val="21"/>
                <w:szCs w:val="21"/>
              </w:rPr>
            </w:pPr>
            <w:r>
              <w:rPr>
                <w:snapToGrid w:val="0"/>
                <w:color w:val="auto"/>
                <w:sz w:val="21"/>
                <w:szCs w:val="21"/>
              </w:rPr>
              <w:t>本项目排放量（固</w:t>
            </w:r>
            <w:r>
              <w:rPr>
                <w:rFonts w:hint="eastAsia"/>
                <w:snapToGrid w:val="0"/>
                <w:color w:val="auto"/>
                <w:sz w:val="21"/>
                <w:szCs w:val="21"/>
              </w:rPr>
              <w:t>体</w:t>
            </w:r>
            <w:r>
              <w:rPr>
                <w:snapToGrid w:val="0"/>
                <w:color w:val="auto"/>
                <w:sz w:val="21"/>
                <w:szCs w:val="21"/>
              </w:rPr>
              <w:t>废</w:t>
            </w:r>
            <w:r>
              <w:rPr>
                <w:rFonts w:hint="eastAsia"/>
                <w:snapToGrid w:val="0"/>
                <w:color w:val="auto"/>
                <w:sz w:val="21"/>
                <w:szCs w:val="21"/>
              </w:rPr>
              <w:t>物</w:t>
            </w:r>
            <w:r>
              <w:rPr>
                <w:snapToGrid w:val="0"/>
                <w:color w:val="auto"/>
                <w:sz w:val="21"/>
                <w:szCs w:val="21"/>
              </w:rPr>
              <w:t>产生量）</w:t>
            </w:r>
            <w:r>
              <w:rPr>
                <w:snapToGrid w:val="0"/>
                <w:color w:val="auto"/>
                <w:sz w:val="21"/>
                <w:szCs w:val="21"/>
              </w:rPr>
              <w:fldChar w:fldCharType="begin"/>
            </w:r>
            <w:r>
              <w:rPr>
                <w:snapToGrid w:val="0"/>
                <w:color w:val="auto"/>
                <w:sz w:val="21"/>
                <w:szCs w:val="21"/>
              </w:rPr>
              <w:instrText xml:space="preserve"> = 4 \* GB3 \* MERGEFORMAT </w:instrText>
            </w:r>
            <w:r>
              <w:rPr>
                <w:snapToGrid w:val="0"/>
                <w:color w:val="auto"/>
                <w:sz w:val="21"/>
                <w:szCs w:val="21"/>
              </w:rPr>
              <w:fldChar w:fldCharType="separate"/>
            </w:r>
            <w:r>
              <w:rPr>
                <w:rFonts w:hint="eastAsia"/>
                <w:color w:val="auto"/>
                <w:sz w:val="21"/>
                <w:szCs w:val="21"/>
              </w:rPr>
              <w:t>④</w:t>
            </w:r>
            <w:r>
              <w:rPr>
                <w:snapToGrid w:val="0"/>
                <w:color w:val="auto"/>
                <w:sz w:val="21"/>
                <w:szCs w:val="21"/>
              </w:rPr>
              <w:fldChar w:fldCharType="end"/>
            </w:r>
            <w:r>
              <w:rPr>
                <w:rFonts w:hint="eastAsia"/>
                <w:snapToGrid w:val="0"/>
                <w:color w:val="auto"/>
                <w:sz w:val="21"/>
                <w:szCs w:val="21"/>
              </w:rPr>
              <w:t>t/a</w:t>
            </w:r>
          </w:p>
        </w:tc>
        <w:tc>
          <w:tcPr>
            <w:tcW w:w="614" w:type="pct"/>
            <w:tcMar>
              <w:left w:w="28" w:type="dxa"/>
              <w:right w:w="28" w:type="dxa"/>
            </w:tcMar>
            <w:vAlign w:val="center"/>
          </w:tcPr>
          <w:p w14:paraId="50A7043C">
            <w:pPr>
              <w:spacing w:line="240" w:lineRule="auto"/>
              <w:ind w:firstLine="0" w:firstLineChars="0"/>
              <w:jc w:val="center"/>
              <w:rPr>
                <w:snapToGrid w:val="0"/>
                <w:color w:val="auto"/>
                <w:spacing w:val="-16"/>
                <w:sz w:val="21"/>
                <w:szCs w:val="21"/>
              </w:rPr>
            </w:pPr>
            <w:r>
              <w:rPr>
                <w:snapToGrid w:val="0"/>
                <w:color w:val="auto"/>
                <w:spacing w:val="-16"/>
                <w:sz w:val="21"/>
                <w:szCs w:val="21"/>
              </w:rPr>
              <w:t>以新带老削减量（新建项目不填）</w:t>
            </w:r>
            <w:r>
              <w:rPr>
                <w:snapToGrid w:val="0"/>
                <w:color w:val="auto"/>
                <w:spacing w:val="-16"/>
                <w:sz w:val="21"/>
                <w:szCs w:val="21"/>
              </w:rPr>
              <w:fldChar w:fldCharType="begin"/>
            </w:r>
            <w:r>
              <w:rPr>
                <w:snapToGrid w:val="0"/>
                <w:color w:val="auto"/>
                <w:spacing w:val="-16"/>
                <w:sz w:val="21"/>
                <w:szCs w:val="21"/>
              </w:rPr>
              <w:instrText xml:space="preserve"> = 5 \* GB3 \* MERGEFORMAT </w:instrText>
            </w:r>
            <w:r>
              <w:rPr>
                <w:snapToGrid w:val="0"/>
                <w:color w:val="auto"/>
                <w:spacing w:val="-16"/>
                <w:sz w:val="21"/>
                <w:szCs w:val="21"/>
              </w:rPr>
              <w:fldChar w:fldCharType="separate"/>
            </w:r>
            <w:r>
              <w:rPr>
                <w:rFonts w:hint="eastAsia"/>
                <w:color w:val="auto"/>
                <w:sz w:val="21"/>
                <w:szCs w:val="21"/>
              </w:rPr>
              <w:t>⑤</w:t>
            </w:r>
            <w:r>
              <w:rPr>
                <w:snapToGrid w:val="0"/>
                <w:color w:val="auto"/>
                <w:spacing w:val="-16"/>
                <w:sz w:val="21"/>
                <w:szCs w:val="21"/>
              </w:rPr>
              <w:fldChar w:fldCharType="end"/>
            </w:r>
            <w:r>
              <w:rPr>
                <w:rFonts w:hint="eastAsia"/>
                <w:snapToGrid w:val="0"/>
                <w:color w:val="auto"/>
                <w:spacing w:val="-16"/>
                <w:sz w:val="21"/>
                <w:szCs w:val="21"/>
              </w:rPr>
              <w:t>t/a</w:t>
            </w:r>
          </w:p>
        </w:tc>
        <w:tc>
          <w:tcPr>
            <w:tcW w:w="838" w:type="pct"/>
            <w:tcMar>
              <w:left w:w="28" w:type="dxa"/>
              <w:right w:w="28" w:type="dxa"/>
            </w:tcMar>
            <w:vAlign w:val="center"/>
          </w:tcPr>
          <w:p w14:paraId="40D376C4">
            <w:pPr>
              <w:spacing w:line="240" w:lineRule="auto"/>
              <w:ind w:firstLine="0" w:firstLineChars="0"/>
              <w:jc w:val="center"/>
              <w:rPr>
                <w:snapToGrid w:val="0"/>
                <w:color w:val="auto"/>
                <w:spacing w:val="-16"/>
                <w:sz w:val="21"/>
                <w:szCs w:val="21"/>
              </w:rPr>
            </w:pPr>
            <w:r>
              <w:rPr>
                <w:snapToGrid w:val="0"/>
                <w:color w:val="auto"/>
                <w:spacing w:val="-16"/>
                <w:sz w:val="21"/>
                <w:szCs w:val="21"/>
              </w:rPr>
              <w:t>本项目建成后</w:t>
            </w:r>
            <w:r>
              <w:rPr>
                <w:rFonts w:hint="eastAsia"/>
                <w:snapToGrid w:val="0"/>
                <w:color w:val="auto"/>
                <w:spacing w:val="-16"/>
                <w:sz w:val="21"/>
                <w:szCs w:val="21"/>
              </w:rPr>
              <w:t>全厂</w:t>
            </w:r>
            <w:r>
              <w:rPr>
                <w:snapToGrid w:val="0"/>
                <w:color w:val="auto"/>
                <w:spacing w:val="-16"/>
                <w:sz w:val="21"/>
                <w:szCs w:val="21"/>
              </w:rPr>
              <w:t>排放量（固</w:t>
            </w:r>
            <w:r>
              <w:rPr>
                <w:rFonts w:hint="eastAsia"/>
                <w:snapToGrid w:val="0"/>
                <w:color w:val="auto"/>
                <w:spacing w:val="-16"/>
                <w:sz w:val="21"/>
                <w:szCs w:val="21"/>
              </w:rPr>
              <w:t>体</w:t>
            </w:r>
            <w:r>
              <w:rPr>
                <w:snapToGrid w:val="0"/>
                <w:color w:val="auto"/>
                <w:spacing w:val="-16"/>
                <w:sz w:val="21"/>
                <w:szCs w:val="21"/>
              </w:rPr>
              <w:t>废</w:t>
            </w:r>
            <w:r>
              <w:rPr>
                <w:rFonts w:hint="eastAsia"/>
                <w:snapToGrid w:val="0"/>
                <w:color w:val="auto"/>
                <w:spacing w:val="-16"/>
                <w:sz w:val="21"/>
                <w:szCs w:val="21"/>
              </w:rPr>
              <w:t>物</w:t>
            </w:r>
            <w:r>
              <w:rPr>
                <w:snapToGrid w:val="0"/>
                <w:color w:val="auto"/>
                <w:spacing w:val="-16"/>
                <w:sz w:val="21"/>
                <w:szCs w:val="21"/>
              </w:rPr>
              <w:t>产生量）</w:t>
            </w:r>
            <w:r>
              <w:rPr>
                <w:snapToGrid w:val="0"/>
                <w:color w:val="auto"/>
                <w:spacing w:val="-16"/>
                <w:sz w:val="21"/>
                <w:szCs w:val="21"/>
              </w:rPr>
              <w:fldChar w:fldCharType="begin"/>
            </w:r>
            <w:r>
              <w:rPr>
                <w:snapToGrid w:val="0"/>
                <w:color w:val="auto"/>
                <w:spacing w:val="-16"/>
                <w:sz w:val="21"/>
                <w:szCs w:val="21"/>
              </w:rPr>
              <w:instrText xml:space="preserve"> = 6 \* GB3 \* MERGEFORMAT </w:instrText>
            </w:r>
            <w:r>
              <w:rPr>
                <w:snapToGrid w:val="0"/>
                <w:color w:val="auto"/>
                <w:spacing w:val="-16"/>
                <w:sz w:val="21"/>
                <w:szCs w:val="21"/>
              </w:rPr>
              <w:fldChar w:fldCharType="separate"/>
            </w:r>
            <w:r>
              <w:rPr>
                <w:rFonts w:hint="eastAsia"/>
                <w:color w:val="auto"/>
                <w:sz w:val="21"/>
                <w:szCs w:val="21"/>
              </w:rPr>
              <w:t>⑥</w:t>
            </w:r>
            <w:r>
              <w:rPr>
                <w:snapToGrid w:val="0"/>
                <w:color w:val="auto"/>
                <w:spacing w:val="-16"/>
                <w:sz w:val="21"/>
                <w:szCs w:val="21"/>
              </w:rPr>
              <w:fldChar w:fldCharType="end"/>
            </w:r>
            <w:r>
              <w:rPr>
                <w:rFonts w:hint="eastAsia"/>
                <w:snapToGrid w:val="0"/>
                <w:color w:val="auto"/>
                <w:spacing w:val="-16"/>
                <w:sz w:val="21"/>
                <w:szCs w:val="21"/>
              </w:rPr>
              <w:t>t</w:t>
            </w:r>
            <w:r>
              <w:rPr>
                <w:snapToGrid w:val="0"/>
                <w:color w:val="auto"/>
                <w:spacing w:val="-16"/>
                <w:sz w:val="21"/>
                <w:szCs w:val="21"/>
              </w:rPr>
              <w:t>/</w:t>
            </w:r>
            <w:r>
              <w:rPr>
                <w:rFonts w:hint="eastAsia"/>
                <w:snapToGrid w:val="0"/>
                <w:color w:val="auto"/>
                <w:spacing w:val="-16"/>
                <w:sz w:val="21"/>
                <w:szCs w:val="21"/>
              </w:rPr>
              <w:t>a</w:t>
            </w:r>
          </w:p>
        </w:tc>
        <w:tc>
          <w:tcPr>
            <w:tcW w:w="319" w:type="pct"/>
            <w:tcMar>
              <w:left w:w="28" w:type="dxa"/>
              <w:right w:w="28" w:type="dxa"/>
            </w:tcMar>
            <w:vAlign w:val="center"/>
          </w:tcPr>
          <w:p w14:paraId="7AC7E21C">
            <w:pPr>
              <w:spacing w:line="240" w:lineRule="auto"/>
              <w:ind w:firstLine="0" w:firstLineChars="0"/>
              <w:jc w:val="center"/>
              <w:rPr>
                <w:snapToGrid w:val="0"/>
                <w:color w:val="auto"/>
                <w:sz w:val="21"/>
                <w:szCs w:val="21"/>
              </w:rPr>
            </w:pPr>
            <w:r>
              <w:rPr>
                <w:snapToGrid w:val="0"/>
                <w:color w:val="auto"/>
                <w:sz w:val="21"/>
                <w:szCs w:val="21"/>
              </w:rPr>
              <w:t>变化量</w:t>
            </w:r>
            <w:r>
              <w:rPr>
                <w:snapToGrid w:val="0"/>
                <w:color w:val="auto"/>
                <w:sz w:val="21"/>
                <w:szCs w:val="21"/>
              </w:rPr>
              <w:fldChar w:fldCharType="begin"/>
            </w:r>
            <w:r>
              <w:rPr>
                <w:snapToGrid w:val="0"/>
                <w:color w:val="auto"/>
                <w:sz w:val="21"/>
                <w:szCs w:val="21"/>
              </w:rPr>
              <w:instrText xml:space="preserve"> = 7 \* GB3 \* MERGEFORMAT </w:instrText>
            </w:r>
            <w:r>
              <w:rPr>
                <w:snapToGrid w:val="0"/>
                <w:color w:val="auto"/>
                <w:sz w:val="21"/>
                <w:szCs w:val="21"/>
              </w:rPr>
              <w:fldChar w:fldCharType="separate"/>
            </w:r>
            <w:r>
              <w:rPr>
                <w:rFonts w:hint="eastAsia"/>
                <w:color w:val="auto"/>
                <w:sz w:val="21"/>
                <w:szCs w:val="21"/>
              </w:rPr>
              <w:t>⑦</w:t>
            </w:r>
            <w:r>
              <w:rPr>
                <w:snapToGrid w:val="0"/>
                <w:color w:val="auto"/>
                <w:sz w:val="21"/>
                <w:szCs w:val="21"/>
              </w:rPr>
              <w:fldChar w:fldCharType="end"/>
            </w:r>
            <w:r>
              <w:rPr>
                <w:rFonts w:hint="eastAsia"/>
                <w:snapToGrid w:val="0"/>
                <w:color w:val="auto"/>
                <w:sz w:val="21"/>
                <w:szCs w:val="21"/>
              </w:rPr>
              <w:t>t/a</w:t>
            </w:r>
          </w:p>
        </w:tc>
      </w:tr>
      <w:tr w14:paraId="5EC0D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8" w:type="pct"/>
            <w:vMerge w:val="restart"/>
            <w:vAlign w:val="center"/>
          </w:tcPr>
          <w:p w14:paraId="5A81D6F4">
            <w:pPr>
              <w:spacing w:line="240" w:lineRule="auto"/>
              <w:ind w:firstLine="0" w:firstLineChars="0"/>
              <w:jc w:val="center"/>
              <w:rPr>
                <w:rFonts w:hint="eastAsia" w:hAnsi="宋体"/>
                <w:snapToGrid w:val="0"/>
                <w:color w:val="auto"/>
                <w:sz w:val="21"/>
                <w:szCs w:val="21"/>
              </w:rPr>
            </w:pPr>
            <w:r>
              <w:rPr>
                <w:rFonts w:hint="eastAsia" w:hAnsi="宋体"/>
                <w:snapToGrid w:val="0"/>
                <w:color w:val="auto"/>
                <w:sz w:val="21"/>
                <w:szCs w:val="21"/>
              </w:rPr>
              <w:t>废气</w:t>
            </w:r>
          </w:p>
        </w:tc>
        <w:tc>
          <w:tcPr>
            <w:tcW w:w="653" w:type="pct"/>
            <w:vAlign w:val="center"/>
          </w:tcPr>
          <w:p w14:paraId="173CFD1A">
            <w:pPr>
              <w:spacing w:line="240" w:lineRule="auto"/>
              <w:ind w:firstLine="0" w:firstLineChars="0"/>
              <w:jc w:val="center"/>
              <w:rPr>
                <w:rFonts w:hint="eastAsia" w:hAnsi="宋体"/>
                <w:snapToGrid w:val="0"/>
                <w:color w:val="auto"/>
                <w:sz w:val="21"/>
                <w:szCs w:val="21"/>
              </w:rPr>
            </w:pPr>
            <w:r>
              <w:rPr>
                <w:rFonts w:hint="eastAsia"/>
                <w:color w:val="auto"/>
                <w:sz w:val="21"/>
                <w:szCs w:val="21"/>
              </w:rPr>
              <w:t>颗粒物</w:t>
            </w:r>
          </w:p>
        </w:tc>
        <w:tc>
          <w:tcPr>
            <w:tcW w:w="568" w:type="pct"/>
            <w:shd w:val="clear" w:color="auto" w:fill="auto"/>
            <w:vAlign w:val="center"/>
          </w:tcPr>
          <w:p w14:paraId="24361D60">
            <w:pPr>
              <w:spacing w:line="240" w:lineRule="auto"/>
              <w:ind w:firstLine="0" w:firstLineChars="0"/>
              <w:jc w:val="center"/>
              <w:rPr>
                <w:snapToGrid w:val="0"/>
                <w:color w:val="auto"/>
                <w:sz w:val="21"/>
                <w:szCs w:val="21"/>
              </w:rPr>
            </w:pPr>
          </w:p>
        </w:tc>
        <w:tc>
          <w:tcPr>
            <w:tcW w:w="371" w:type="pct"/>
            <w:vAlign w:val="center"/>
          </w:tcPr>
          <w:p w14:paraId="69E35A3C">
            <w:pPr>
              <w:spacing w:line="240" w:lineRule="auto"/>
              <w:ind w:firstLine="0" w:firstLineChars="0"/>
              <w:jc w:val="center"/>
              <w:rPr>
                <w:snapToGrid w:val="0"/>
                <w:color w:val="auto"/>
                <w:sz w:val="21"/>
                <w:szCs w:val="21"/>
              </w:rPr>
            </w:pPr>
          </w:p>
        </w:tc>
        <w:tc>
          <w:tcPr>
            <w:tcW w:w="717" w:type="pct"/>
            <w:vAlign w:val="center"/>
          </w:tcPr>
          <w:p w14:paraId="7BDF57FD">
            <w:pPr>
              <w:spacing w:line="240" w:lineRule="auto"/>
              <w:ind w:firstLine="0" w:firstLineChars="0"/>
              <w:jc w:val="center"/>
              <w:rPr>
                <w:snapToGrid w:val="0"/>
                <w:color w:val="auto"/>
                <w:sz w:val="21"/>
                <w:szCs w:val="21"/>
              </w:rPr>
            </w:pPr>
          </w:p>
        </w:tc>
        <w:tc>
          <w:tcPr>
            <w:tcW w:w="717" w:type="pct"/>
            <w:vAlign w:val="center"/>
          </w:tcPr>
          <w:p w14:paraId="1C020C29">
            <w:pPr>
              <w:spacing w:line="240" w:lineRule="auto"/>
              <w:ind w:firstLine="0" w:firstLineChars="0"/>
              <w:jc w:val="center"/>
              <w:rPr>
                <w:rFonts w:hint="default" w:eastAsia="宋体"/>
                <w:snapToGrid w:val="0"/>
                <w:color w:val="auto"/>
                <w:sz w:val="21"/>
                <w:szCs w:val="21"/>
                <w:lang w:val="en-US" w:eastAsia="zh-CN"/>
              </w:rPr>
            </w:pPr>
            <w:r>
              <w:rPr>
                <w:rFonts w:hint="eastAsia"/>
                <w:snapToGrid w:val="0"/>
                <w:color w:val="auto"/>
                <w:sz w:val="21"/>
                <w:szCs w:val="21"/>
                <w:lang w:val="en-US" w:eastAsia="zh-CN"/>
              </w:rPr>
              <w:t>0.5761</w:t>
            </w:r>
          </w:p>
        </w:tc>
        <w:tc>
          <w:tcPr>
            <w:tcW w:w="614" w:type="pct"/>
            <w:vAlign w:val="center"/>
          </w:tcPr>
          <w:p w14:paraId="1C21A849">
            <w:pPr>
              <w:spacing w:line="240" w:lineRule="auto"/>
              <w:ind w:firstLine="0" w:firstLineChars="0"/>
              <w:jc w:val="center"/>
              <w:rPr>
                <w:snapToGrid w:val="0"/>
                <w:color w:val="auto"/>
                <w:sz w:val="21"/>
                <w:szCs w:val="21"/>
              </w:rPr>
            </w:pPr>
          </w:p>
        </w:tc>
        <w:tc>
          <w:tcPr>
            <w:tcW w:w="838" w:type="pct"/>
            <w:shd w:val="clear" w:color="auto" w:fill="auto"/>
            <w:vAlign w:val="center"/>
          </w:tcPr>
          <w:p w14:paraId="03373CB8">
            <w:pPr>
              <w:spacing w:line="240" w:lineRule="auto"/>
              <w:ind w:firstLine="0" w:firstLineChars="0"/>
              <w:jc w:val="center"/>
              <w:rPr>
                <w:rFonts w:hint="default" w:ascii="Times New Roman" w:hAnsi="Times New Roman" w:eastAsia="宋体" w:cs="Times New Roman"/>
                <w:snapToGrid w:val="0"/>
                <w:color w:val="auto"/>
                <w:kern w:val="2"/>
                <w:sz w:val="21"/>
                <w:szCs w:val="21"/>
                <w:lang w:val="en-US" w:eastAsia="zh-CN" w:bidi="ar-SA"/>
              </w:rPr>
            </w:pPr>
            <w:r>
              <w:rPr>
                <w:rFonts w:hint="eastAsia"/>
                <w:snapToGrid w:val="0"/>
                <w:color w:val="auto"/>
                <w:sz w:val="21"/>
                <w:szCs w:val="21"/>
                <w:lang w:val="en-US" w:eastAsia="zh-CN"/>
              </w:rPr>
              <w:t>0.5761</w:t>
            </w:r>
          </w:p>
        </w:tc>
        <w:tc>
          <w:tcPr>
            <w:tcW w:w="319" w:type="pct"/>
            <w:shd w:val="clear" w:color="auto" w:fill="auto"/>
            <w:vAlign w:val="center"/>
          </w:tcPr>
          <w:p w14:paraId="15ABFB14">
            <w:pPr>
              <w:spacing w:line="240" w:lineRule="auto"/>
              <w:ind w:firstLine="0" w:firstLineChars="0"/>
              <w:jc w:val="center"/>
              <w:rPr>
                <w:rFonts w:hint="default" w:ascii="Times New Roman" w:hAnsi="Times New Roman" w:eastAsia="宋体" w:cs="Times New Roman"/>
                <w:snapToGrid w:val="0"/>
                <w:color w:val="auto"/>
                <w:kern w:val="2"/>
                <w:sz w:val="21"/>
                <w:szCs w:val="21"/>
                <w:lang w:val="en-US" w:eastAsia="zh-CN" w:bidi="ar-SA"/>
              </w:rPr>
            </w:pPr>
            <w:r>
              <w:rPr>
                <w:rFonts w:hint="eastAsia"/>
                <w:snapToGrid w:val="0"/>
                <w:color w:val="auto"/>
                <w:sz w:val="21"/>
                <w:szCs w:val="21"/>
                <w:lang w:val="en-US" w:eastAsia="zh-CN"/>
              </w:rPr>
              <w:t>+0.5761</w:t>
            </w:r>
          </w:p>
        </w:tc>
      </w:tr>
      <w:tr w14:paraId="18B98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8" w:type="pct"/>
            <w:vMerge w:val="continue"/>
            <w:vAlign w:val="center"/>
          </w:tcPr>
          <w:p w14:paraId="1AB68C70">
            <w:pPr>
              <w:spacing w:line="240" w:lineRule="auto"/>
              <w:ind w:firstLine="0" w:firstLineChars="0"/>
              <w:jc w:val="center"/>
              <w:rPr>
                <w:rFonts w:hint="eastAsia" w:hAnsi="宋体"/>
                <w:snapToGrid w:val="0"/>
                <w:color w:val="auto"/>
                <w:sz w:val="21"/>
                <w:szCs w:val="21"/>
              </w:rPr>
            </w:pPr>
          </w:p>
        </w:tc>
        <w:tc>
          <w:tcPr>
            <w:tcW w:w="653" w:type="pct"/>
            <w:vAlign w:val="center"/>
          </w:tcPr>
          <w:p w14:paraId="11629758">
            <w:pPr>
              <w:spacing w:line="240" w:lineRule="auto"/>
              <w:ind w:firstLine="0" w:firstLineChars="0"/>
              <w:jc w:val="center"/>
              <w:rPr>
                <w:rFonts w:hint="eastAsia" w:hAnsi="宋体"/>
                <w:snapToGrid w:val="0"/>
                <w:color w:val="auto"/>
                <w:sz w:val="21"/>
                <w:szCs w:val="21"/>
              </w:rPr>
            </w:pPr>
            <w:r>
              <w:rPr>
                <w:color w:val="auto"/>
                <w:sz w:val="21"/>
                <w:szCs w:val="21"/>
              </w:rPr>
              <w:t>SO</w:t>
            </w:r>
            <w:r>
              <w:rPr>
                <w:color w:val="auto"/>
                <w:sz w:val="21"/>
                <w:szCs w:val="21"/>
                <w:vertAlign w:val="subscript"/>
              </w:rPr>
              <w:t>2</w:t>
            </w:r>
          </w:p>
        </w:tc>
        <w:tc>
          <w:tcPr>
            <w:tcW w:w="568" w:type="pct"/>
            <w:shd w:val="clear" w:color="auto" w:fill="auto"/>
            <w:vAlign w:val="center"/>
          </w:tcPr>
          <w:p w14:paraId="29EC7CFC">
            <w:pPr>
              <w:spacing w:line="240" w:lineRule="auto"/>
              <w:ind w:firstLine="0" w:firstLineChars="0"/>
              <w:jc w:val="center"/>
              <w:rPr>
                <w:snapToGrid w:val="0"/>
                <w:color w:val="auto"/>
                <w:sz w:val="21"/>
                <w:szCs w:val="21"/>
              </w:rPr>
            </w:pPr>
          </w:p>
        </w:tc>
        <w:tc>
          <w:tcPr>
            <w:tcW w:w="371" w:type="pct"/>
            <w:vAlign w:val="center"/>
          </w:tcPr>
          <w:p w14:paraId="1AB65BF8">
            <w:pPr>
              <w:spacing w:line="240" w:lineRule="auto"/>
              <w:ind w:firstLine="0" w:firstLineChars="0"/>
              <w:jc w:val="center"/>
              <w:rPr>
                <w:snapToGrid w:val="0"/>
                <w:color w:val="auto"/>
                <w:sz w:val="21"/>
                <w:szCs w:val="21"/>
              </w:rPr>
            </w:pPr>
          </w:p>
        </w:tc>
        <w:tc>
          <w:tcPr>
            <w:tcW w:w="717" w:type="pct"/>
            <w:vAlign w:val="center"/>
          </w:tcPr>
          <w:p w14:paraId="03D639E2">
            <w:pPr>
              <w:spacing w:line="240" w:lineRule="auto"/>
              <w:ind w:firstLine="0" w:firstLineChars="0"/>
              <w:jc w:val="center"/>
              <w:rPr>
                <w:snapToGrid w:val="0"/>
                <w:color w:val="auto"/>
                <w:sz w:val="21"/>
                <w:szCs w:val="21"/>
              </w:rPr>
            </w:pPr>
          </w:p>
        </w:tc>
        <w:tc>
          <w:tcPr>
            <w:tcW w:w="717" w:type="pct"/>
            <w:vAlign w:val="center"/>
          </w:tcPr>
          <w:p w14:paraId="2964571F">
            <w:pPr>
              <w:spacing w:line="240" w:lineRule="auto"/>
              <w:ind w:firstLine="0" w:firstLineChars="0"/>
              <w:jc w:val="center"/>
              <w:rPr>
                <w:snapToGrid w:val="0"/>
                <w:color w:val="auto"/>
                <w:sz w:val="21"/>
                <w:szCs w:val="21"/>
              </w:rPr>
            </w:pPr>
          </w:p>
        </w:tc>
        <w:tc>
          <w:tcPr>
            <w:tcW w:w="614" w:type="pct"/>
            <w:vAlign w:val="center"/>
          </w:tcPr>
          <w:p w14:paraId="2F62B20E">
            <w:pPr>
              <w:spacing w:line="240" w:lineRule="auto"/>
              <w:ind w:firstLine="0" w:firstLineChars="0"/>
              <w:jc w:val="center"/>
              <w:rPr>
                <w:snapToGrid w:val="0"/>
                <w:color w:val="auto"/>
                <w:sz w:val="21"/>
                <w:szCs w:val="21"/>
              </w:rPr>
            </w:pPr>
          </w:p>
        </w:tc>
        <w:tc>
          <w:tcPr>
            <w:tcW w:w="838" w:type="pct"/>
            <w:shd w:val="clear" w:color="auto" w:fill="auto"/>
            <w:vAlign w:val="center"/>
          </w:tcPr>
          <w:p w14:paraId="1ACB8641">
            <w:pPr>
              <w:spacing w:line="240" w:lineRule="auto"/>
              <w:ind w:firstLine="0" w:firstLineChars="0"/>
              <w:jc w:val="center"/>
              <w:rPr>
                <w:rFonts w:ascii="Times New Roman" w:hAnsi="Times New Roman" w:eastAsia="宋体" w:cs="Times New Roman"/>
                <w:snapToGrid w:val="0"/>
                <w:color w:val="auto"/>
                <w:kern w:val="2"/>
                <w:sz w:val="21"/>
                <w:szCs w:val="21"/>
                <w:lang w:val="en-US" w:eastAsia="zh-CN" w:bidi="ar-SA"/>
              </w:rPr>
            </w:pPr>
          </w:p>
        </w:tc>
        <w:tc>
          <w:tcPr>
            <w:tcW w:w="319" w:type="pct"/>
            <w:shd w:val="clear" w:color="auto" w:fill="auto"/>
            <w:vAlign w:val="center"/>
          </w:tcPr>
          <w:p w14:paraId="451ADC10">
            <w:pPr>
              <w:spacing w:line="240" w:lineRule="auto"/>
              <w:ind w:firstLine="0" w:firstLineChars="0"/>
              <w:jc w:val="center"/>
              <w:rPr>
                <w:rFonts w:ascii="Times New Roman" w:hAnsi="Times New Roman" w:eastAsia="宋体" w:cs="Times New Roman"/>
                <w:snapToGrid w:val="0"/>
                <w:color w:val="auto"/>
                <w:kern w:val="2"/>
                <w:sz w:val="21"/>
                <w:szCs w:val="21"/>
                <w:lang w:val="en-US" w:eastAsia="zh-CN" w:bidi="ar-SA"/>
              </w:rPr>
            </w:pPr>
          </w:p>
        </w:tc>
      </w:tr>
      <w:tr w14:paraId="0817E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8" w:type="pct"/>
            <w:vMerge w:val="continue"/>
            <w:vAlign w:val="center"/>
          </w:tcPr>
          <w:p w14:paraId="0C84B5EB">
            <w:pPr>
              <w:spacing w:line="240" w:lineRule="auto"/>
              <w:ind w:firstLine="0" w:firstLineChars="0"/>
              <w:jc w:val="center"/>
              <w:rPr>
                <w:rFonts w:hint="eastAsia" w:hAnsi="宋体"/>
                <w:snapToGrid w:val="0"/>
                <w:color w:val="auto"/>
                <w:sz w:val="21"/>
                <w:szCs w:val="21"/>
              </w:rPr>
            </w:pPr>
          </w:p>
        </w:tc>
        <w:tc>
          <w:tcPr>
            <w:tcW w:w="653" w:type="pct"/>
            <w:vAlign w:val="center"/>
          </w:tcPr>
          <w:p w14:paraId="12A013C7">
            <w:pPr>
              <w:spacing w:line="240" w:lineRule="auto"/>
              <w:ind w:firstLine="0" w:firstLineChars="0"/>
              <w:jc w:val="center"/>
              <w:rPr>
                <w:rFonts w:hint="eastAsia" w:hAnsi="宋体"/>
                <w:snapToGrid w:val="0"/>
                <w:color w:val="auto"/>
                <w:sz w:val="21"/>
                <w:szCs w:val="21"/>
              </w:rPr>
            </w:pPr>
            <w:r>
              <w:rPr>
                <w:color w:val="auto"/>
                <w:sz w:val="21"/>
                <w:szCs w:val="21"/>
              </w:rPr>
              <w:t>NOx</w:t>
            </w:r>
          </w:p>
        </w:tc>
        <w:tc>
          <w:tcPr>
            <w:tcW w:w="568" w:type="pct"/>
            <w:shd w:val="clear" w:color="auto" w:fill="auto"/>
            <w:vAlign w:val="center"/>
          </w:tcPr>
          <w:p w14:paraId="5E59CBCD">
            <w:pPr>
              <w:spacing w:line="240" w:lineRule="auto"/>
              <w:ind w:firstLine="0" w:firstLineChars="0"/>
              <w:jc w:val="center"/>
              <w:rPr>
                <w:snapToGrid w:val="0"/>
                <w:color w:val="auto"/>
                <w:sz w:val="21"/>
                <w:szCs w:val="21"/>
              </w:rPr>
            </w:pPr>
          </w:p>
        </w:tc>
        <w:tc>
          <w:tcPr>
            <w:tcW w:w="371" w:type="pct"/>
            <w:vAlign w:val="center"/>
          </w:tcPr>
          <w:p w14:paraId="044182B6">
            <w:pPr>
              <w:spacing w:line="240" w:lineRule="auto"/>
              <w:ind w:firstLine="0" w:firstLineChars="0"/>
              <w:jc w:val="center"/>
              <w:rPr>
                <w:snapToGrid w:val="0"/>
                <w:color w:val="auto"/>
                <w:sz w:val="21"/>
                <w:szCs w:val="21"/>
              </w:rPr>
            </w:pPr>
          </w:p>
        </w:tc>
        <w:tc>
          <w:tcPr>
            <w:tcW w:w="717" w:type="pct"/>
            <w:vAlign w:val="center"/>
          </w:tcPr>
          <w:p w14:paraId="0FE54847">
            <w:pPr>
              <w:spacing w:line="240" w:lineRule="auto"/>
              <w:ind w:firstLine="0" w:firstLineChars="0"/>
              <w:jc w:val="center"/>
              <w:rPr>
                <w:snapToGrid w:val="0"/>
                <w:color w:val="auto"/>
                <w:sz w:val="21"/>
                <w:szCs w:val="21"/>
              </w:rPr>
            </w:pPr>
          </w:p>
        </w:tc>
        <w:tc>
          <w:tcPr>
            <w:tcW w:w="717" w:type="pct"/>
            <w:vAlign w:val="center"/>
          </w:tcPr>
          <w:p w14:paraId="3E8B4F6D">
            <w:pPr>
              <w:spacing w:line="240" w:lineRule="auto"/>
              <w:ind w:firstLine="0" w:firstLineChars="0"/>
              <w:jc w:val="center"/>
              <w:rPr>
                <w:snapToGrid w:val="0"/>
                <w:color w:val="auto"/>
                <w:sz w:val="21"/>
                <w:szCs w:val="21"/>
              </w:rPr>
            </w:pPr>
          </w:p>
        </w:tc>
        <w:tc>
          <w:tcPr>
            <w:tcW w:w="614" w:type="pct"/>
            <w:vAlign w:val="center"/>
          </w:tcPr>
          <w:p w14:paraId="79511EB6">
            <w:pPr>
              <w:spacing w:line="240" w:lineRule="auto"/>
              <w:ind w:firstLine="0" w:firstLineChars="0"/>
              <w:jc w:val="center"/>
              <w:rPr>
                <w:snapToGrid w:val="0"/>
                <w:color w:val="auto"/>
                <w:sz w:val="21"/>
                <w:szCs w:val="21"/>
              </w:rPr>
            </w:pPr>
          </w:p>
        </w:tc>
        <w:tc>
          <w:tcPr>
            <w:tcW w:w="838" w:type="pct"/>
            <w:shd w:val="clear" w:color="auto" w:fill="auto"/>
            <w:vAlign w:val="center"/>
          </w:tcPr>
          <w:p w14:paraId="054FFEFC">
            <w:pPr>
              <w:spacing w:line="240" w:lineRule="auto"/>
              <w:ind w:firstLine="0" w:firstLineChars="0"/>
              <w:jc w:val="center"/>
              <w:rPr>
                <w:rFonts w:ascii="Times New Roman" w:hAnsi="Times New Roman" w:eastAsia="宋体" w:cs="Times New Roman"/>
                <w:snapToGrid w:val="0"/>
                <w:color w:val="auto"/>
                <w:kern w:val="2"/>
                <w:sz w:val="21"/>
                <w:szCs w:val="21"/>
                <w:lang w:val="en-US" w:eastAsia="zh-CN" w:bidi="ar-SA"/>
              </w:rPr>
            </w:pPr>
          </w:p>
        </w:tc>
        <w:tc>
          <w:tcPr>
            <w:tcW w:w="319" w:type="pct"/>
            <w:shd w:val="clear" w:color="auto" w:fill="auto"/>
            <w:vAlign w:val="center"/>
          </w:tcPr>
          <w:p w14:paraId="1D352FCE">
            <w:pPr>
              <w:spacing w:line="240" w:lineRule="auto"/>
              <w:ind w:firstLine="0" w:firstLineChars="0"/>
              <w:jc w:val="center"/>
              <w:rPr>
                <w:rFonts w:ascii="Times New Roman" w:hAnsi="Times New Roman" w:eastAsia="宋体" w:cs="Times New Roman"/>
                <w:snapToGrid w:val="0"/>
                <w:color w:val="auto"/>
                <w:kern w:val="2"/>
                <w:sz w:val="21"/>
                <w:szCs w:val="21"/>
                <w:lang w:val="en-US" w:eastAsia="zh-CN" w:bidi="ar-SA"/>
              </w:rPr>
            </w:pPr>
          </w:p>
        </w:tc>
      </w:tr>
      <w:tr w14:paraId="0B154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8" w:type="pct"/>
            <w:vMerge w:val="continue"/>
            <w:vAlign w:val="center"/>
          </w:tcPr>
          <w:p w14:paraId="67A75F2B">
            <w:pPr>
              <w:spacing w:line="240" w:lineRule="auto"/>
              <w:ind w:firstLine="0" w:firstLineChars="0"/>
              <w:jc w:val="center"/>
              <w:rPr>
                <w:rFonts w:hint="eastAsia" w:hAnsi="宋体"/>
                <w:snapToGrid w:val="0"/>
                <w:color w:val="auto"/>
                <w:sz w:val="21"/>
                <w:szCs w:val="21"/>
              </w:rPr>
            </w:pPr>
          </w:p>
        </w:tc>
        <w:tc>
          <w:tcPr>
            <w:tcW w:w="653" w:type="pct"/>
            <w:vAlign w:val="center"/>
          </w:tcPr>
          <w:p w14:paraId="009126D9">
            <w:pPr>
              <w:spacing w:line="240" w:lineRule="auto"/>
              <w:ind w:firstLine="0" w:firstLineChars="0"/>
              <w:jc w:val="center"/>
              <w:rPr>
                <w:color w:val="auto"/>
                <w:sz w:val="21"/>
                <w:szCs w:val="21"/>
              </w:rPr>
            </w:pPr>
            <w:r>
              <w:rPr>
                <w:color w:val="auto"/>
                <w:sz w:val="21"/>
                <w:szCs w:val="21"/>
              </w:rPr>
              <w:t>NH</w:t>
            </w:r>
            <w:r>
              <w:rPr>
                <w:color w:val="auto"/>
                <w:sz w:val="21"/>
                <w:szCs w:val="21"/>
                <w:vertAlign w:val="subscript"/>
              </w:rPr>
              <w:t>3</w:t>
            </w:r>
          </w:p>
        </w:tc>
        <w:tc>
          <w:tcPr>
            <w:tcW w:w="568" w:type="pct"/>
            <w:shd w:val="clear" w:color="auto" w:fill="auto"/>
            <w:vAlign w:val="center"/>
          </w:tcPr>
          <w:p w14:paraId="6E0B5175">
            <w:pPr>
              <w:spacing w:line="240" w:lineRule="auto"/>
              <w:ind w:firstLine="0" w:firstLineChars="0"/>
              <w:jc w:val="center"/>
              <w:rPr>
                <w:snapToGrid w:val="0"/>
                <w:color w:val="auto"/>
                <w:sz w:val="21"/>
                <w:szCs w:val="21"/>
              </w:rPr>
            </w:pPr>
          </w:p>
        </w:tc>
        <w:tc>
          <w:tcPr>
            <w:tcW w:w="371" w:type="pct"/>
            <w:vAlign w:val="center"/>
          </w:tcPr>
          <w:p w14:paraId="50CBA138">
            <w:pPr>
              <w:spacing w:line="240" w:lineRule="auto"/>
              <w:ind w:firstLine="0" w:firstLineChars="0"/>
              <w:jc w:val="center"/>
              <w:rPr>
                <w:snapToGrid w:val="0"/>
                <w:color w:val="auto"/>
                <w:sz w:val="21"/>
                <w:szCs w:val="21"/>
              </w:rPr>
            </w:pPr>
          </w:p>
        </w:tc>
        <w:tc>
          <w:tcPr>
            <w:tcW w:w="717" w:type="pct"/>
            <w:vAlign w:val="center"/>
          </w:tcPr>
          <w:p w14:paraId="4EAAFED2">
            <w:pPr>
              <w:spacing w:line="240" w:lineRule="auto"/>
              <w:ind w:firstLine="0" w:firstLineChars="0"/>
              <w:jc w:val="center"/>
              <w:rPr>
                <w:snapToGrid w:val="0"/>
                <w:color w:val="auto"/>
                <w:sz w:val="21"/>
                <w:szCs w:val="21"/>
              </w:rPr>
            </w:pPr>
          </w:p>
        </w:tc>
        <w:tc>
          <w:tcPr>
            <w:tcW w:w="717" w:type="pct"/>
            <w:vAlign w:val="center"/>
          </w:tcPr>
          <w:p w14:paraId="323BB055">
            <w:pPr>
              <w:spacing w:line="240" w:lineRule="auto"/>
              <w:ind w:firstLine="0" w:firstLineChars="0"/>
              <w:jc w:val="center"/>
              <w:rPr>
                <w:rFonts w:hint="default" w:eastAsia="宋体"/>
                <w:snapToGrid w:val="0"/>
                <w:color w:val="auto"/>
                <w:sz w:val="21"/>
                <w:szCs w:val="21"/>
                <w:lang w:val="en-US" w:eastAsia="zh-CN"/>
              </w:rPr>
            </w:pPr>
            <w:r>
              <w:rPr>
                <w:rFonts w:hint="eastAsia"/>
                <w:snapToGrid w:val="0"/>
                <w:color w:val="auto"/>
                <w:sz w:val="21"/>
                <w:szCs w:val="21"/>
                <w:lang w:val="en-US" w:eastAsia="zh-CN"/>
              </w:rPr>
              <w:t>0.0193</w:t>
            </w:r>
          </w:p>
        </w:tc>
        <w:tc>
          <w:tcPr>
            <w:tcW w:w="614" w:type="pct"/>
            <w:vAlign w:val="center"/>
          </w:tcPr>
          <w:p w14:paraId="34973CF7">
            <w:pPr>
              <w:spacing w:line="240" w:lineRule="auto"/>
              <w:ind w:firstLine="0" w:firstLineChars="0"/>
              <w:jc w:val="center"/>
              <w:rPr>
                <w:snapToGrid w:val="0"/>
                <w:color w:val="auto"/>
                <w:sz w:val="21"/>
                <w:szCs w:val="21"/>
              </w:rPr>
            </w:pPr>
          </w:p>
        </w:tc>
        <w:tc>
          <w:tcPr>
            <w:tcW w:w="838" w:type="pct"/>
            <w:shd w:val="clear" w:color="auto" w:fill="auto"/>
            <w:vAlign w:val="center"/>
          </w:tcPr>
          <w:p w14:paraId="3F6EEF7C">
            <w:pPr>
              <w:spacing w:line="240" w:lineRule="auto"/>
              <w:ind w:firstLine="0" w:firstLineChars="0"/>
              <w:jc w:val="center"/>
              <w:rPr>
                <w:rFonts w:hint="default" w:ascii="Times New Roman" w:hAnsi="Times New Roman" w:eastAsia="宋体" w:cs="Times New Roman"/>
                <w:snapToGrid w:val="0"/>
                <w:color w:val="auto"/>
                <w:kern w:val="2"/>
                <w:sz w:val="21"/>
                <w:szCs w:val="21"/>
                <w:lang w:val="en-US" w:eastAsia="zh-CN" w:bidi="ar-SA"/>
              </w:rPr>
            </w:pPr>
            <w:r>
              <w:rPr>
                <w:rFonts w:hint="eastAsia"/>
                <w:snapToGrid w:val="0"/>
                <w:color w:val="auto"/>
                <w:sz w:val="21"/>
                <w:szCs w:val="21"/>
                <w:lang w:val="en-US" w:eastAsia="zh-CN"/>
              </w:rPr>
              <w:t>0.0193</w:t>
            </w:r>
          </w:p>
        </w:tc>
        <w:tc>
          <w:tcPr>
            <w:tcW w:w="319" w:type="pct"/>
            <w:shd w:val="clear" w:color="auto" w:fill="auto"/>
            <w:vAlign w:val="center"/>
          </w:tcPr>
          <w:p w14:paraId="4FF733A7">
            <w:pPr>
              <w:spacing w:line="240" w:lineRule="auto"/>
              <w:ind w:firstLine="0" w:firstLineChars="0"/>
              <w:jc w:val="center"/>
              <w:rPr>
                <w:rFonts w:hint="default" w:ascii="Times New Roman" w:hAnsi="Times New Roman" w:eastAsia="宋体" w:cs="Times New Roman"/>
                <w:snapToGrid w:val="0"/>
                <w:color w:val="auto"/>
                <w:kern w:val="2"/>
                <w:sz w:val="21"/>
                <w:szCs w:val="21"/>
                <w:lang w:val="en-US" w:eastAsia="zh-CN" w:bidi="ar-SA"/>
              </w:rPr>
            </w:pPr>
            <w:r>
              <w:rPr>
                <w:rFonts w:hint="eastAsia"/>
                <w:snapToGrid w:val="0"/>
                <w:color w:val="auto"/>
                <w:sz w:val="21"/>
                <w:szCs w:val="21"/>
                <w:lang w:val="en-US" w:eastAsia="zh-CN"/>
              </w:rPr>
              <w:t>+0.0193</w:t>
            </w:r>
          </w:p>
        </w:tc>
      </w:tr>
      <w:tr w14:paraId="2070A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8" w:type="pct"/>
            <w:vMerge w:val="continue"/>
            <w:vAlign w:val="center"/>
          </w:tcPr>
          <w:p w14:paraId="5CA8B141">
            <w:pPr>
              <w:spacing w:line="240" w:lineRule="auto"/>
              <w:ind w:firstLine="0" w:firstLineChars="0"/>
              <w:jc w:val="center"/>
              <w:rPr>
                <w:rFonts w:hint="eastAsia" w:hAnsi="宋体"/>
                <w:snapToGrid w:val="0"/>
                <w:color w:val="auto"/>
                <w:sz w:val="21"/>
                <w:szCs w:val="21"/>
              </w:rPr>
            </w:pPr>
          </w:p>
        </w:tc>
        <w:tc>
          <w:tcPr>
            <w:tcW w:w="653" w:type="pct"/>
            <w:vAlign w:val="center"/>
          </w:tcPr>
          <w:p w14:paraId="4579AFEC">
            <w:pPr>
              <w:spacing w:line="240" w:lineRule="auto"/>
              <w:ind w:firstLine="0" w:firstLineChars="0"/>
              <w:jc w:val="center"/>
              <w:rPr>
                <w:color w:val="auto"/>
                <w:sz w:val="21"/>
                <w:szCs w:val="21"/>
              </w:rPr>
            </w:pPr>
            <w:r>
              <w:rPr>
                <w:color w:val="auto"/>
                <w:sz w:val="21"/>
                <w:szCs w:val="21"/>
              </w:rPr>
              <w:t>H</w:t>
            </w:r>
            <w:r>
              <w:rPr>
                <w:color w:val="auto"/>
                <w:sz w:val="21"/>
                <w:szCs w:val="21"/>
                <w:vertAlign w:val="subscript"/>
              </w:rPr>
              <w:t>2</w:t>
            </w:r>
            <w:r>
              <w:rPr>
                <w:color w:val="auto"/>
                <w:sz w:val="21"/>
                <w:szCs w:val="21"/>
              </w:rPr>
              <w:t>S</w:t>
            </w:r>
          </w:p>
        </w:tc>
        <w:tc>
          <w:tcPr>
            <w:tcW w:w="568" w:type="pct"/>
            <w:shd w:val="clear" w:color="auto" w:fill="auto"/>
            <w:vAlign w:val="center"/>
          </w:tcPr>
          <w:p w14:paraId="40A35AD0">
            <w:pPr>
              <w:spacing w:line="240" w:lineRule="auto"/>
              <w:ind w:firstLine="0" w:firstLineChars="0"/>
              <w:jc w:val="center"/>
              <w:rPr>
                <w:snapToGrid w:val="0"/>
                <w:color w:val="auto"/>
                <w:sz w:val="21"/>
                <w:szCs w:val="21"/>
              </w:rPr>
            </w:pPr>
          </w:p>
        </w:tc>
        <w:tc>
          <w:tcPr>
            <w:tcW w:w="371" w:type="pct"/>
            <w:vAlign w:val="center"/>
          </w:tcPr>
          <w:p w14:paraId="39C59EDC">
            <w:pPr>
              <w:spacing w:line="240" w:lineRule="auto"/>
              <w:ind w:firstLine="0" w:firstLineChars="0"/>
              <w:jc w:val="center"/>
              <w:rPr>
                <w:snapToGrid w:val="0"/>
                <w:color w:val="auto"/>
                <w:sz w:val="21"/>
                <w:szCs w:val="21"/>
              </w:rPr>
            </w:pPr>
          </w:p>
        </w:tc>
        <w:tc>
          <w:tcPr>
            <w:tcW w:w="717" w:type="pct"/>
            <w:vAlign w:val="center"/>
          </w:tcPr>
          <w:p w14:paraId="0BCB67A7">
            <w:pPr>
              <w:spacing w:line="240" w:lineRule="auto"/>
              <w:ind w:firstLine="0" w:firstLineChars="0"/>
              <w:jc w:val="center"/>
              <w:rPr>
                <w:snapToGrid w:val="0"/>
                <w:color w:val="auto"/>
                <w:sz w:val="21"/>
                <w:szCs w:val="21"/>
              </w:rPr>
            </w:pPr>
          </w:p>
        </w:tc>
        <w:tc>
          <w:tcPr>
            <w:tcW w:w="717" w:type="pct"/>
            <w:vAlign w:val="center"/>
          </w:tcPr>
          <w:p w14:paraId="1E7A1E6D">
            <w:pPr>
              <w:spacing w:line="240" w:lineRule="auto"/>
              <w:ind w:firstLine="0" w:firstLineChars="0"/>
              <w:jc w:val="center"/>
              <w:rPr>
                <w:rFonts w:hint="default" w:eastAsia="宋体"/>
                <w:snapToGrid w:val="0"/>
                <w:color w:val="auto"/>
                <w:sz w:val="21"/>
                <w:szCs w:val="21"/>
                <w:lang w:val="en-US" w:eastAsia="zh-CN"/>
              </w:rPr>
            </w:pPr>
            <w:r>
              <w:rPr>
                <w:rFonts w:hint="eastAsia"/>
                <w:snapToGrid w:val="0"/>
                <w:color w:val="auto"/>
                <w:sz w:val="21"/>
                <w:szCs w:val="21"/>
                <w:lang w:val="en-US" w:eastAsia="zh-CN"/>
              </w:rPr>
              <w:t>0.0016</w:t>
            </w:r>
          </w:p>
        </w:tc>
        <w:tc>
          <w:tcPr>
            <w:tcW w:w="614" w:type="pct"/>
            <w:vAlign w:val="center"/>
          </w:tcPr>
          <w:p w14:paraId="6927FF3C">
            <w:pPr>
              <w:spacing w:line="240" w:lineRule="auto"/>
              <w:ind w:firstLine="0" w:firstLineChars="0"/>
              <w:jc w:val="center"/>
              <w:rPr>
                <w:snapToGrid w:val="0"/>
                <w:color w:val="auto"/>
                <w:sz w:val="21"/>
                <w:szCs w:val="21"/>
              </w:rPr>
            </w:pPr>
          </w:p>
        </w:tc>
        <w:tc>
          <w:tcPr>
            <w:tcW w:w="838" w:type="pct"/>
            <w:shd w:val="clear" w:color="auto" w:fill="auto"/>
            <w:vAlign w:val="center"/>
          </w:tcPr>
          <w:p w14:paraId="2B1B75CC">
            <w:pPr>
              <w:spacing w:line="240" w:lineRule="auto"/>
              <w:ind w:firstLine="0" w:firstLineChars="0"/>
              <w:jc w:val="center"/>
              <w:rPr>
                <w:rFonts w:hint="default" w:ascii="Times New Roman" w:hAnsi="Times New Roman" w:eastAsia="宋体" w:cs="Times New Roman"/>
                <w:snapToGrid w:val="0"/>
                <w:color w:val="auto"/>
                <w:kern w:val="2"/>
                <w:sz w:val="21"/>
                <w:szCs w:val="21"/>
                <w:lang w:val="en-US" w:eastAsia="zh-CN" w:bidi="ar-SA"/>
              </w:rPr>
            </w:pPr>
            <w:r>
              <w:rPr>
                <w:rFonts w:hint="eastAsia"/>
                <w:snapToGrid w:val="0"/>
                <w:color w:val="auto"/>
                <w:sz w:val="21"/>
                <w:szCs w:val="21"/>
                <w:lang w:val="en-US" w:eastAsia="zh-CN"/>
              </w:rPr>
              <w:t>0.0016</w:t>
            </w:r>
          </w:p>
        </w:tc>
        <w:tc>
          <w:tcPr>
            <w:tcW w:w="319" w:type="pct"/>
            <w:shd w:val="clear" w:color="auto" w:fill="auto"/>
            <w:vAlign w:val="center"/>
          </w:tcPr>
          <w:p w14:paraId="492F6896">
            <w:pPr>
              <w:spacing w:line="240" w:lineRule="auto"/>
              <w:ind w:firstLine="0" w:firstLineChars="0"/>
              <w:jc w:val="center"/>
              <w:rPr>
                <w:rFonts w:hint="default" w:ascii="Times New Roman" w:hAnsi="Times New Roman" w:eastAsia="宋体" w:cs="Times New Roman"/>
                <w:snapToGrid w:val="0"/>
                <w:color w:val="auto"/>
                <w:kern w:val="2"/>
                <w:sz w:val="21"/>
                <w:szCs w:val="21"/>
                <w:lang w:val="en-US" w:eastAsia="zh-CN" w:bidi="ar-SA"/>
              </w:rPr>
            </w:pPr>
            <w:r>
              <w:rPr>
                <w:rFonts w:hint="eastAsia"/>
                <w:snapToGrid w:val="0"/>
                <w:color w:val="auto"/>
                <w:sz w:val="21"/>
                <w:szCs w:val="21"/>
                <w:lang w:val="en-US" w:eastAsia="zh-CN"/>
              </w:rPr>
              <w:t>+0.0016</w:t>
            </w:r>
          </w:p>
        </w:tc>
      </w:tr>
      <w:tr w14:paraId="49417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8" w:type="pct"/>
            <w:vMerge w:val="continue"/>
            <w:vAlign w:val="center"/>
          </w:tcPr>
          <w:p w14:paraId="057B3F14">
            <w:pPr>
              <w:spacing w:line="240" w:lineRule="auto"/>
              <w:ind w:firstLine="0" w:firstLineChars="0"/>
              <w:jc w:val="center"/>
              <w:rPr>
                <w:rFonts w:hint="eastAsia" w:hAnsi="宋体"/>
                <w:snapToGrid w:val="0"/>
                <w:color w:val="auto"/>
                <w:sz w:val="21"/>
                <w:szCs w:val="21"/>
              </w:rPr>
            </w:pPr>
          </w:p>
        </w:tc>
        <w:tc>
          <w:tcPr>
            <w:tcW w:w="653" w:type="pct"/>
            <w:vAlign w:val="center"/>
          </w:tcPr>
          <w:p w14:paraId="315CCDF5">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VOCs</w:t>
            </w:r>
          </w:p>
        </w:tc>
        <w:tc>
          <w:tcPr>
            <w:tcW w:w="568" w:type="pct"/>
            <w:shd w:val="clear" w:color="auto" w:fill="auto"/>
            <w:vAlign w:val="center"/>
          </w:tcPr>
          <w:p w14:paraId="1C54099A">
            <w:pPr>
              <w:spacing w:line="240" w:lineRule="auto"/>
              <w:ind w:firstLine="0" w:firstLineChars="0"/>
              <w:jc w:val="center"/>
              <w:rPr>
                <w:snapToGrid w:val="0"/>
                <w:color w:val="auto"/>
                <w:sz w:val="21"/>
                <w:szCs w:val="21"/>
              </w:rPr>
            </w:pPr>
          </w:p>
        </w:tc>
        <w:tc>
          <w:tcPr>
            <w:tcW w:w="371" w:type="pct"/>
            <w:vAlign w:val="center"/>
          </w:tcPr>
          <w:p w14:paraId="46EE20A6">
            <w:pPr>
              <w:spacing w:line="240" w:lineRule="auto"/>
              <w:ind w:firstLine="0" w:firstLineChars="0"/>
              <w:jc w:val="center"/>
              <w:rPr>
                <w:snapToGrid w:val="0"/>
                <w:color w:val="auto"/>
                <w:sz w:val="21"/>
                <w:szCs w:val="21"/>
              </w:rPr>
            </w:pPr>
          </w:p>
        </w:tc>
        <w:tc>
          <w:tcPr>
            <w:tcW w:w="717" w:type="pct"/>
            <w:vAlign w:val="center"/>
          </w:tcPr>
          <w:p w14:paraId="3300D327">
            <w:pPr>
              <w:spacing w:line="240" w:lineRule="auto"/>
              <w:ind w:firstLine="0" w:firstLineChars="0"/>
              <w:jc w:val="center"/>
              <w:rPr>
                <w:snapToGrid w:val="0"/>
                <w:color w:val="auto"/>
                <w:sz w:val="21"/>
                <w:szCs w:val="21"/>
              </w:rPr>
            </w:pPr>
          </w:p>
        </w:tc>
        <w:tc>
          <w:tcPr>
            <w:tcW w:w="717" w:type="pct"/>
            <w:vAlign w:val="center"/>
          </w:tcPr>
          <w:p w14:paraId="765E9285">
            <w:pPr>
              <w:spacing w:line="240" w:lineRule="auto"/>
              <w:ind w:firstLine="0" w:firstLineChars="0"/>
              <w:jc w:val="center"/>
              <w:rPr>
                <w:rFonts w:hint="default" w:eastAsia="宋体"/>
                <w:snapToGrid w:val="0"/>
                <w:color w:val="auto"/>
                <w:sz w:val="21"/>
                <w:szCs w:val="21"/>
                <w:lang w:val="en-US" w:eastAsia="zh-CN"/>
              </w:rPr>
            </w:pPr>
            <w:r>
              <w:rPr>
                <w:rFonts w:hint="eastAsia"/>
                <w:snapToGrid w:val="0"/>
                <w:color w:val="auto"/>
                <w:sz w:val="21"/>
                <w:szCs w:val="21"/>
                <w:lang w:val="en-US" w:eastAsia="zh-CN"/>
              </w:rPr>
              <w:t>0.0038</w:t>
            </w:r>
          </w:p>
        </w:tc>
        <w:tc>
          <w:tcPr>
            <w:tcW w:w="614" w:type="pct"/>
            <w:vAlign w:val="center"/>
          </w:tcPr>
          <w:p w14:paraId="24B00458">
            <w:pPr>
              <w:spacing w:line="240" w:lineRule="auto"/>
              <w:ind w:firstLine="0" w:firstLineChars="0"/>
              <w:jc w:val="center"/>
              <w:rPr>
                <w:snapToGrid w:val="0"/>
                <w:color w:val="auto"/>
                <w:sz w:val="21"/>
                <w:szCs w:val="21"/>
              </w:rPr>
            </w:pPr>
          </w:p>
        </w:tc>
        <w:tc>
          <w:tcPr>
            <w:tcW w:w="838" w:type="pct"/>
            <w:shd w:val="clear" w:color="auto" w:fill="auto"/>
            <w:vAlign w:val="center"/>
          </w:tcPr>
          <w:p w14:paraId="5AB61C96">
            <w:pPr>
              <w:spacing w:line="240" w:lineRule="auto"/>
              <w:ind w:firstLine="0" w:firstLineChars="0"/>
              <w:jc w:val="center"/>
              <w:rPr>
                <w:rFonts w:hint="default" w:ascii="Times New Roman" w:hAnsi="Times New Roman" w:eastAsia="宋体" w:cs="Times New Roman"/>
                <w:snapToGrid w:val="0"/>
                <w:color w:val="auto"/>
                <w:kern w:val="2"/>
                <w:sz w:val="21"/>
                <w:szCs w:val="21"/>
                <w:lang w:val="en-US" w:eastAsia="zh-CN" w:bidi="ar-SA"/>
              </w:rPr>
            </w:pPr>
            <w:r>
              <w:rPr>
                <w:rFonts w:hint="eastAsia"/>
                <w:snapToGrid w:val="0"/>
                <w:color w:val="auto"/>
                <w:sz w:val="21"/>
                <w:szCs w:val="21"/>
                <w:lang w:val="en-US" w:eastAsia="zh-CN"/>
              </w:rPr>
              <w:t>0.0038</w:t>
            </w:r>
          </w:p>
        </w:tc>
        <w:tc>
          <w:tcPr>
            <w:tcW w:w="319" w:type="pct"/>
            <w:shd w:val="clear" w:color="auto" w:fill="auto"/>
            <w:vAlign w:val="center"/>
          </w:tcPr>
          <w:p w14:paraId="132DAC8A">
            <w:pPr>
              <w:spacing w:line="240" w:lineRule="auto"/>
              <w:ind w:firstLine="0" w:firstLineChars="0"/>
              <w:jc w:val="center"/>
              <w:rPr>
                <w:rFonts w:hint="default" w:ascii="Times New Roman" w:hAnsi="Times New Roman" w:eastAsia="宋体" w:cs="Times New Roman"/>
                <w:snapToGrid w:val="0"/>
                <w:color w:val="auto"/>
                <w:kern w:val="2"/>
                <w:sz w:val="21"/>
                <w:szCs w:val="21"/>
                <w:lang w:val="en-US" w:eastAsia="zh-CN" w:bidi="ar-SA"/>
              </w:rPr>
            </w:pPr>
            <w:r>
              <w:rPr>
                <w:rFonts w:hint="eastAsia"/>
                <w:snapToGrid w:val="0"/>
                <w:color w:val="auto"/>
                <w:sz w:val="21"/>
                <w:szCs w:val="21"/>
                <w:lang w:val="en-US" w:eastAsia="zh-CN"/>
              </w:rPr>
              <w:t>+0.0038</w:t>
            </w:r>
          </w:p>
        </w:tc>
      </w:tr>
      <w:tr w14:paraId="0F975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9" w:hRule="atLeast"/>
          <w:jc w:val="center"/>
        </w:trPr>
        <w:tc>
          <w:tcPr>
            <w:tcW w:w="198" w:type="pct"/>
            <w:vMerge w:val="restart"/>
            <w:vAlign w:val="center"/>
          </w:tcPr>
          <w:p w14:paraId="65E43D6B">
            <w:pPr>
              <w:spacing w:line="240" w:lineRule="auto"/>
              <w:ind w:firstLine="0" w:firstLineChars="0"/>
              <w:jc w:val="center"/>
              <w:rPr>
                <w:rFonts w:hint="eastAsia" w:hAnsi="宋体"/>
                <w:snapToGrid w:val="0"/>
                <w:color w:val="auto"/>
                <w:sz w:val="21"/>
                <w:szCs w:val="21"/>
              </w:rPr>
            </w:pPr>
            <w:r>
              <w:rPr>
                <w:rFonts w:hint="eastAsia" w:hAnsi="宋体"/>
                <w:snapToGrid w:val="0"/>
                <w:color w:val="auto"/>
                <w:sz w:val="21"/>
                <w:szCs w:val="21"/>
              </w:rPr>
              <w:t>废水</w:t>
            </w:r>
          </w:p>
        </w:tc>
        <w:tc>
          <w:tcPr>
            <w:tcW w:w="653" w:type="pct"/>
            <w:vAlign w:val="center"/>
          </w:tcPr>
          <w:p w14:paraId="107B1516">
            <w:pPr>
              <w:spacing w:line="240" w:lineRule="auto"/>
              <w:ind w:firstLine="0" w:firstLineChars="0"/>
              <w:jc w:val="center"/>
              <w:rPr>
                <w:rFonts w:hint="eastAsia" w:hAnsi="宋体"/>
                <w:snapToGrid w:val="0"/>
                <w:color w:val="auto"/>
                <w:sz w:val="21"/>
                <w:szCs w:val="21"/>
              </w:rPr>
            </w:pPr>
            <w:r>
              <w:rPr>
                <w:color w:val="auto"/>
                <w:sz w:val="21"/>
                <w:szCs w:val="21"/>
              </w:rPr>
              <w:t>COD</w:t>
            </w:r>
          </w:p>
        </w:tc>
        <w:tc>
          <w:tcPr>
            <w:tcW w:w="568" w:type="pct"/>
            <w:shd w:val="clear" w:color="auto" w:fill="auto"/>
            <w:vAlign w:val="center"/>
          </w:tcPr>
          <w:p w14:paraId="17E23F3A">
            <w:pPr>
              <w:spacing w:line="240" w:lineRule="auto"/>
              <w:ind w:firstLine="0" w:firstLineChars="0"/>
              <w:jc w:val="center"/>
              <w:rPr>
                <w:snapToGrid w:val="0"/>
                <w:color w:val="auto"/>
                <w:sz w:val="21"/>
                <w:szCs w:val="21"/>
              </w:rPr>
            </w:pPr>
          </w:p>
        </w:tc>
        <w:tc>
          <w:tcPr>
            <w:tcW w:w="371" w:type="pct"/>
            <w:vAlign w:val="center"/>
          </w:tcPr>
          <w:p w14:paraId="7AEF6D2E">
            <w:pPr>
              <w:spacing w:line="240" w:lineRule="auto"/>
              <w:ind w:firstLine="0" w:firstLineChars="0"/>
              <w:jc w:val="center"/>
              <w:rPr>
                <w:snapToGrid w:val="0"/>
                <w:color w:val="auto"/>
                <w:sz w:val="21"/>
                <w:szCs w:val="21"/>
              </w:rPr>
            </w:pPr>
          </w:p>
        </w:tc>
        <w:tc>
          <w:tcPr>
            <w:tcW w:w="717" w:type="pct"/>
            <w:vAlign w:val="center"/>
          </w:tcPr>
          <w:p w14:paraId="72FB897F">
            <w:pPr>
              <w:spacing w:line="240" w:lineRule="auto"/>
              <w:ind w:firstLine="0" w:firstLineChars="0"/>
              <w:jc w:val="center"/>
              <w:rPr>
                <w:snapToGrid w:val="0"/>
                <w:color w:val="auto"/>
                <w:sz w:val="21"/>
                <w:szCs w:val="21"/>
              </w:rPr>
            </w:pPr>
          </w:p>
        </w:tc>
        <w:tc>
          <w:tcPr>
            <w:tcW w:w="717" w:type="pct"/>
            <w:vAlign w:val="center"/>
          </w:tcPr>
          <w:p w14:paraId="28E946BD">
            <w:pPr>
              <w:spacing w:line="240" w:lineRule="auto"/>
              <w:ind w:firstLine="0" w:firstLineChars="0"/>
              <w:jc w:val="center"/>
              <w:rPr>
                <w:rFonts w:hint="default" w:eastAsia="宋体"/>
                <w:snapToGrid w:val="0"/>
                <w:color w:val="auto"/>
                <w:sz w:val="21"/>
                <w:szCs w:val="21"/>
                <w:lang w:val="en-US" w:eastAsia="zh-CN"/>
              </w:rPr>
            </w:pPr>
            <w:r>
              <w:rPr>
                <w:rFonts w:hint="eastAsia"/>
                <w:snapToGrid w:val="0"/>
                <w:color w:val="auto"/>
                <w:sz w:val="21"/>
                <w:szCs w:val="21"/>
                <w:lang w:val="en-US" w:eastAsia="zh-CN"/>
              </w:rPr>
              <w:t>5.2507</w:t>
            </w:r>
          </w:p>
        </w:tc>
        <w:tc>
          <w:tcPr>
            <w:tcW w:w="614" w:type="pct"/>
            <w:vAlign w:val="center"/>
          </w:tcPr>
          <w:p w14:paraId="6A082FBC">
            <w:pPr>
              <w:spacing w:line="240" w:lineRule="auto"/>
              <w:ind w:firstLine="0" w:firstLineChars="0"/>
              <w:jc w:val="center"/>
              <w:rPr>
                <w:snapToGrid w:val="0"/>
                <w:color w:val="auto"/>
                <w:sz w:val="21"/>
                <w:szCs w:val="21"/>
              </w:rPr>
            </w:pPr>
          </w:p>
        </w:tc>
        <w:tc>
          <w:tcPr>
            <w:tcW w:w="838" w:type="pct"/>
            <w:shd w:val="clear" w:color="auto" w:fill="auto"/>
            <w:vAlign w:val="center"/>
          </w:tcPr>
          <w:p w14:paraId="48CCBECC">
            <w:pPr>
              <w:spacing w:line="240" w:lineRule="auto"/>
              <w:ind w:firstLine="0" w:firstLineChars="0"/>
              <w:jc w:val="center"/>
              <w:rPr>
                <w:rFonts w:hint="default" w:ascii="Times New Roman" w:hAnsi="Times New Roman" w:eastAsia="宋体" w:cs="Times New Roman"/>
                <w:snapToGrid w:val="0"/>
                <w:color w:val="auto"/>
                <w:kern w:val="2"/>
                <w:sz w:val="21"/>
                <w:szCs w:val="21"/>
                <w:lang w:val="en-US" w:eastAsia="zh-CN" w:bidi="ar-SA"/>
              </w:rPr>
            </w:pPr>
            <w:r>
              <w:rPr>
                <w:rFonts w:hint="eastAsia"/>
                <w:snapToGrid w:val="0"/>
                <w:color w:val="auto"/>
                <w:sz w:val="21"/>
                <w:szCs w:val="21"/>
                <w:lang w:val="en-US" w:eastAsia="zh-CN"/>
              </w:rPr>
              <w:t>5.2507</w:t>
            </w:r>
          </w:p>
        </w:tc>
        <w:tc>
          <w:tcPr>
            <w:tcW w:w="319" w:type="pct"/>
            <w:shd w:val="clear" w:color="auto" w:fill="auto"/>
            <w:vAlign w:val="center"/>
          </w:tcPr>
          <w:p w14:paraId="5C110FC3">
            <w:pPr>
              <w:spacing w:line="240" w:lineRule="auto"/>
              <w:ind w:firstLine="0" w:firstLineChars="0"/>
              <w:jc w:val="center"/>
              <w:rPr>
                <w:rFonts w:hint="default" w:ascii="Times New Roman" w:hAnsi="Times New Roman" w:eastAsia="宋体" w:cs="Times New Roman"/>
                <w:snapToGrid w:val="0"/>
                <w:color w:val="auto"/>
                <w:kern w:val="2"/>
                <w:sz w:val="21"/>
                <w:szCs w:val="21"/>
                <w:lang w:val="en-US" w:eastAsia="zh-CN" w:bidi="ar-SA"/>
              </w:rPr>
            </w:pPr>
            <w:r>
              <w:rPr>
                <w:rFonts w:hint="eastAsia"/>
                <w:snapToGrid w:val="0"/>
                <w:color w:val="auto"/>
                <w:sz w:val="21"/>
                <w:szCs w:val="21"/>
                <w:lang w:val="en-US" w:eastAsia="zh-CN"/>
              </w:rPr>
              <w:t>+5.2507</w:t>
            </w:r>
          </w:p>
        </w:tc>
      </w:tr>
      <w:tr w14:paraId="6AD06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8" w:type="pct"/>
            <w:vMerge w:val="continue"/>
            <w:vAlign w:val="center"/>
          </w:tcPr>
          <w:p w14:paraId="1401E985">
            <w:pPr>
              <w:spacing w:line="240" w:lineRule="auto"/>
              <w:ind w:firstLine="0" w:firstLineChars="0"/>
              <w:jc w:val="center"/>
              <w:rPr>
                <w:rFonts w:hint="eastAsia" w:hAnsi="宋体"/>
                <w:snapToGrid w:val="0"/>
                <w:color w:val="auto"/>
                <w:sz w:val="21"/>
                <w:szCs w:val="21"/>
              </w:rPr>
            </w:pPr>
          </w:p>
        </w:tc>
        <w:tc>
          <w:tcPr>
            <w:tcW w:w="653" w:type="pct"/>
            <w:vAlign w:val="center"/>
          </w:tcPr>
          <w:p w14:paraId="57C26FA1">
            <w:pPr>
              <w:spacing w:line="240" w:lineRule="auto"/>
              <w:ind w:firstLine="0" w:firstLineChars="0"/>
              <w:jc w:val="center"/>
              <w:rPr>
                <w:rFonts w:hint="eastAsia" w:hAnsi="宋体"/>
                <w:snapToGrid w:val="0"/>
                <w:color w:val="auto"/>
                <w:sz w:val="21"/>
                <w:szCs w:val="21"/>
              </w:rPr>
            </w:pPr>
            <w:r>
              <w:rPr>
                <w:color w:val="auto"/>
                <w:sz w:val="21"/>
                <w:szCs w:val="21"/>
              </w:rPr>
              <w:t>NH</w:t>
            </w:r>
            <w:r>
              <w:rPr>
                <w:color w:val="auto"/>
                <w:sz w:val="21"/>
                <w:szCs w:val="21"/>
                <w:vertAlign w:val="subscript"/>
              </w:rPr>
              <w:t>3</w:t>
            </w:r>
            <w:r>
              <w:rPr>
                <w:color w:val="auto"/>
                <w:sz w:val="21"/>
                <w:szCs w:val="21"/>
              </w:rPr>
              <w:t>-N</w:t>
            </w:r>
          </w:p>
        </w:tc>
        <w:tc>
          <w:tcPr>
            <w:tcW w:w="568" w:type="pct"/>
            <w:shd w:val="clear" w:color="auto" w:fill="auto"/>
            <w:vAlign w:val="center"/>
          </w:tcPr>
          <w:p w14:paraId="11090E08">
            <w:pPr>
              <w:spacing w:line="240" w:lineRule="auto"/>
              <w:ind w:firstLine="0" w:firstLineChars="0"/>
              <w:jc w:val="center"/>
              <w:rPr>
                <w:snapToGrid w:val="0"/>
                <w:color w:val="auto"/>
                <w:sz w:val="21"/>
                <w:szCs w:val="21"/>
              </w:rPr>
            </w:pPr>
          </w:p>
        </w:tc>
        <w:tc>
          <w:tcPr>
            <w:tcW w:w="371" w:type="pct"/>
            <w:vAlign w:val="center"/>
          </w:tcPr>
          <w:p w14:paraId="534FC59A">
            <w:pPr>
              <w:spacing w:line="240" w:lineRule="auto"/>
              <w:ind w:firstLine="0" w:firstLineChars="0"/>
              <w:jc w:val="center"/>
              <w:rPr>
                <w:snapToGrid w:val="0"/>
                <w:color w:val="auto"/>
                <w:sz w:val="21"/>
                <w:szCs w:val="21"/>
              </w:rPr>
            </w:pPr>
          </w:p>
        </w:tc>
        <w:tc>
          <w:tcPr>
            <w:tcW w:w="717" w:type="pct"/>
            <w:vAlign w:val="center"/>
          </w:tcPr>
          <w:p w14:paraId="529A9BB2">
            <w:pPr>
              <w:spacing w:line="240" w:lineRule="auto"/>
              <w:ind w:firstLine="0" w:firstLineChars="0"/>
              <w:jc w:val="center"/>
              <w:rPr>
                <w:snapToGrid w:val="0"/>
                <w:color w:val="auto"/>
                <w:sz w:val="21"/>
                <w:szCs w:val="21"/>
              </w:rPr>
            </w:pPr>
          </w:p>
        </w:tc>
        <w:tc>
          <w:tcPr>
            <w:tcW w:w="717" w:type="pct"/>
            <w:vAlign w:val="center"/>
          </w:tcPr>
          <w:p w14:paraId="41E60048">
            <w:pPr>
              <w:spacing w:line="240" w:lineRule="auto"/>
              <w:ind w:firstLine="0" w:firstLineChars="0"/>
              <w:jc w:val="center"/>
              <w:rPr>
                <w:rFonts w:hint="default" w:eastAsia="宋体"/>
                <w:snapToGrid w:val="0"/>
                <w:color w:val="auto"/>
                <w:sz w:val="21"/>
                <w:szCs w:val="21"/>
                <w:lang w:val="en-US" w:eastAsia="zh-CN"/>
              </w:rPr>
            </w:pPr>
            <w:r>
              <w:rPr>
                <w:rFonts w:hint="eastAsia"/>
                <w:snapToGrid w:val="0"/>
                <w:color w:val="auto"/>
                <w:sz w:val="21"/>
                <w:szCs w:val="21"/>
                <w:lang w:val="en-US" w:eastAsia="zh-CN"/>
              </w:rPr>
              <w:t>0.4311</w:t>
            </w:r>
          </w:p>
        </w:tc>
        <w:tc>
          <w:tcPr>
            <w:tcW w:w="614" w:type="pct"/>
            <w:vAlign w:val="center"/>
          </w:tcPr>
          <w:p w14:paraId="5E6CE9E8">
            <w:pPr>
              <w:spacing w:line="240" w:lineRule="auto"/>
              <w:ind w:firstLine="0" w:firstLineChars="0"/>
              <w:jc w:val="center"/>
              <w:rPr>
                <w:snapToGrid w:val="0"/>
                <w:color w:val="auto"/>
                <w:sz w:val="21"/>
                <w:szCs w:val="21"/>
              </w:rPr>
            </w:pPr>
          </w:p>
        </w:tc>
        <w:tc>
          <w:tcPr>
            <w:tcW w:w="838" w:type="pct"/>
            <w:shd w:val="clear" w:color="auto" w:fill="auto"/>
            <w:vAlign w:val="center"/>
          </w:tcPr>
          <w:p w14:paraId="36E83D8F">
            <w:pPr>
              <w:spacing w:line="240" w:lineRule="auto"/>
              <w:ind w:firstLine="0" w:firstLineChars="0"/>
              <w:jc w:val="center"/>
              <w:rPr>
                <w:rFonts w:hint="default" w:ascii="Times New Roman" w:hAnsi="Times New Roman" w:eastAsia="宋体" w:cs="Times New Roman"/>
                <w:snapToGrid w:val="0"/>
                <w:color w:val="auto"/>
                <w:kern w:val="2"/>
                <w:sz w:val="21"/>
                <w:szCs w:val="21"/>
                <w:lang w:val="en-US" w:eastAsia="zh-CN" w:bidi="ar-SA"/>
              </w:rPr>
            </w:pPr>
            <w:r>
              <w:rPr>
                <w:rFonts w:hint="eastAsia"/>
                <w:snapToGrid w:val="0"/>
                <w:color w:val="auto"/>
                <w:sz w:val="21"/>
                <w:szCs w:val="21"/>
                <w:lang w:val="en-US" w:eastAsia="zh-CN"/>
              </w:rPr>
              <w:t>0.4311</w:t>
            </w:r>
          </w:p>
        </w:tc>
        <w:tc>
          <w:tcPr>
            <w:tcW w:w="319" w:type="pct"/>
            <w:shd w:val="clear" w:color="auto" w:fill="auto"/>
            <w:vAlign w:val="center"/>
          </w:tcPr>
          <w:p w14:paraId="5D3C8CC3">
            <w:pPr>
              <w:spacing w:line="240" w:lineRule="auto"/>
              <w:ind w:firstLine="0" w:firstLineChars="0"/>
              <w:jc w:val="center"/>
              <w:rPr>
                <w:rFonts w:hint="default" w:ascii="Times New Roman" w:hAnsi="Times New Roman" w:eastAsia="宋体" w:cs="Times New Roman"/>
                <w:snapToGrid w:val="0"/>
                <w:color w:val="auto"/>
                <w:kern w:val="2"/>
                <w:sz w:val="21"/>
                <w:szCs w:val="21"/>
                <w:lang w:val="en-US" w:eastAsia="zh-CN" w:bidi="ar-SA"/>
              </w:rPr>
            </w:pPr>
            <w:r>
              <w:rPr>
                <w:rFonts w:hint="eastAsia"/>
                <w:snapToGrid w:val="0"/>
                <w:color w:val="auto"/>
                <w:sz w:val="21"/>
                <w:szCs w:val="21"/>
                <w:lang w:val="en-US" w:eastAsia="zh-CN"/>
              </w:rPr>
              <w:t>+0.4311</w:t>
            </w:r>
          </w:p>
        </w:tc>
      </w:tr>
      <w:tr w14:paraId="1FA2E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8" w:type="pct"/>
            <w:vMerge w:val="restart"/>
            <w:vAlign w:val="center"/>
          </w:tcPr>
          <w:p w14:paraId="6C56E163">
            <w:pPr>
              <w:spacing w:line="240" w:lineRule="auto"/>
              <w:ind w:firstLine="0" w:firstLineChars="0"/>
              <w:jc w:val="center"/>
              <w:rPr>
                <w:rFonts w:hint="eastAsia" w:hAnsi="宋体"/>
                <w:snapToGrid w:val="0"/>
                <w:color w:val="auto"/>
                <w:sz w:val="21"/>
                <w:szCs w:val="21"/>
              </w:rPr>
            </w:pPr>
            <w:r>
              <w:rPr>
                <w:rFonts w:hint="eastAsia" w:hAnsi="宋体"/>
                <w:snapToGrid w:val="0"/>
                <w:color w:val="auto"/>
                <w:sz w:val="21"/>
                <w:szCs w:val="21"/>
              </w:rPr>
              <w:t>一般工业固体废物</w:t>
            </w:r>
          </w:p>
        </w:tc>
        <w:tc>
          <w:tcPr>
            <w:tcW w:w="653" w:type="pct"/>
            <w:shd w:val="clear" w:color="auto" w:fill="auto"/>
            <w:vAlign w:val="center"/>
          </w:tcPr>
          <w:p w14:paraId="63A7F1D5">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rPr>
              <w:t>药材废弃物</w:t>
            </w:r>
          </w:p>
        </w:tc>
        <w:tc>
          <w:tcPr>
            <w:tcW w:w="568" w:type="pct"/>
            <w:vAlign w:val="center"/>
          </w:tcPr>
          <w:p w14:paraId="1F917DBD">
            <w:pPr>
              <w:spacing w:line="240" w:lineRule="auto"/>
              <w:ind w:firstLine="0" w:firstLineChars="0"/>
              <w:jc w:val="center"/>
              <w:rPr>
                <w:snapToGrid w:val="0"/>
                <w:color w:val="auto"/>
                <w:sz w:val="21"/>
                <w:szCs w:val="21"/>
              </w:rPr>
            </w:pPr>
          </w:p>
        </w:tc>
        <w:tc>
          <w:tcPr>
            <w:tcW w:w="371" w:type="pct"/>
            <w:vAlign w:val="center"/>
          </w:tcPr>
          <w:p w14:paraId="1E17A7C0">
            <w:pPr>
              <w:spacing w:line="240" w:lineRule="auto"/>
              <w:ind w:firstLine="0" w:firstLineChars="0"/>
              <w:jc w:val="center"/>
              <w:rPr>
                <w:snapToGrid w:val="0"/>
                <w:color w:val="auto"/>
                <w:sz w:val="21"/>
                <w:szCs w:val="21"/>
              </w:rPr>
            </w:pPr>
          </w:p>
        </w:tc>
        <w:tc>
          <w:tcPr>
            <w:tcW w:w="717" w:type="pct"/>
            <w:vAlign w:val="center"/>
          </w:tcPr>
          <w:p w14:paraId="1B377053">
            <w:pPr>
              <w:spacing w:line="240" w:lineRule="auto"/>
              <w:ind w:firstLine="0" w:firstLineChars="0"/>
              <w:jc w:val="center"/>
              <w:rPr>
                <w:snapToGrid w:val="0"/>
                <w:color w:val="auto"/>
                <w:sz w:val="21"/>
                <w:szCs w:val="21"/>
              </w:rPr>
            </w:pPr>
          </w:p>
        </w:tc>
        <w:tc>
          <w:tcPr>
            <w:tcW w:w="717" w:type="pct"/>
            <w:shd w:val="clear" w:color="auto" w:fill="auto"/>
            <w:vAlign w:val="center"/>
          </w:tcPr>
          <w:p w14:paraId="22F45514">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90</w:t>
            </w:r>
          </w:p>
        </w:tc>
        <w:tc>
          <w:tcPr>
            <w:tcW w:w="614" w:type="pct"/>
            <w:vAlign w:val="center"/>
          </w:tcPr>
          <w:p w14:paraId="117FE682">
            <w:pPr>
              <w:spacing w:line="240" w:lineRule="auto"/>
              <w:ind w:firstLine="0" w:firstLineChars="0"/>
              <w:jc w:val="center"/>
              <w:rPr>
                <w:snapToGrid w:val="0"/>
                <w:color w:val="auto"/>
                <w:sz w:val="21"/>
                <w:szCs w:val="21"/>
              </w:rPr>
            </w:pPr>
          </w:p>
        </w:tc>
        <w:tc>
          <w:tcPr>
            <w:tcW w:w="838" w:type="pct"/>
            <w:shd w:val="clear" w:color="auto" w:fill="auto"/>
            <w:vAlign w:val="center"/>
          </w:tcPr>
          <w:p w14:paraId="28D87AE7">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90</w:t>
            </w:r>
          </w:p>
        </w:tc>
        <w:tc>
          <w:tcPr>
            <w:tcW w:w="319" w:type="pct"/>
            <w:shd w:val="clear" w:color="auto" w:fill="auto"/>
            <w:vAlign w:val="center"/>
          </w:tcPr>
          <w:p w14:paraId="0348BA07">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+90</w:t>
            </w:r>
          </w:p>
        </w:tc>
      </w:tr>
      <w:tr w14:paraId="6B70C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98" w:type="pct"/>
            <w:vMerge w:val="continue"/>
            <w:vAlign w:val="center"/>
          </w:tcPr>
          <w:p w14:paraId="3E1494C6">
            <w:pPr>
              <w:spacing w:line="240" w:lineRule="auto"/>
              <w:ind w:firstLine="0" w:firstLineChars="0"/>
              <w:jc w:val="center"/>
              <w:rPr>
                <w:rFonts w:hint="eastAsia" w:hAnsi="宋体"/>
                <w:snapToGrid w:val="0"/>
                <w:color w:val="auto"/>
                <w:sz w:val="21"/>
                <w:szCs w:val="21"/>
              </w:rPr>
            </w:pPr>
          </w:p>
        </w:tc>
        <w:tc>
          <w:tcPr>
            <w:tcW w:w="653" w:type="pct"/>
            <w:shd w:val="clear" w:color="auto" w:fill="auto"/>
            <w:vAlign w:val="center"/>
          </w:tcPr>
          <w:p w14:paraId="7CECBD1A">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药渣</w:t>
            </w:r>
          </w:p>
        </w:tc>
        <w:tc>
          <w:tcPr>
            <w:tcW w:w="568" w:type="pct"/>
            <w:vAlign w:val="center"/>
          </w:tcPr>
          <w:p w14:paraId="534A2939">
            <w:pPr>
              <w:spacing w:line="240" w:lineRule="auto"/>
              <w:ind w:firstLine="0" w:firstLineChars="0"/>
              <w:jc w:val="center"/>
              <w:rPr>
                <w:snapToGrid w:val="0"/>
                <w:color w:val="auto"/>
                <w:sz w:val="21"/>
                <w:szCs w:val="21"/>
              </w:rPr>
            </w:pPr>
          </w:p>
        </w:tc>
        <w:tc>
          <w:tcPr>
            <w:tcW w:w="371" w:type="pct"/>
            <w:vAlign w:val="center"/>
          </w:tcPr>
          <w:p w14:paraId="1BA4EE6A">
            <w:pPr>
              <w:spacing w:line="240" w:lineRule="auto"/>
              <w:ind w:firstLine="0" w:firstLineChars="0"/>
              <w:jc w:val="center"/>
              <w:rPr>
                <w:snapToGrid w:val="0"/>
                <w:color w:val="auto"/>
                <w:sz w:val="21"/>
                <w:szCs w:val="21"/>
              </w:rPr>
            </w:pPr>
          </w:p>
        </w:tc>
        <w:tc>
          <w:tcPr>
            <w:tcW w:w="717" w:type="pct"/>
            <w:vAlign w:val="center"/>
          </w:tcPr>
          <w:p w14:paraId="73EEEE64">
            <w:pPr>
              <w:spacing w:line="240" w:lineRule="auto"/>
              <w:ind w:firstLine="0" w:firstLineChars="0"/>
              <w:jc w:val="center"/>
              <w:rPr>
                <w:snapToGrid w:val="0"/>
                <w:color w:val="auto"/>
                <w:sz w:val="21"/>
                <w:szCs w:val="21"/>
              </w:rPr>
            </w:pPr>
          </w:p>
        </w:tc>
        <w:tc>
          <w:tcPr>
            <w:tcW w:w="717" w:type="pct"/>
            <w:shd w:val="clear" w:color="auto" w:fill="auto"/>
            <w:vAlign w:val="center"/>
          </w:tcPr>
          <w:p w14:paraId="548ABA1F">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960</w:t>
            </w:r>
          </w:p>
        </w:tc>
        <w:tc>
          <w:tcPr>
            <w:tcW w:w="614" w:type="pct"/>
            <w:vAlign w:val="center"/>
          </w:tcPr>
          <w:p w14:paraId="5632AEB7">
            <w:pPr>
              <w:spacing w:line="240" w:lineRule="auto"/>
              <w:ind w:firstLine="0" w:firstLineChars="0"/>
              <w:jc w:val="center"/>
              <w:rPr>
                <w:snapToGrid w:val="0"/>
                <w:color w:val="auto"/>
                <w:sz w:val="21"/>
                <w:szCs w:val="21"/>
              </w:rPr>
            </w:pPr>
          </w:p>
        </w:tc>
        <w:tc>
          <w:tcPr>
            <w:tcW w:w="838" w:type="pct"/>
            <w:shd w:val="clear" w:color="auto" w:fill="auto"/>
            <w:vAlign w:val="center"/>
          </w:tcPr>
          <w:p w14:paraId="5CCA07C6">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960</w:t>
            </w:r>
          </w:p>
        </w:tc>
        <w:tc>
          <w:tcPr>
            <w:tcW w:w="319" w:type="pct"/>
            <w:shd w:val="clear" w:color="auto" w:fill="auto"/>
            <w:vAlign w:val="center"/>
          </w:tcPr>
          <w:p w14:paraId="3F6FB8F7">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+960</w:t>
            </w:r>
          </w:p>
        </w:tc>
      </w:tr>
      <w:tr w14:paraId="3A10E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8" w:type="pct"/>
            <w:vMerge w:val="continue"/>
            <w:vAlign w:val="center"/>
          </w:tcPr>
          <w:p w14:paraId="60F7C5D9">
            <w:pPr>
              <w:spacing w:line="240" w:lineRule="auto"/>
              <w:ind w:firstLine="0" w:firstLineChars="0"/>
              <w:jc w:val="center"/>
              <w:rPr>
                <w:rFonts w:hint="eastAsia" w:hAnsi="宋体"/>
                <w:snapToGrid w:val="0"/>
                <w:color w:val="auto"/>
                <w:sz w:val="21"/>
                <w:szCs w:val="21"/>
              </w:rPr>
            </w:pPr>
          </w:p>
        </w:tc>
        <w:tc>
          <w:tcPr>
            <w:tcW w:w="653" w:type="pct"/>
            <w:shd w:val="clear" w:color="auto" w:fill="auto"/>
            <w:vAlign w:val="center"/>
          </w:tcPr>
          <w:p w14:paraId="37D0ABFE">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药尘</w:t>
            </w:r>
          </w:p>
        </w:tc>
        <w:tc>
          <w:tcPr>
            <w:tcW w:w="568" w:type="pct"/>
            <w:vAlign w:val="center"/>
          </w:tcPr>
          <w:p w14:paraId="651EEE2F">
            <w:pPr>
              <w:spacing w:line="240" w:lineRule="auto"/>
              <w:ind w:firstLine="0" w:firstLineChars="0"/>
              <w:jc w:val="center"/>
              <w:rPr>
                <w:snapToGrid w:val="0"/>
                <w:color w:val="auto"/>
                <w:sz w:val="21"/>
                <w:szCs w:val="21"/>
              </w:rPr>
            </w:pPr>
          </w:p>
        </w:tc>
        <w:tc>
          <w:tcPr>
            <w:tcW w:w="371" w:type="pct"/>
            <w:vAlign w:val="center"/>
          </w:tcPr>
          <w:p w14:paraId="72DBAAC8">
            <w:pPr>
              <w:spacing w:line="240" w:lineRule="auto"/>
              <w:ind w:firstLine="0" w:firstLineChars="0"/>
              <w:jc w:val="center"/>
              <w:rPr>
                <w:snapToGrid w:val="0"/>
                <w:color w:val="auto"/>
                <w:sz w:val="21"/>
                <w:szCs w:val="21"/>
              </w:rPr>
            </w:pPr>
          </w:p>
        </w:tc>
        <w:tc>
          <w:tcPr>
            <w:tcW w:w="717" w:type="pct"/>
            <w:vAlign w:val="center"/>
          </w:tcPr>
          <w:p w14:paraId="68F08EAB">
            <w:pPr>
              <w:spacing w:line="240" w:lineRule="auto"/>
              <w:ind w:firstLine="0" w:firstLineChars="0"/>
              <w:jc w:val="center"/>
              <w:rPr>
                <w:snapToGrid w:val="0"/>
                <w:color w:val="auto"/>
                <w:sz w:val="21"/>
                <w:szCs w:val="21"/>
              </w:rPr>
            </w:pPr>
          </w:p>
        </w:tc>
        <w:tc>
          <w:tcPr>
            <w:tcW w:w="717" w:type="pct"/>
            <w:shd w:val="clear" w:color="auto" w:fill="auto"/>
            <w:vAlign w:val="center"/>
          </w:tcPr>
          <w:p w14:paraId="678622B2">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8.5215</w:t>
            </w:r>
          </w:p>
        </w:tc>
        <w:tc>
          <w:tcPr>
            <w:tcW w:w="614" w:type="pct"/>
            <w:vAlign w:val="center"/>
          </w:tcPr>
          <w:p w14:paraId="31CA2C5E">
            <w:pPr>
              <w:spacing w:line="240" w:lineRule="auto"/>
              <w:ind w:firstLine="0" w:firstLineChars="0"/>
              <w:jc w:val="center"/>
              <w:rPr>
                <w:snapToGrid w:val="0"/>
                <w:color w:val="auto"/>
                <w:sz w:val="21"/>
                <w:szCs w:val="21"/>
              </w:rPr>
            </w:pPr>
          </w:p>
        </w:tc>
        <w:tc>
          <w:tcPr>
            <w:tcW w:w="838" w:type="pct"/>
            <w:shd w:val="clear" w:color="auto" w:fill="auto"/>
            <w:vAlign w:val="center"/>
          </w:tcPr>
          <w:p w14:paraId="554007C7">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8.5215</w:t>
            </w:r>
          </w:p>
        </w:tc>
        <w:tc>
          <w:tcPr>
            <w:tcW w:w="319" w:type="pct"/>
            <w:shd w:val="clear" w:color="auto" w:fill="auto"/>
            <w:vAlign w:val="center"/>
          </w:tcPr>
          <w:p w14:paraId="192E4AA3">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+8.5215</w:t>
            </w:r>
          </w:p>
        </w:tc>
      </w:tr>
      <w:tr w14:paraId="64CD5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8" w:type="pct"/>
            <w:vMerge w:val="continue"/>
            <w:vAlign w:val="center"/>
          </w:tcPr>
          <w:p w14:paraId="37ADADF5">
            <w:pPr>
              <w:spacing w:line="240" w:lineRule="auto"/>
              <w:ind w:firstLine="0" w:firstLineChars="0"/>
              <w:jc w:val="center"/>
              <w:rPr>
                <w:rFonts w:hint="eastAsia" w:hAnsi="宋体"/>
                <w:snapToGrid w:val="0"/>
                <w:color w:val="auto"/>
                <w:sz w:val="21"/>
                <w:szCs w:val="21"/>
              </w:rPr>
            </w:pPr>
          </w:p>
        </w:tc>
        <w:tc>
          <w:tcPr>
            <w:tcW w:w="653" w:type="pct"/>
            <w:shd w:val="clear" w:color="auto" w:fill="auto"/>
            <w:vAlign w:val="center"/>
          </w:tcPr>
          <w:p w14:paraId="21F65969">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rPr>
              <w:t>废包装材料</w:t>
            </w:r>
          </w:p>
        </w:tc>
        <w:tc>
          <w:tcPr>
            <w:tcW w:w="568" w:type="pct"/>
            <w:vAlign w:val="center"/>
          </w:tcPr>
          <w:p w14:paraId="08A69D03">
            <w:pPr>
              <w:spacing w:line="240" w:lineRule="auto"/>
              <w:ind w:firstLine="0" w:firstLineChars="0"/>
              <w:jc w:val="center"/>
              <w:rPr>
                <w:snapToGrid w:val="0"/>
                <w:color w:val="auto"/>
                <w:sz w:val="21"/>
                <w:szCs w:val="21"/>
              </w:rPr>
            </w:pPr>
          </w:p>
        </w:tc>
        <w:tc>
          <w:tcPr>
            <w:tcW w:w="371" w:type="pct"/>
            <w:vAlign w:val="center"/>
          </w:tcPr>
          <w:p w14:paraId="56FE54DD">
            <w:pPr>
              <w:spacing w:line="240" w:lineRule="auto"/>
              <w:ind w:firstLine="0" w:firstLineChars="0"/>
              <w:jc w:val="center"/>
              <w:rPr>
                <w:snapToGrid w:val="0"/>
                <w:color w:val="auto"/>
                <w:sz w:val="21"/>
                <w:szCs w:val="21"/>
              </w:rPr>
            </w:pPr>
          </w:p>
        </w:tc>
        <w:tc>
          <w:tcPr>
            <w:tcW w:w="717" w:type="pct"/>
            <w:vAlign w:val="center"/>
          </w:tcPr>
          <w:p w14:paraId="052E8004">
            <w:pPr>
              <w:spacing w:line="240" w:lineRule="auto"/>
              <w:ind w:firstLine="0" w:firstLineChars="0"/>
              <w:jc w:val="center"/>
              <w:rPr>
                <w:snapToGrid w:val="0"/>
                <w:color w:val="auto"/>
                <w:sz w:val="21"/>
                <w:szCs w:val="21"/>
              </w:rPr>
            </w:pPr>
          </w:p>
        </w:tc>
        <w:tc>
          <w:tcPr>
            <w:tcW w:w="717" w:type="pct"/>
            <w:shd w:val="clear" w:color="auto" w:fill="auto"/>
            <w:vAlign w:val="center"/>
          </w:tcPr>
          <w:p w14:paraId="65F6242A">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5</w:t>
            </w:r>
          </w:p>
        </w:tc>
        <w:tc>
          <w:tcPr>
            <w:tcW w:w="614" w:type="pct"/>
            <w:vAlign w:val="center"/>
          </w:tcPr>
          <w:p w14:paraId="502DE919">
            <w:pPr>
              <w:spacing w:line="240" w:lineRule="auto"/>
              <w:ind w:firstLine="0" w:firstLineChars="0"/>
              <w:jc w:val="center"/>
              <w:rPr>
                <w:snapToGrid w:val="0"/>
                <w:color w:val="auto"/>
                <w:sz w:val="21"/>
                <w:szCs w:val="21"/>
              </w:rPr>
            </w:pPr>
          </w:p>
        </w:tc>
        <w:tc>
          <w:tcPr>
            <w:tcW w:w="838" w:type="pct"/>
            <w:shd w:val="clear" w:color="auto" w:fill="auto"/>
            <w:vAlign w:val="center"/>
          </w:tcPr>
          <w:p w14:paraId="03858D4A">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5</w:t>
            </w:r>
          </w:p>
        </w:tc>
        <w:tc>
          <w:tcPr>
            <w:tcW w:w="319" w:type="pct"/>
            <w:shd w:val="clear" w:color="auto" w:fill="auto"/>
            <w:vAlign w:val="center"/>
          </w:tcPr>
          <w:p w14:paraId="1A4E3C99">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+5</w:t>
            </w:r>
          </w:p>
        </w:tc>
      </w:tr>
      <w:tr w14:paraId="05076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8" w:type="pct"/>
            <w:vMerge w:val="continue"/>
            <w:vAlign w:val="center"/>
          </w:tcPr>
          <w:p w14:paraId="60F9366A">
            <w:pPr>
              <w:spacing w:line="240" w:lineRule="auto"/>
              <w:ind w:firstLine="0" w:firstLineChars="0"/>
              <w:jc w:val="center"/>
              <w:rPr>
                <w:rFonts w:hint="eastAsia" w:hAnsi="宋体"/>
                <w:snapToGrid w:val="0"/>
                <w:color w:val="auto"/>
                <w:sz w:val="21"/>
                <w:szCs w:val="21"/>
              </w:rPr>
            </w:pPr>
          </w:p>
        </w:tc>
        <w:tc>
          <w:tcPr>
            <w:tcW w:w="653" w:type="pct"/>
            <w:shd w:val="clear" w:color="auto" w:fill="auto"/>
            <w:vAlign w:val="center"/>
          </w:tcPr>
          <w:p w14:paraId="784240C3">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污泥</w:t>
            </w:r>
          </w:p>
        </w:tc>
        <w:tc>
          <w:tcPr>
            <w:tcW w:w="568" w:type="pct"/>
            <w:vAlign w:val="center"/>
          </w:tcPr>
          <w:p w14:paraId="40504148">
            <w:pPr>
              <w:spacing w:line="240" w:lineRule="auto"/>
              <w:ind w:firstLine="0" w:firstLineChars="0"/>
              <w:jc w:val="center"/>
              <w:rPr>
                <w:snapToGrid w:val="0"/>
                <w:color w:val="auto"/>
                <w:sz w:val="21"/>
                <w:szCs w:val="21"/>
              </w:rPr>
            </w:pPr>
          </w:p>
        </w:tc>
        <w:tc>
          <w:tcPr>
            <w:tcW w:w="371" w:type="pct"/>
            <w:vAlign w:val="center"/>
          </w:tcPr>
          <w:p w14:paraId="2B1032E0">
            <w:pPr>
              <w:spacing w:line="240" w:lineRule="auto"/>
              <w:ind w:firstLine="0" w:firstLineChars="0"/>
              <w:jc w:val="center"/>
              <w:rPr>
                <w:snapToGrid w:val="0"/>
                <w:color w:val="auto"/>
                <w:sz w:val="21"/>
                <w:szCs w:val="21"/>
              </w:rPr>
            </w:pPr>
          </w:p>
        </w:tc>
        <w:tc>
          <w:tcPr>
            <w:tcW w:w="717" w:type="pct"/>
            <w:vAlign w:val="center"/>
          </w:tcPr>
          <w:p w14:paraId="766D88B6">
            <w:pPr>
              <w:spacing w:line="240" w:lineRule="auto"/>
              <w:ind w:firstLine="0" w:firstLineChars="0"/>
              <w:jc w:val="center"/>
              <w:rPr>
                <w:snapToGrid w:val="0"/>
                <w:color w:val="auto"/>
                <w:sz w:val="21"/>
                <w:szCs w:val="21"/>
              </w:rPr>
            </w:pPr>
          </w:p>
        </w:tc>
        <w:tc>
          <w:tcPr>
            <w:tcW w:w="717" w:type="pct"/>
            <w:shd w:val="clear" w:color="auto" w:fill="auto"/>
            <w:vAlign w:val="center"/>
          </w:tcPr>
          <w:p w14:paraId="64D08556">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195</w:t>
            </w:r>
          </w:p>
        </w:tc>
        <w:tc>
          <w:tcPr>
            <w:tcW w:w="614" w:type="pct"/>
            <w:vAlign w:val="center"/>
          </w:tcPr>
          <w:p w14:paraId="6A1C04B8">
            <w:pPr>
              <w:spacing w:line="240" w:lineRule="auto"/>
              <w:ind w:firstLine="0" w:firstLineChars="0"/>
              <w:jc w:val="center"/>
              <w:rPr>
                <w:snapToGrid w:val="0"/>
                <w:color w:val="auto"/>
                <w:sz w:val="21"/>
                <w:szCs w:val="21"/>
              </w:rPr>
            </w:pPr>
          </w:p>
        </w:tc>
        <w:tc>
          <w:tcPr>
            <w:tcW w:w="838" w:type="pct"/>
            <w:shd w:val="clear" w:color="auto" w:fill="auto"/>
            <w:vAlign w:val="center"/>
          </w:tcPr>
          <w:p w14:paraId="56674CD5">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195</w:t>
            </w:r>
          </w:p>
        </w:tc>
        <w:tc>
          <w:tcPr>
            <w:tcW w:w="319" w:type="pct"/>
            <w:shd w:val="clear" w:color="auto" w:fill="auto"/>
            <w:vAlign w:val="center"/>
          </w:tcPr>
          <w:p w14:paraId="3C5F03A1">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+195</w:t>
            </w:r>
          </w:p>
        </w:tc>
      </w:tr>
      <w:tr w14:paraId="32EB1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8" w:type="pct"/>
            <w:vMerge w:val="continue"/>
            <w:vAlign w:val="center"/>
          </w:tcPr>
          <w:p w14:paraId="1732C4C6">
            <w:pPr>
              <w:spacing w:line="240" w:lineRule="auto"/>
              <w:ind w:firstLine="0" w:firstLineChars="0"/>
              <w:jc w:val="center"/>
              <w:rPr>
                <w:rFonts w:hint="eastAsia" w:hAnsi="宋体"/>
                <w:snapToGrid w:val="0"/>
                <w:color w:val="auto"/>
                <w:sz w:val="21"/>
                <w:szCs w:val="21"/>
              </w:rPr>
            </w:pPr>
          </w:p>
        </w:tc>
        <w:tc>
          <w:tcPr>
            <w:tcW w:w="653" w:type="pct"/>
            <w:shd w:val="clear" w:color="auto" w:fill="auto"/>
            <w:vAlign w:val="center"/>
          </w:tcPr>
          <w:p w14:paraId="670BB6D5">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废渗透膜</w:t>
            </w:r>
          </w:p>
        </w:tc>
        <w:tc>
          <w:tcPr>
            <w:tcW w:w="568" w:type="pct"/>
            <w:vAlign w:val="center"/>
          </w:tcPr>
          <w:p w14:paraId="2559287E">
            <w:pPr>
              <w:spacing w:line="240" w:lineRule="auto"/>
              <w:ind w:firstLine="0" w:firstLineChars="0"/>
              <w:jc w:val="center"/>
              <w:rPr>
                <w:snapToGrid w:val="0"/>
                <w:color w:val="auto"/>
                <w:sz w:val="21"/>
                <w:szCs w:val="21"/>
              </w:rPr>
            </w:pPr>
          </w:p>
        </w:tc>
        <w:tc>
          <w:tcPr>
            <w:tcW w:w="371" w:type="pct"/>
            <w:vAlign w:val="center"/>
          </w:tcPr>
          <w:p w14:paraId="7DC2AF16">
            <w:pPr>
              <w:spacing w:line="240" w:lineRule="auto"/>
              <w:ind w:firstLine="0" w:firstLineChars="0"/>
              <w:jc w:val="center"/>
              <w:rPr>
                <w:snapToGrid w:val="0"/>
                <w:color w:val="auto"/>
                <w:sz w:val="21"/>
                <w:szCs w:val="21"/>
              </w:rPr>
            </w:pPr>
          </w:p>
        </w:tc>
        <w:tc>
          <w:tcPr>
            <w:tcW w:w="717" w:type="pct"/>
            <w:vAlign w:val="center"/>
          </w:tcPr>
          <w:p w14:paraId="7DB980AE">
            <w:pPr>
              <w:spacing w:line="240" w:lineRule="auto"/>
              <w:ind w:firstLine="0" w:firstLineChars="0"/>
              <w:jc w:val="center"/>
              <w:rPr>
                <w:snapToGrid w:val="0"/>
                <w:color w:val="auto"/>
                <w:sz w:val="21"/>
                <w:szCs w:val="21"/>
              </w:rPr>
            </w:pPr>
          </w:p>
        </w:tc>
        <w:tc>
          <w:tcPr>
            <w:tcW w:w="717" w:type="pct"/>
            <w:shd w:val="clear" w:color="auto" w:fill="auto"/>
            <w:vAlign w:val="center"/>
          </w:tcPr>
          <w:p w14:paraId="3E0F66D0">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eastAsia="宋体"/>
                <w:bCs/>
                <w:color w:val="000000"/>
                <w:sz w:val="21"/>
                <w:szCs w:val="21"/>
                <w:lang w:val="en-US" w:eastAsia="zh-CN"/>
              </w:rPr>
              <w:t>1</w:t>
            </w:r>
          </w:p>
        </w:tc>
        <w:tc>
          <w:tcPr>
            <w:tcW w:w="614" w:type="pct"/>
            <w:vAlign w:val="center"/>
          </w:tcPr>
          <w:p w14:paraId="49CCC45C">
            <w:pPr>
              <w:spacing w:line="240" w:lineRule="auto"/>
              <w:ind w:firstLine="0" w:firstLineChars="0"/>
              <w:jc w:val="center"/>
              <w:rPr>
                <w:snapToGrid w:val="0"/>
                <w:color w:val="auto"/>
                <w:sz w:val="21"/>
                <w:szCs w:val="21"/>
              </w:rPr>
            </w:pPr>
          </w:p>
        </w:tc>
        <w:tc>
          <w:tcPr>
            <w:tcW w:w="838" w:type="pct"/>
            <w:shd w:val="clear" w:color="auto" w:fill="auto"/>
            <w:vAlign w:val="center"/>
          </w:tcPr>
          <w:p w14:paraId="36C906A0">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eastAsia="宋体"/>
                <w:bCs/>
                <w:color w:val="000000"/>
                <w:sz w:val="21"/>
                <w:szCs w:val="21"/>
                <w:lang w:val="en-US" w:eastAsia="zh-CN"/>
              </w:rPr>
              <w:t>1</w:t>
            </w:r>
          </w:p>
        </w:tc>
        <w:tc>
          <w:tcPr>
            <w:tcW w:w="319" w:type="pct"/>
            <w:shd w:val="clear" w:color="auto" w:fill="auto"/>
            <w:vAlign w:val="center"/>
          </w:tcPr>
          <w:p w14:paraId="54876195">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eastAsia="宋体"/>
                <w:bCs/>
                <w:color w:val="000000"/>
                <w:sz w:val="21"/>
                <w:szCs w:val="21"/>
                <w:lang w:val="en-US" w:eastAsia="zh-CN"/>
              </w:rPr>
              <w:t>+1</w:t>
            </w:r>
          </w:p>
        </w:tc>
      </w:tr>
      <w:tr w14:paraId="40BA2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8" w:type="pct"/>
            <w:vMerge w:val="continue"/>
            <w:vAlign w:val="center"/>
          </w:tcPr>
          <w:p w14:paraId="26455355">
            <w:pPr>
              <w:spacing w:line="240" w:lineRule="auto"/>
              <w:ind w:firstLine="0" w:firstLineChars="0"/>
              <w:jc w:val="center"/>
              <w:rPr>
                <w:rFonts w:hint="eastAsia" w:hAnsi="宋体"/>
                <w:snapToGrid w:val="0"/>
                <w:color w:val="auto"/>
                <w:sz w:val="21"/>
                <w:szCs w:val="21"/>
              </w:rPr>
            </w:pPr>
          </w:p>
        </w:tc>
        <w:tc>
          <w:tcPr>
            <w:tcW w:w="653" w:type="pct"/>
            <w:shd w:val="clear" w:color="auto" w:fill="auto"/>
            <w:vAlign w:val="center"/>
          </w:tcPr>
          <w:p w14:paraId="42DB2C50">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不合格品</w:t>
            </w:r>
          </w:p>
        </w:tc>
        <w:tc>
          <w:tcPr>
            <w:tcW w:w="568" w:type="pct"/>
            <w:vAlign w:val="center"/>
          </w:tcPr>
          <w:p w14:paraId="7638F454">
            <w:pPr>
              <w:spacing w:line="240" w:lineRule="auto"/>
              <w:ind w:firstLine="0" w:firstLineChars="0"/>
              <w:jc w:val="center"/>
              <w:rPr>
                <w:snapToGrid w:val="0"/>
                <w:color w:val="auto"/>
                <w:sz w:val="21"/>
                <w:szCs w:val="21"/>
              </w:rPr>
            </w:pPr>
          </w:p>
        </w:tc>
        <w:tc>
          <w:tcPr>
            <w:tcW w:w="371" w:type="pct"/>
            <w:vAlign w:val="center"/>
          </w:tcPr>
          <w:p w14:paraId="0791CEB4">
            <w:pPr>
              <w:spacing w:line="240" w:lineRule="auto"/>
              <w:ind w:firstLine="0" w:firstLineChars="0"/>
              <w:jc w:val="center"/>
              <w:rPr>
                <w:snapToGrid w:val="0"/>
                <w:color w:val="auto"/>
                <w:sz w:val="21"/>
                <w:szCs w:val="21"/>
              </w:rPr>
            </w:pPr>
          </w:p>
        </w:tc>
        <w:tc>
          <w:tcPr>
            <w:tcW w:w="717" w:type="pct"/>
            <w:vAlign w:val="center"/>
          </w:tcPr>
          <w:p w14:paraId="55F0E010">
            <w:pPr>
              <w:spacing w:line="240" w:lineRule="auto"/>
              <w:ind w:firstLine="0" w:firstLineChars="0"/>
              <w:jc w:val="center"/>
              <w:rPr>
                <w:snapToGrid w:val="0"/>
                <w:color w:val="auto"/>
                <w:sz w:val="21"/>
                <w:szCs w:val="21"/>
              </w:rPr>
            </w:pPr>
          </w:p>
        </w:tc>
        <w:tc>
          <w:tcPr>
            <w:tcW w:w="717" w:type="pct"/>
            <w:shd w:val="clear" w:color="auto" w:fill="auto"/>
            <w:vAlign w:val="center"/>
          </w:tcPr>
          <w:p w14:paraId="745F51FC">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0.5</w:t>
            </w:r>
          </w:p>
        </w:tc>
        <w:tc>
          <w:tcPr>
            <w:tcW w:w="614" w:type="pct"/>
            <w:vAlign w:val="center"/>
          </w:tcPr>
          <w:p w14:paraId="01A4435C">
            <w:pPr>
              <w:spacing w:line="240" w:lineRule="auto"/>
              <w:ind w:firstLine="0" w:firstLineChars="0"/>
              <w:jc w:val="center"/>
              <w:rPr>
                <w:snapToGrid w:val="0"/>
                <w:color w:val="auto"/>
                <w:sz w:val="21"/>
                <w:szCs w:val="21"/>
              </w:rPr>
            </w:pPr>
          </w:p>
        </w:tc>
        <w:tc>
          <w:tcPr>
            <w:tcW w:w="838" w:type="pct"/>
            <w:shd w:val="clear" w:color="auto" w:fill="auto"/>
            <w:vAlign w:val="center"/>
          </w:tcPr>
          <w:p w14:paraId="63C75568">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0.5</w:t>
            </w:r>
          </w:p>
        </w:tc>
        <w:tc>
          <w:tcPr>
            <w:tcW w:w="319" w:type="pct"/>
            <w:shd w:val="clear" w:color="auto" w:fill="auto"/>
            <w:vAlign w:val="center"/>
          </w:tcPr>
          <w:p w14:paraId="1583AF03">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+0.5</w:t>
            </w:r>
          </w:p>
        </w:tc>
      </w:tr>
      <w:tr w14:paraId="0B098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8" w:type="pct"/>
            <w:vMerge w:val="restart"/>
            <w:vAlign w:val="center"/>
          </w:tcPr>
          <w:p w14:paraId="42A7A580">
            <w:pPr>
              <w:spacing w:line="240" w:lineRule="auto"/>
              <w:ind w:firstLine="0" w:firstLineChars="0"/>
              <w:jc w:val="center"/>
              <w:rPr>
                <w:rFonts w:hint="eastAsia" w:hAnsi="宋体"/>
                <w:snapToGrid w:val="0"/>
                <w:color w:val="auto"/>
                <w:sz w:val="21"/>
                <w:szCs w:val="21"/>
              </w:rPr>
            </w:pPr>
            <w:r>
              <w:rPr>
                <w:rFonts w:hint="eastAsia" w:hAnsi="宋体"/>
                <w:snapToGrid w:val="0"/>
                <w:color w:val="auto"/>
                <w:sz w:val="21"/>
                <w:szCs w:val="21"/>
              </w:rPr>
              <w:t>危险废物</w:t>
            </w:r>
          </w:p>
        </w:tc>
        <w:tc>
          <w:tcPr>
            <w:tcW w:w="653" w:type="pct"/>
            <w:shd w:val="clear" w:color="auto" w:fill="auto"/>
            <w:vAlign w:val="center"/>
          </w:tcPr>
          <w:p w14:paraId="67B20C88">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sz w:val="21"/>
                <w:szCs w:val="21"/>
              </w:rPr>
              <w:t>实验室废包装</w:t>
            </w:r>
          </w:p>
        </w:tc>
        <w:tc>
          <w:tcPr>
            <w:tcW w:w="568" w:type="pct"/>
            <w:vAlign w:val="center"/>
          </w:tcPr>
          <w:p w14:paraId="68F38D27">
            <w:pPr>
              <w:spacing w:line="240" w:lineRule="auto"/>
              <w:ind w:firstLine="0" w:firstLineChars="0"/>
              <w:jc w:val="center"/>
              <w:rPr>
                <w:snapToGrid w:val="0"/>
                <w:color w:val="auto"/>
                <w:sz w:val="21"/>
                <w:szCs w:val="21"/>
              </w:rPr>
            </w:pPr>
          </w:p>
        </w:tc>
        <w:tc>
          <w:tcPr>
            <w:tcW w:w="371" w:type="pct"/>
            <w:vAlign w:val="center"/>
          </w:tcPr>
          <w:p w14:paraId="35F883B8">
            <w:pPr>
              <w:spacing w:line="240" w:lineRule="auto"/>
              <w:ind w:firstLine="0" w:firstLineChars="0"/>
              <w:jc w:val="center"/>
              <w:rPr>
                <w:snapToGrid w:val="0"/>
                <w:color w:val="auto"/>
                <w:sz w:val="21"/>
                <w:szCs w:val="21"/>
              </w:rPr>
            </w:pPr>
          </w:p>
        </w:tc>
        <w:tc>
          <w:tcPr>
            <w:tcW w:w="717" w:type="pct"/>
            <w:vAlign w:val="center"/>
          </w:tcPr>
          <w:p w14:paraId="027E0D6D">
            <w:pPr>
              <w:spacing w:line="240" w:lineRule="auto"/>
              <w:ind w:firstLine="0" w:firstLineChars="0"/>
              <w:jc w:val="center"/>
              <w:rPr>
                <w:snapToGrid w:val="0"/>
                <w:color w:val="auto"/>
                <w:sz w:val="21"/>
                <w:szCs w:val="21"/>
              </w:rPr>
            </w:pPr>
          </w:p>
        </w:tc>
        <w:tc>
          <w:tcPr>
            <w:tcW w:w="717" w:type="pct"/>
            <w:shd w:val="clear" w:color="auto" w:fill="auto"/>
            <w:vAlign w:val="center"/>
          </w:tcPr>
          <w:p w14:paraId="51A34C0E">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rPr>
              <w:t>0.</w:t>
            </w:r>
            <w:r>
              <w:rPr>
                <w:rFonts w:hint="eastAsia"/>
                <w:bCs/>
                <w:color w:val="000000"/>
                <w:sz w:val="21"/>
                <w:szCs w:val="21"/>
                <w:lang w:val="en-US" w:eastAsia="zh-CN"/>
              </w:rPr>
              <w:t>01</w:t>
            </w:r>
          </w:p>
        </w:tc>
        <w:tc>
          <w:tcPr>
            <w:tcW w:w="614" w:type="pct"/>
            <w:vAlign w:val="center"/>
          </w:tcPr>
          <w:p w14:paraId="1006B820">
            <w:pPr>
              <w:spacing w:line="240" w:lineRule="auto"/>
              <w:ind w:firstLine="0" w:firstLineChars="0"/>
              <w:jc w:val="center"/>
              <w:rPr>
                <w:snapToGrid w:val="0"/>
                <w:color w:val="auto"/>
                <w:sz w:val="21"/>
                <w:szCs w:val="21"/>
              </w:rPr>
            </w:pPr>
          </w:p>
        </w:tc>
        <w:tc>
          <w:tcPr>
            <w:tcW w:w="838" w:type="pct"/>
            <w:shd w:val="clear" w:color="auto" w:fill="auto"/>
            <w:vAlign w:val="center"/>
          </w:tcPr>
          <w:p w14:paraId="277D94EC">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rPr>
              <w:t>0.</w:t>
            </w:r>
            <w:r>
              <w:rPr>
                <w:rFonts w:hint="eastAsia"/>
                <w:bCs/>
                <w:color w:val="000000"/>
                <w:sz w:val="21"/>
                <w:szCs w:val="21"/>
                <w:lang w:val="en-US" w:eastAsia="zh-CN"/>
              </w:rPr>
              <w:t>01</w:t>
            </w:r>
          </w:p>
        </w:tc>
        <w:tc>
          <w:tcPr>
            <w:tcW w:w="319" w:type="pct"/>
            <w:shd w:val="clear" w:color="auto" w:fill="auto"/>
            <w:vAlign w:val="center"/>
          </w:tcPr>
          <w:p w14:paraId="1B130D0B">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w:t>
            </w:r>
            <w:r>
              <w:rPr>
                <w:rFonts w:hint="eastAsia"/>
                <w:bCs/>
                <w:color w:val="000000"/>
                <w:sz w:val="21"/>
                <w:szCs w:val="21"/>
              </w:rPr>
              <w:t>0.</w:t>
            </w:r>
            <w:r>
              <w:rPr>
                <w:rFonts w:hint="eastAsia"/>
                <w:bCs/>
                <w:color w:val="000000"/>
                <w:sz w:val="21"/>
                <w:szCs w:val="21"/>
                <w:lang w:val="en-US" w:eastAsia="zh-CN"/>
              </w:rPr>
              <w:t>01</w:t>
            </w:r>
          </w:p>
        </w:tc>
      </w:tr>
      <w:tr w14:paraId="2CCAA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8" w:type="pct"/>
            <w:vMerge w:val="continue"/>
            <w:vAlign w:val="center"/>
          </w:tcPr>
          <w:p w14:paraId="43B7E9B0">
            <w:pPr>
              <w:spacing w:line="240" w:lineRule="auto"/>
              <w:ind w:firstLine="0" w:firstLineChars="0"/>
              <w:jc w:val="center"/>
              <w:rPr>
                <w:rFonts w:hint="eastAsia" w:hAnsi="宋体"/>
                <w:snapToGrid w:val="0"/>
                <w:color w:val="auto"/>
                <w:sz w:val="21"/>
                <w:szCs w:val="21"/>
              </w:rPr>
            </w:pPr>
          </w:p>
        </w:tc>
        <w:tc>
          <w:tcPr>
            <w:tcW w:w="653" w:type="pct"/>
            <w:shd w:val="clear" w:color="auto" w:fill="auto"/>
            <w:vAlign w:val="center"/>
          </w:tcPr>
          <w:p w14:paraId="02F4D997">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实验室废</w:t>
            </w:r>
            <w:r>
              <w:rPr>
                <w:rFonts w:hint="eastAsia"/>
                <w:bCs/>
                <w:color w:val="000000"/>
                <w:sz w:val="21"/>
                <w:szCs w:val="21"/>
              </w:rPr>
              <w:t>液</w:t>
            </w:r>
          </w:p>
        </w:tc>
        <w:tc>
          <w:tcPr>
            <w:tcW w:w="568" w:type="pct"/>
            <w:vAlign w:val="center"/>
          </w:tcPr>
          <w:p w14:paraId="13BCA846">
            <w:pPr>
              <w:spacing w:line="240" w:lineRule="auto"/>
              <w:ind w:firstLine="0" w:firstLineChars="0"/>
              <w:jc w:val="center"/>
              <w:rPr>
                <w:snapToGrid w:val="0"/>
                <w:color w:val="auto"/>
                <w:sz w:val="21"/>
                <w:szCs w:val="21"/>
              </w:rPr>
            </w:pPr>
          </w:p>
        </w:tc>
        <w:tc>
          <w:tcPr>
            <w:tcW w:w="371" w:type="pct"/>
            <w:vAlign w:val="center"/>
          </w:tcPr>
          <w:p w14:paraId="1488766A">
            <w:pPr>
              <w:spacing w:line="240" w:lineRule="auto"/>
              <w:ind w:firstLine="0" w:firstLineChars="0"/>
              <w:jc w:val="center"/>
              <w:rPr>
                <w:snapToGrid w:val="0"/>
                <w:color w:val="auto"/>
                <w:sz w:val="21"/>
                <w:szCs w:val="21"/>
              </w:rPr>
            </w:pPr>
          </w:p>
        </w:tc>
        <w:tc>
          <w:tcPr>
            <w:tcW w:w="717" w:type="pct"/>
            <w:vAlign w:val="center"/>
          </w:tcPr>
          <w:p w14:paraId="14C2B4B7">
            <w:pPr>
              <w:spacing w:line="240" w:lineRule="auto"/>
              <w:ind w:firstLine="0" w:firstLineChars="0"/>
              <w:jc w:val="center"/>
              <w:rPr>
                <w:snapToGrid w:val="0"/>
                <w:color w:val="auto"/>
                <w:sz w:val="21"/>
                <w:szCs w:val="21"/>
              </w:rPr>
            </w:pPr>
          </w:p>
        </w:tc>
        <w:tc>
          <w:tcPr>
            <w:tcW w:w="717" w:type="pct"/>
            <w:shd w:val="clear" w:color="auto" w:fill="auto"/>
            <w:vAlign w:val="center"/>
          </w:tcPr>
          <w:p w14:paraId="46B95E6B">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5.76</w:t>
            </w:r>
          </w:p>
        </w:tc>
        <w:tc>
          <w:tcPr>
            <w:tcW w:w="614" w:type="pct"/>
            <w:vAlign w:val="center"/>
          </w:tcPr>
          <w:p w14:paraId="68A40143">
            <w:pPr>
              <w:spacing w:line="240" w:lineRule="auto"/>
              <w:ind w:firstLine="0" w:firstLineChars="0"/>
              <w:jc w:val="center"/>
              <w:rPr>
                <w:snapToGrid w:val="0"/>
                <w:color w:val="auto"/>
                <w:sz w:val="21"/>
                <w:szCs w:val="21"/>
              </w:rPr>
            </w:pPr>
          </w:p>
        </w:tc>
        <w:tc>
          <w:tcPr>
            <w:tcW w:w="838" w:type="pct"/>
            <w:shd w:val="clear" w:color="auto" w:fill="auto"/>
            <w:vAlign w:val="center"/>
          </w:tcPr>
          <w:p w14:paraId="4581318B">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5.76</w:t>
            </w:r>
          </w:p>
        </w:tc>
        <w:tc>
          <w:tcPr>
            <w:tcW w:w="319" w:type="pct"/>
            <w:shd w:val="clear" w:color="auto" w:fill="auto"/>
            <w:vAlign w:val="center"/>
          </w:tcPr>
          <w:p w14:paraId="6FBF3B7C">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+5.76</w:t>
            </w:r>
          </w:p>
        </w:tc>
      </w:tr>
      <w:tr w14:paraId="75C1C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8" w:type="pct"/>
            <w:vMerge w:val="continue"/>
            <w:vAlign w:val="center"/>
          </w:tcPr>
          <w:p w14:paraId="4391068B">
            <w:pPr>
              <w:spacing w:line="240" w:lineRule="auto"/>
              <w:ind w:firstLine="0" w:firstLineChars="0"/>
              <w:jc w:val="center"/>
              <w:rPr>
                <w:rFonts w:hint="eastAsia" w:hAnsi="宋体"/>
                <w:snapToGrid w:val="0"/>
                <w:color w:val="auto"/>
                <w:sz w:val="21"/>
                <w:szCs w:val="21"/>
              </w:rPr>
            </w:pPr>
          </w:p>
        </w:tc>
        <w:tc>
          <w:tcPr>
            <w:tcW w:w="653" w:type="pct"/>
            <w:shd w:val="clear" w:color="auto" w:fill="auto"/>
            <w:vAlign w:val="center"/>
          </w:tcPr>
          <w:p w14:paraId="52BBFB6C">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rPr>
              <w:t>废</w:t>
            </w:r>
            <w:r>
              <w:rPr>
                <w:rFonts w:hint="eastAsia"/>
                <w:bCs/>
                <w:color w:val="000000"/>
                <w:sz w:val="21"/>
                <w:szCs w:val="21"/>
                <w:lang w:val="en-US" w:eastAsia="zh-CN"/>
              </w:rPr>
              <w:t>活性炭</w:t>
            </w:r>
          </w:p>
        </w:tc>
        <w:tc>
          <w:tcPr>
            <w:tcW w:w="568" w:type="pct"/>
            <w:vAlign w:val="center"/>
          </w:tcPr>
          <w:p w14:paraId="368B1695">
            <w:pPr>
              <w:spacing w:line="240" w:lineRule="auto"/>
              <w:ind w:firstLine="0" w:firstLineChars="0"/>
              <w:jc w:val="center"/>
              <w:rPr>
                <w:snapToGrid w:val="0"/>
                <w:color w:val="auto"/>
                <w:sz w:val="21"/>
                <w:szCs w:val="21"/>
              </w:rPr>
            </w:pPr>
          </w:p>
        </w:tc>
        <w:tc>
          <w:tcPr>
            <w:tcW w:w="371" w:type="pct"/>
            <w:vAlign w:val="center"/>
          </w:tcPr>
          <w:p w14:paraId="19FF47F2">
            <w:pPr>
              <w:spacing w:line="240" w:lineRule="auto"/>
              <w:ind w:firstLine="0" w:firstLineChars="0"/>
              <w:jc w:val="center"/>
              <w:rPr>
                <w:snapToGrid w:val="0"/>
                <w:color w:val="auto"/>
                <w:sz w:val="21"/>
                <w:szCs w:val="21"/>
              </w:rPr>
            </w:pPr>
          </w:p>
        </w:tc>
        <w:tc>
          <w:tcPr>
            <w:tcW w:w="717" w:type="pct"/>
            <w:vAlign w:val="center"/>
          </w:tcPr>
          <w:p w14:paraId="13E8F744">
            <w:pPr>
              <w:spacing w:line="240" w:lineRule="auto"/>
              <w:ind w:firstLine="0" w:firstLineChars="0"/>
              <w:jc w:val="center"/>
              <w:rPr>
                <w:snapToGrid w:val="0"/>
                <w:color w:val="auto"/>
                <w:sz w:val="21"/>
                <w:szCs w:val="21"/>
              </w:rPr>
            </w:pPr>
          </w:p>
        </w:tc>
        <w:tc>
          <w:tcPr>
            <w:tcW w:w="717" w:type="pct"/>
            <w:shd w:val="clear" w:color="auto" w:fill="auto"/>
            <w:vAlign w:val="center"/>
          </w:tcPr>
          <w:p w14:paraId="2A2E7B15">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10</w:t>
            </w:r>
          </w:p>
        </w:tc>
        <w:tc>
          <w:tcPr>
            <w:tcW w:w="614" w:type="pct"/>
            <w:vAlign w:val="center"/>
          </w:tcPr>
          <w:p w14:paraId="14296CC1">
            <w:pPr>
              <w:spacing w:line="240" w:lineRule="auto"/>
              <w:ind w:firstLine="0" w:firstLineChars="0"/>
              <w:jc w:val="center"/>
              <w:rPr>
                <w:snapToGrid w:val="0"/>
                <w:color w:val="auto"/>
                <w:sz w:val="21"/>
                <w:szCs w:val="21"/>
              </w:rPr>
            </w:pPr>
          </w:p>
        </w:tc>
        <w:tc>
          <w:tcPr>
            <w:tcW w:w="838" w:type="pct"/>
            <w:shd w:val="clear" w:color="auto" w:fill="auto"/>
            <w:vAlign w:val="center"/>
          </w:tcPr>
          <w:p w14:paraId="29B9B00B">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10</w:t>
            </w:r>
          </w:p>
        </w:tc>
        <w:tc>
          <w:tcPr>
            <w:tcW w:w="319" w:type="pct"/>
            <w:shd w:val="clear" w:color="auto" w:fill="auto"/>
            <w:vAlign w:val="center"/>
          </w:tcPr>
          <w:p w14:paraId="19ADCFF0">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+10</w:t>
            </w:r>
          </w:p>
        </w:tc>
      </w:tr>
      <w:tr w14:paraId="32A4D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8" w:type="pct"/>
            <w:vMerge w:val="continue"/>
            <w:vAlign w:val="center"/>
          </w:tcPr>
          <w:p w14:paraId="0B6E6FB1">
            <w:pPr>
              <w:spacing w:line="240" w:lineRule="auto"/>
              <w:ind w:firstLine="0" w:firstLineChars="0"/>
              <w:jc w:val="center"/>
              <w:rPr>
                <w:rFonts w:hint="eastAsia" w:hAnsi="宋体"/>
                <w:snapToGrid w:val="0"/>
                <w:color w:val="auto"/>
                <w:sz w:val="21"/>
                <w:szCs w:val="21"/>
              </w:rPr>
            </w:pPr>
          </w:p>
        </w:tc>
        <w:tc>
          <w:tcPr>
            <w:tcW w:w="653" w:type="pct"/>
            <w:shd w:val="clear" w:color="auto" w:fill="auto"/>
            <w:vAlign w:val="center"/>
          </w:tcPr>
          <w:p w14:paraId="2831607A">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毒性</w:t>
            </w:r>
            <w:r>
              <w:rPr>
                <w:rFonts w:hint="eastAsia"/>
                <w:bCs/>
                <w:color w:val="000000"/>
                <w:sz w:val="21"/>
                <w:szCs w:val="21"/>
              </w:rPr>
              <w:t>药材废弃物</w:t>
            </w:r>
          </w:p>
        </w:tc>
        <w:tc>
          <w:tcPr>
            <w:tcW w:w="568" w:type="pct"/>
            <w:vAlign w:val="center"/>
          </w:tcPr>
          <w:p w14:paraId="4F11482B">
            <w:pPr>
              <w:spacing w:line="240" w:lineRule="auto"/>
              <w:ind w:firstLine="0" w:firstLineChars="0"/>
              <w:jc w:val="center"/>
              <w:rPr>
                <w:snapToGrid w:val="0"/>
                <w:color w:val="auto"/>
                <w:sz w:val="21"/>
                <w:szCs w:val="21"/>
              </w:rPr>
            </w:pPr>
          </w:p>
        </w:tc>
        <w:tc>
          <w:tcPr>
            <w:tcW w:w="371" w:type="pct"/>
            <w:vAlign w:val="center"/>
          </w:tcPr>
          <w:p w14:paraId="37554D1B">
            <w:pPr>
              <w:spacing w:line="240" w:lineRule="auto"/>
              <w:ind w:firstLine="0" w:firstLineChars="0"/>
              <w:jc w:val="center"/>
              <w:rPr>
                <w:snapToGrid w:val="0"/>
                <w:color w:val="auto"/>
                <w:sz w:val="21"/>
                <w:szCs w:val="21"/>
              </w:rPr>
            </w:pPr>
          </w:p>
        </w:tc>
        <w:tc>
          <w:tcPr>
            <w:tcW w:w="717" w:type="pct"/>
            <w:vAlign w:val="center"/>
          </w:tcPr>
          <w:p w14:paraId="18929F4B">
            <w:pPr>
              <w:spacing w:line="240" w:lineRule="auto"/>
              <w:ind w:firstLine="0" w:firstLineChars="0"/>
              <w:jc w:val="center"/>
              <w:rPr>
                <w:snapToGrid w:val="0"/>
                <w:color w:val="auto"/>
                <w:sz w:val="21"/>
                <w:szCs w:val="21"/>
              </w:rPr>
            </w:pPr>
          </w:p>
        </w:tc>
        <w:tc>
          <w:tcPr>
            <w:tcW w:w="717" w:type="pct"/>
            <w:shd w:val="clear" w:color="auto" w:fill="auto"/>
            <w:vAlign w:val="center"/>
          </w:tcPr>
          <w:p w14:paraId="3064D1A2">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4.8</w:t>
            </w:r>
          </w:p>
        </w:tc>
        <w:tc>
          <w:tcPr>
            <w:tcW w:w="614" w:type="pct"/>
            <w:vAlign w:val="center"/>
          </w:tcPr>
          <w:p w14:paraId="588B9732">
            <w:pPr>
              <w:spacing w:line="240" w:lineRule="auto"/>
              <w:ind w:firstLine="0" w:firstLineChars="0"/>
              <w:jc w:val="center"/>
              <w:rPr>
                <w:snapToGrid w:val="0"/>
                <w:color w:val="auto"/>
                <w:sz w:val="21"/>
                <w:szCs w:val="21"/>
              </w:rPr>
            </w:pPr>
          </w:p>
        </w:tc>
        <w:tc>
          <w:tcPr>
            <w:tcW w:w="838" w:type="pct"/>
            <w:shd w:val="clear" w:color="auto" w:fill="auto"/>
            <w:vAlign w:val="center"/>
          </w:tcPr>
          <w:p w14:paraId="335E02D5">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4.8</w:t>
            </w:r>
          </w:p>
        </w:tc>
        <w:tc>
          <w:tcPr>
            <w:tcW w:w="319" w:type="pct"/>
            <w:shd w:val="clear" w:color="auto" w:fill="auto"/>
            <w:vAlign w:val="center"/>
          </w:tcPr>
          <w:p w14:paraId="363979BC">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+4.8</w:t>
            </w:r>
          </w:p>
        </w:tc>
      </w:tr>
      <w:tr w14:paraId="54A6D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8" w:type="pct"/>
            <w:vMerge w:val="continue"/>
            <w:vAlign w:val="center"/>
          </w:tcPr>
          <w:p w14:paraId="69D811F1">
            <w:pPr>
              <w:spacing w:line="240" w:lineRule="auto"/>
              <w:ind w:firstLine="0" w:firstLineChars="0"/>
              <w:jc w:val="center"/>
              <w:rPr>
                <w:rFonts w:hint="eastAsia" w:hAnsi="宋体"/>
                <w:snapToGrid w:val="0"/>
                <w:color w:val="auto"/>
                <w:sz w:val="21"/>
                <w:szCs w:val="21"/>
              </w:rPr>
            </w:pPr>
          </w:p>
        </w:tc>
        <w:tc>
          <w:tcPr>
            <w:tcW w:w="653" w:type="pct"/>
            <w:shd w:val="clear" w:color="auto" w:fill="auto"/>
            <w:vAlign w:val="center"/>
          </w:tcPr>
          <w:p w14:paraId="79FA321E">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bCs/>
                <w:color w:val="000000"/>
                <w:sz w:val="21"/>
                <w:szCs w:val="21"/>
                <w:lang w:val="en-US" w:eastAsia="zh-CN"/>
              </w:rPr>
            </w:pPr>
            <w:r>
              <w:rPr>
                <w:rFonts w:hint="eastAsia"/>
                <w:bCs/>
                <w:color w:val="000000"/>
                <w:sz w:val="21"/>
                <w:szCs w:val="21"/>
                <w:lang w:val="en-US" w:eastAsia="zh-CN"/>
              </w:rPr>
              <w:t>毒性药材药渣</w:t>
            </w:r>
          </w:p>
        </w:tc>
        <w:tc>
          <w:tcPr>
            <w:tcW w:w="568" w:type="pct"/>
            <w:vAlign w:val="center"/>
          </w:tcPr>
          <w:p w14:paraId="1404A45E">
            <w:pPr>
              <w:spacing w:line="240" w:lineRule="auto"/>
              <w:ind w:firstLine="0" w:firstLineChars="0"/>
              <w:jc w:val="center"/>
              <w:rPr>
                <w:snapToGrid w:val="0"/>
                <w:color w:val="auto"/>
                <w:sz w:val="21"/>
                <w:szCs w:val="21"/>
              </w:rPr>
            </w:pPr>
          </w:p>
        </w:tc>
        <w:tc>
          <w:tcPr>
            <w:tcW w:w="371" w:type="pct"/>
            <w:vAlign w:val="center"/>
          </w:tcPr>
          <w:p w14:paraId="1D1039AD">
            <w:pPr>
              <w:spacing w:line="240" w:lineRule="auto"/>
              <w:ind w:firstLine="0" w:firstLineChars="0"/>
              <w:jc w:val="center"/>
              <w:rPr>
                <w:snapToGrid w:val="0"/>
                <w:color w:val="auto"/>
                <w:sz w:val="21"/>
                <w:szCs w:val="21"/>
              </w:rPr>
            </w:pPr>
          </w:p>
        </w:tc>
        <w:tc>
          <w:tcPr>
            <w:tcW w:w="717" w:type="pct"/>
            <w:vAlign w:val="center"/>
          </w:tcPr>
          <w:p w14:paraId="5272CB8A">
            <w:pPr>
              <w:spacing w:line="240" w:lineRule="auto"/>
              <w:ind w:firstLine="0" w:firstLineChars="0"/>
              <w:jc w:val="center"/>
              <w:rPr>
                <w:snapToGrid w:val="0"/>
                <w:color w:val="auto"/>
                <w:sz w:val="21"/>
                <w:szCs w:val="21"/>
              </w:rPr>
            </w:pPr>
          </w:p>
        </w:tc>
        <w:tc>
          <w:tcPr>
            <w:tcW w:w="717" w:type="pct"/>
            <w:shd w:val="clear" w:color="auto" w:fill="auto"/>
            <w:vAlign w:val="center"/>
          </w:tcPr>
          <w:p w14:paraId="231F9271">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bCs/>
                <w:color w:val="000000"/>
                <w:sz w:val="21"/>
                <w:szCs w:val="21"/>
                <w:lang w:val="en-US" w:eastAsia="zh-CN"/>
              </w:rPr>
            </w:pPr>
            <w:r>
              <w:rPr>
                <w:rFonts w:hint="eastAsia"/>
                <w:bCs/>
                <w:color w:val="000000"/>
                <w:sz w:val="21"/>
                <w:szCs w:val="21"/>
                <w:lang w:val="en-US" w:eastAsia="zh-CN"/>
              </w:rPr>
              <w:t>4</w:t>
            </w:r>
          </w:p>
        </w:tc>
        <w:tc>
          <w:tcPr>
            <w:tcW w:w="614" w:type="pct"/>
            <w:vAlign w:val="center"/>
          </w:tcPr>
          <w:p w14:paraId="18ADA18A">
            <w:pPr>
              <w:spacing w:line="240" w:lineRule="auto"/>
              <w:ind w:firstLine="0" w:firstLineChars="0"/>
              <w:jc w:val="center"/>
              <w:rPr>
                <w:snapToGrid w:val="0"/>
                <w:color w:val="auto"/>
                <w:sz w:val="21"/>
                <w:szCs w:val="21"/>
              </w:rPr>
            </w:pPr>
          </w:p>
        </w:tc>
        <w:tc>
          <w:tcPr>
            <w:tcW w:w="838" w:type="pct"/>
            <w:shd w:val="clear" w:color="auto" w:fill="auto"/>
            <w:vAlign w:val="center"/>
          </w:tcPr>
          <w:p w14:paraId="6E6219B7">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bCs/>
                <w:color w:val="000000"/>
                <w:sz w:val="21"/>
                <w:szCs w:val="21"/>
                <w:lang w:val="en-US" w:eastAsia="zh-CN"/>
              </w:rPr>
            </w:pPr>
            <w:r>
              <w:rPr>
                <w:rFonts w:hint="eastAsia"/>
                <w:bCs/>
                <w:color w:val="000000"/>
                <w:sz w:val="21"/>
                <w:szCs w:val="21"/>
                <w:lang w:val="en-US" w:eastAsia="zh-CN"/>
              </w:rPr>
              <w:t>4</w:t>
            </w:r>
          </w:p>
        </w:tc>
        <w:tc>
          <w:tcPr>
            <w:tcW w:w="319" w:type="pct"/>
            <w:shd w:val="clear" w:color="auto" w:fill="auto"/>
            <w:vAlign w:val="center"/>
          </w:tcPr>
          <w:p w14:paraId="5F59E03F">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bCs/>
                <w:color w:val="000000"/>
                <w:sz w:val="21"/>
                <w:szCs w:val="21"/>
                <w:lang w:val="en-US" w:eastAsia="zh-CN"/>
              </w:rPr>
            </w:pPr>
            <w:r>
              <w:rPr>
                <w:rFonts w:hint="eastAsia"/>
                <w:bCs/>
                <w:color w:val="000000"/>
                <w:sz w:val="21"/>
                <w:szCs w:val="21"/>
                <w:lang w:val="en-US" w:eastAsia="zh-CN"/>
              </w:rPr>
              <w:t>+4</w:t>
            </w:r>
          </w:p>
        </w:tc>
      </w:tr>
      <w:tr w14:paraId="5F763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8" w:type="pct"/>
            <w:vMerge w:val="continue"/>
            <w:vAlign w:val="center"/>
          </w:tcPr>
          <w:p w14:paraId="1DF37E77">
            <w:pPr>
              <w:spacing w:line="240" w:lineRule="auto"/>
              <w:ind w:firstLine="0" w:firstLineChars="0"/>
              <w:jc w:val="center"/>
              <w:rPr>
                <w:rFonts w:hint="eastAsia" w:hAnsi="宋体"/>
                <w:snapToGrid w:val="0"/>
                <w:color w:val="auto"/>
                <w:sz w:val="21"/>
                <w:szCs w:val="21"/>
              </w:rPr>
            </w:pPr>
          </w:p>
        </w:tc>
        <w:tc>
          <w:tcPr>
            <w:tcW w:w="653" w:type="pct"/>
            <w:shd w:val="clear" w:color="auto" w:fill="auto"/>
            <w:vAlign w:val="center"/>
          </w:tcPr>
          <w:p w14:paraId="38E11D4F">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毒性饮片除尘器截留药尘</w:t>
            </w:r>
          </w:p>
        </w:tc>
        <w:tc>
          <w:tcPr>
            <w:tcW w:w="568" w:type="pct"/>
            <w:vAlign w:val="center"/>
          </w:tcPr>
          <w:p w14:paraId="040AA2E8">
            <w:pPr>
              <w:spacing w:line="240" w:lineRule="auto"/>
              <w:ind w:firstLine="0" w:firstLineChars="0"/>
              <w:jc w:val="center"/>
              <w:rPr>
                <w:snapToGrid w:val="0"/>
                <w:color w:val="auto"/>
                <w:sz w:val="21"/>
                <w:szCs w:val="21"/>
              </w:rPr>
            </w:pPr>
          </w:p>
        </w:tc>
        <w:tc>
          <w:tcPr>
            <w:tcW w:w="371" w:type="pct"/>
            <w:vAlign w:val="center"/>
          </w:tcPr>
          <w:p w14:paraId="51F43125">
            <w:pPr>
              <w:spacing w:line="240" w:lineRule="auto"/>
              <w:ind w:firstLine="0" w:firstLineChars="0"/>
              <w:jc w:val="center"/>
              <w:rPr>
                <w:snapToGrid w:val="0"/>
                <w:color w:val="auto"/>
                <w:sz w:val="21"/>
                <w:szCs w:val="21"/>
              </w:rPr>
            </w:pPr>
          </w:p>
        </w:tc>
        <w:tc>
          <w:tcPr>
            <w:tcW w:w="717" w:type="pct"/>
            <w:vAlign w:val="center"/>
          </w:tcPr>
          <w:p w14:paraId="321EA1E4">
            <w:pPr>
              <w:spacing w:line="240" w:lineRule="auto"/>
              <w:ind w:firstLine="0" w:firstLineChars="0"/>
              <w:jc w:val="center"/>
              <w:rPr>
                <w:snapToGrid w:val="0"/>
                <w:color w:val="auto"/>
                <w:sz w:val="21"/>
                <w:szCs w:val="21"/>
              </w:rPr>
            </w:pPr>
          </w:p>
        </w:tc>
        <w:tc>
          <w:tcPr>
            <w:tcW w:w="717" w:type="pct"/>
            <w:shd w:val="clear" w:color="auto" w:fill="auto"/>
            <w:vAlign w:val="center"/>
          </w:tcPr>
          <w:p w14:paraId="6802BB4A">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0.7524</w:t>
            </w:r>
          </w:p>
        </w:tc>
        <w:tc>
          <w:tcPr>
            <w:tcW w:w="614" w:type="pct"/>
            <w:vAlign w:val="center"/>
          </w:tcPr>
          <w:p w14:paraId="041526EC">
            <w:pPr>
              <w:spacing w:line="240" w:lineRule="auto"/>
              <w:ind w:firstLine="0" w:firstLineChars="0"/>
              <w:jc w:val="center"/>
              <w:rPr>
                <w:snapToGrid w:val="0"/>
                <w:color w:val="auto"/>
                <w:sz w:val="21"/>
                <w:szCs w:val="21"/>
              </w:rPr>
            </w:pPr>
          </w:p>
        </w:tc>
        <w:tc>
          <w:tcPr>
            <w:tcW w:w="838" w:type="pct"/>
            <w:shd w:val="clear" w:color="auto" w:fill="auto"/>
            <w:vAlign w:val="center"/>
          </w:tcPr>
          <w:p w14:paraId="2ACB030D">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0.7524</w:t>
            </w:r>
          </w:p>
        </w:tc>
        <w:tc>
          <w:tcPr>
            <w:tcW w:w="319" w:type="pct"/>
            <w:shd w:val="clear" w:color="auto" w:fill="auto"/>
            <w:vAlign w:val="center"/>
          </w:tcPr>
          <w:p w14:paraId="67D64690">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+0.7524</w:t>
            </w:r>
          </w:p>
        </w:tc>
      </w:tr>
      <w:tr w14:paraId="25BF4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8" w:type="pct"/>
            <w:vMerge w:val="continue"/>
            <w:vAlign w:val="center"/>
          </w:tcPr>
          <w:p w14:paraId="0A736834">
            <w:pPr>
              <w:spacing w:line="240" w:lineRule="auto"/>
              <w:ind w:firstLine="0" w:firstLineChars="0"/>
              <w:jc w:val="center"/>
              <w:rPr>
                <w:rFonts w:hint="eastAsia" w:hAnsi="宋体"/>
                <w:snapToGrid w:val="0"/>
                <w:color w:val="auto"/>
                <w:sz w:val="21"/>
                <w:szCs w:val="21"/>
              </w:rPr>
            </w:pPr>
          </w:p>
        </w:tc>
        <w:tc>
          <w:tcPr>
            <w:tcW w:w="653" w:type="pct"/>
            <w:shd w:val="clear" w:color="auto" w:fill="auto"/>
            <w:vAlign w:val="center"/>
          </w:tcPr>
          <w:p w14:paraId="0E7107DC">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毒性饮片检验过程中不合格品</w:t>
            </w:r>
          </w:p>
        </w:tc>
        <w:tc>
          <w:tcPr>
            <w:tcW w:w="568" w:type="pct"/>
            <w:vAlign w:val="center"/>
          </w:tcPr>
          <w:p w14:paraId="0122390B">
            <w:pPr>
              <w:spacing w:line="240" w:lineRule="auto"/>
              <w:ind w:firstLine="0" w:firstLineChars="0"/>
              <w:jc w:val="center"/>
              <w:rPr>
                <w:snapToGrid w:val="0"/>
                <w:color w:val="auto"/>
                <w:sz w:val="21"/>
                <w:szCs w:val="21"/>
              </w:rPr>
            </w:pPr>
          </w:p>
        </w:tc>
        <w:tc>
          <w:tcPr>
            <w:tcW w:w="371" w:type="pct"/>
            <w:vAlign w:val="center"/>
          </w:tcPr>
          <w:p w14:paraId="678ACFC4">
            <w:pPr>
              <w:spacing w:line="240" w:lineRule="auto"/>
              <w:ind w:firstLine="0" w:firstLineChars="0"/>
              <w:jc w:val="center"/>
              <w:rPr>
                <w:snapToGrid w:val="0"/>
                <w:color w:val="auto"/>
                <w:sz w:val="21"/>
                <w:szCs w:val="21"/>
              </w:rPr>
            </w:pPr>
          </w:p>
        </w:tc>
        <w:tc>
          <w:tcPr>
            <w:tcW w:w="717" w:type="pct"/>
            <w:vAlign w:val="center"/>
          </w:tcPr>
          <w:p w14:paraId="15795D6B">
            <w:pPr>
              <w:spacing w:line="240" w:lineRule="auto"/>
              <w:ind w:firstLine="0" w:firstLineChars="0"/>
              <w:jc w:val="center"/>
              <w:rPr>
                <w:snapToGrid w:val="0"/>
                <w:color w:val="auto"/>
                <w:sz w:val="21"/>
                <w:szCs w:val="21"/>
              </w:rPr>
            </w:pPr>
          </w:p>
        </w:tc>
        <w:tc>
          <w:tcPr>
            <w:tcW w:w="717" w:type="pct"/>
            <w:shd w:val="clear" w:color="auto" w:fill="auto"/>
            <w:vAlign w:val="center"/>
          </w:tcPr>
          <w:p w14:paraId="5CC32074">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0.05</w:t>
            </w:r>
          </w:p>
        </w:tc>
        <w:tc>
          <w:tcPr>
            <w:tcW w:w="614" w:type="pct"/>
            <w:vAlign w:val="center"/>
          </w:tcPr>
          <w:p w14:paraId="518134C3">
            <w:pPr>
              <w:spacing w:line="240" w:lineRule="auto"/>
              <w:ind w:firstLine="0" w:firstLineChars="0"/>
              <w:jc w:val="center"/>
              <w:rPr>
                <w:snapToGrid w:val="0"/>
                <w:color w:val="auto"/>
                <w:sz w:val="21"/>
                <w:szCs w:val="21"/>
              </w:rPr>
            </w:pPr>
          </w:p>
        </w:tc>
        <w:tc>
          <w:tcPr>
            <w:tcW w:w="838" w:type="pct"/>
            <w:shd w:val="clear" w:color="auto" w:fill="auto"/>
            <w:vAlign w:val="center"/>
          </w:tcPr>
          <w:p w14:paraId="1A202F7A">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0.05</w:t>
            </w:r>
          </w:p>
        </w:tc>
        <w:tc>
          <w:tcPr>
            <w:tcW w:w="319" w:type="pct"/>
            <w:shd w:val="clear" w:color="auto" w:fill="auto"/>
            <w:vAlign w:val="center"/>
          </w:tcPr>
          <w:p w14:paraId="5B85176C">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+0.05</w:t>
            </w:r>
          </w:p>
        </w:tc>
      </w:tr>
      <w:tr w14:paraId="30E56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8" w:type="pct"/>
            <w:vMerge w:val="continue"/>
            <w:vAlign w:val="center"/>
          </w:tcPr>
          <w:p w14:paraId="3FD9F1CB">
            <w:pPr>
              <w:spacing w:line="240" w:lineRule="auto"/>
              <w:ind w:firstLine="0" w:firstLineChars="0"/>
              <w:jc w:val="center"/>
              <w:rPr>
                <w:rFonts w:hint="eastAsia" w:hAnsi="宋体"/>
                <w:snapToGrid w:val="0"/>
                <w:color w:val="auto"/>
                <w:sz w:val="21"/>
                <w:szCs w:val="21"/>
              </w:rPr>
            </w:pPr>
          </w:p>
        </w:tc>
        <w:tc>
          <w:tcPr>
            <w:tcW w:w="653" w:type="pct"/>
            <w:shd w:val="clear" w:color="auto" w:fill="auto"/>
            <w:vAlign w:val="center"/>
          </w:tcPr>
          <w:p w14:paraId="5FA7C411">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rPr>
              <w:t>解毒池沉渣</w:t>
            </w:r>
          </w:p>
        </w:tc>
        <w:tc>
          <w:tcPr>
            <w:tcW w:w="568" w:type="pct"/>
            <w:vAlign w:val="center"/>
          </w:tcPr>
          <w:p w14:paraId="3A4D8604">
            <w:pPr>
              <w:spacing w:line="240" w:lineRule="auto"/>
              <w:ind w:firstLine="0" w:firstLineChars="0"/>
              <w:jc w:val="center"/>
              <w:rPr>
                <w:snapToGrid w:val="0"/>
                <w:color w:val="auto"/>
                <w:sz w:val="21"/>
                <w:szCs w:val="21"/>
              </w:rPr>
            </w:pPr>
          </w:p>
        </w:tc>
        <w:tc>
          <w:tcPr>
            <w:tcW w:w="371" w:type="pct"/>
            <w:vAlign w:val="center"/>
          </w:tcPr>
          <w:p w14:paraId="7BBD77D0">
            <w:pPr>
              <w:spacing w:line="240" w:lineRule="auto"/>
              <w:ind w:firstLine="0" w:firstLineChars="0"/>
              <w:jc w:val="center"/>
              <w:rPr>
                <w:snapToGrid w:val="0"/>
                <w:color w:val="auto"/>
                <w:sz w:val="21"/>
                <w:szCs w:val="21"/>
              </w:rPr>
            </w:pPr>
          </w:p>
        </w:tc>
        <w:tc>
          <w:tcPr>
            <w:tcW w:w="717" w:type="pct"/>
            <w:vAlign w:val="center"/>
          </w:tcPr>
          <w:p w14:paraId="40CD8EA6">
            <w:pPr>
              <w:spacing w:line="240" w:lineRule="auto"/>
              <w:ind w:firstLine="0" w:firstLineChars="0"/>
              <w:jc w:val="center"/>
              <w:rPr>
                <w:snapToGrid w:val="0"/>
                <w:color w:val="auto"/>
                <w:sz w:val="21"/>
                <w:szCs w:val="21"/>
              </w:rPr>
            </w:pPr>
          </w:p>
        </w:tc>
        <w:tc>
          <w:tcPr>
            <w:tcW w:w="717" w:type="pct"/>
            <w:shd w:val="clear" w:color="auto" w:fill="auto"/>
            <w:vAlign w:val="center"/>
          </w:tcPr>
          <w:p w14:paraId="6FF87401">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0.05</w:t>
            </w:r>
          </w:p>
        </w:tc>
        <w:tc>
          <w:tcPr>
            <w:tcW w:w="614" w:type="pct"/>
            <w:vAlign w:val="center"/>
          </w:tcPr>
          <w:p w14:paraId="64D499EB">
            <w:pPr>
              <w:spacing w:line="240" w:lineRule="auto"/>
              <w:ind w:firstLine="0" w:firstLineChars="0"/>
              <w:jc w:val="center"/>
              <w:rPr>
                <w:snapToGrid w:val="0"/>
                <w:color w:val="auto"/>
                <w:sz w:val="21"/>
                <w:szCs w:val="21"/>
              </w:rPr>
            </w:pPr>
          </w:p>
        </w:tc>
        <w:tc>
          <w:tcPr>
            <w:tcW w:w="838" w:type="pct"/>
            <w:shd w:val="clear" w:color="auto" w:fill="auto"/>
            <w:vAlign w:val="center"/>
          </w:tcPr>
          <w:p w14:paraId="138555F3">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0.05</w:t>
            </w:r>
          </w:p>
        </w:tc>
        <w:tc>
          <w:tcPr>
            <w:tcW w:w="319" w:type="pct"/>
            <w:shd w:val="clear" w:color="auto" w:fill="auto"/>
            <w:vAlign w:val="center"/>
          </w:tcPr>
          <w:p w14:paraId="18E38762">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Cs/>
                <w:color w:val="000000"/>
                <w:kern w:val="2"/>
                <w:sz w:val="21"/>
                <w:szCs w:val="21"/>
                <w:lang w:val="en-US" w:eastAsia="zh-CN" w:bidi="ar-SA"/>
              </w:rPr>
            </w:pPr>
            <w:r>
              <w:rPr>
                <w:rFonts w:hint="eastAsia"/>
                <w:bCs/>
                <w:color w:val="000000"/>
                <w:sz w:val="21"/>
                <w:szCs w:val="21"/>
                <w:lang w:val="en-US" w:eastAsia="zh-CN"/>
              </w:rPr>
              <w:t>+0.05</w:t>
            </w:r>
          </w:p>
        </w:tc>
      </w:tr>
      <w:tr w14:paraId="79925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8" w:type="pct"/>
            <w:vAlign w:val="center"/>
          </w:tcPr>
          <w:p w14:paraId="18ECEC14">
            <w:pPr>
              <w:spacing w:line="240" w:lineRule="auto"/>
              <w:ind w:firstLine="0" w:firstLineChars="0"/>
              <w:jc w:val="center"/>
              <w:rPr>
                <w:rFonts w:hint="eastAsia" w:hAnsi="宋体" w:eastAsia="宋体"/>
                <w:snapToGrid w:val="0"/>
                <w:color w:val="auto"/>
                <w:sz w:val="21"/>
                <w:szCs w:val="21"/>
                <w:lang w:val="en-US" w:eastAsia="zh-CN"/>
              </w:rPr>
            </w:pPr>
            <w:r>
              <w:rPr>
                <w:rFonts w:hint="eastAsia" w:hAnsi="宋体"/>
                <w:snapToGrid w:val="0"/>
                <w:color w:val="auto"/>
                <w:sz w:val="21"/>
                <w:szCs w:val="21"/>
                <w:lang w:val="en-US" w:eastAsia="zh-CN"/>
              </w:rPr>
              <w:t>生活垃圾</w:t>
            </w:r>
          </w:p>
        </w:tc>
        <w:tc>
          <w:tcPr>
            <w:tcW w:w="653" w:type="pct"/>
            <w:vAlign w:val="center"/>
          </w:tcPr>
          <w:p w14:paraId="1D2DB178">
            <w:pPr>
              <w:spacing w:line="240" w:lineRule="auto"/>
              <w:ind w:firstLine="0" w:firstLineChars="0"/>
              <w:jc w:val="center"/>
              <w:rPr>
                <w:color w:val="auto"/>
                <w:sz w:val="21"/>
                <w:szCs w:val="21"/>
              </w:rPr>
            </w:pPr>
            <w:r>
              <w:rPr>
                <w:rFonts w:hint="eastAsia" w:hAnsi="宋体"/>
                <w:snapToGrid w:val="0"/>
                <w:color w:val="auto"/>
                <w:sz w:val="21"/>
                <w:szCs w:val="21"/>
                <w:lang w:val="en-US" w:eastAsia="zh-CN"/>
              </w:rPr>
              <w:t>生活垃圾</w:t>
            </w:r>
          </w:p>
        </w:tc>
        <w:tc>
          <w:tcPr>
            <w:tcW w:w="568" w:type="pct"/>
            <w:vAlign w:val="center"/>
          </w:tcPr>
          <w:p w14:paraId="2816F33B">
            <w:pPr>
              <w:spacing w:line="240" w:lineRule="auto"/>
              <w:ind w:firstLine="0" w:firstLineChars="0"/>
              <w:jc w:val="center"/>
              <w:rPr>
                <w:snapToGrid w:val="0"/>
                <w:color w:val="auto"/>
                <w:sz w:val="21"/>
                <w:szCs w:val="21"/>
              </w:rPr>
            </w:pPr>
          </w:p>
        </w:tc>
        <w:tc>
          <w:tcPr>
            <w:tcW w:w="371" w:type="pct"/>
            <w:vAlign w:val="center"/>
          </w:tcPr>
          <w:p w14:paraId="3528AD35">
            <w:pPr>
              <w:spacing w:line="240" w:lineRule="auto"/>
              <w:ind w:firstLine="0" w:firstLineChars="0"/>
              <w:jc w:val="center"/>
              <w:rPr>
                <w:snapToGrid w:val="0"/>
                <w:color w:val="auto"/>
                <w:sz w:val="21"/>
                <w:szCs w:val="21"/>
              </w:rPr>
            </w:pPr>
          </w:p>
        </w:tc>
        <w:tc>
          <w:tcPr>
            <w:tcW w:w="717" w:type="pct"/>
            <w:vAlign w:val="center"/>
          </w:tcPr>
          <w:p w14:paraId="009EB926">
            <w:pPr>
              <w:spacing w:line="240" w:lineRule="auto"/>
              <w:ind w:firstLine="0" w:firstLineChars="0"/>
              <w:jc w:val="center"/>
              <w:rPr>
                <w:snapToGrid w:val="0"/>
                <w:color w:val="auto"/>
                <w:sz w:val="21"/>
                <w:szCs w:val="21"/>
              </w:rPr>
            </w:pPr>
          </w:p>
        </w:tc>
        <w:tc>
          <w:tcPr>
            <w:tcW w:w="717" w:type="pct"/>
            <w:vAlign w:val="center"/>
          </w:tcPr>
          <w:p w14:paraId="3DC72A8C">
            <w:pPr>
              <w:spacing w:line="240" w:lineRule="auto"/>
              <w:ind w:firstLine="0" w:firstLineChars="0"/>
              <w:jc w:val="center"/>
              <w:rPr>
                <w:rFonts w:hint="default" w:eastAsia="宋体"/>
                <w:snapToGrid w:val="0"/>
                <w:color w:val="auto"/>
                <w:sz w:val="21"/>
                <w:szCs w:val="21"/>
                <w:lang w:val="en-US" w:eastAsia="zh-CN"/>
              </w:rPr>
            </w:pPr>
            <w:r>
              <w:rPr>
                <w:rFonts w:hint="eastAsia"/>
                <w:snapToGrid w:val="0"/>
                <w:color w:val="auto"/>
                <w:sz w:val="21"/>
                <w:szCs w:val="21"/>
                <w:lang w:val="en-US" w:eastAsia="zh-CN"/>
              </w:rPr>
              <w:t>16</w:t>
            </w:r>
          </w:p>
        </w:tc>
        <w:tc>
          <w:tcPr>
            <w:tcW w:w="614" w:type="pct"/>
            <w:vAlign w:val="center"/>
          </w:tcPr>
          <w:p w14:paraId="0ECBE19C">
            <w:pPr>
              <w:spacing w:line="240" w:lineRule="auto"/>
              <w:ind w:firstLine="0" w:firstLineChars="0"/>
              <w:jc w:val="center"/>
              <w:rPr>
                <w:snapToGrid w:val="0"/>
                <w:color w:val="auto"/>
                <w:sz w:val="21"/>
                <w:szCs w:val="21"/>
              </w:rPr>
            </w:pPr>
          </w:p>
        </w:tc>
        <w:tc>
          <w:tcPr>
            <w:tcW w:w="838" w:type="pct"/>
            <w:shd w:val="clear" w:color="auto" w:fill="auto"/>
            <w:vAlign w:val="center"/>
          </w:tcPr>
          <w:p w14:paraId="2A234B05">
            <w:pPr>
              <w:spacing w:line="240" w:lineRule="auto"/>
              <w:ind w:firstLine="0" w:firstLineChars="0"/>
              <w:jc w:val="center"/>
              <w:rPr>
                <w:rFonts w:hint="default" w:ascii="Times New Roman" w:hAnsi="Times New Roman" w:eastAsia="宋体" w:cs="Times New Roman"/>
                <w:snapToGrid w:val="0"/>
                <w:color w:val="auto"/>
                <w:kern w:val="2"/>
                <w:sz w:val="21"/>
                <w:szCs w:val="21"/>
                <w:lang w:val="en-US" w:eastAsia="zh-CN" w:bidi="ar-SA"/>
              </w:rPr>
            </w:pPr>
            <w:r>
              <w:rPr>
                <w:rFonts w:hint="eastAsia"/>
                <w:snapToGrid w:val="0"/>
                <w:color w:val="auto"/>
                <w:sz w:val="21"/>
                <w:szCs w:val="21"/>
                <w:lang w:val="en-US" w:eastAsia="zh-CN"/>
              </w:rPr>
              <w:t>16</w:t>
            </w:r>
          </w:p>
        </w:tc>
        <w:tc>
          <w:tcPr>
            <w:tcW w:w="319" w:type="pct"/>
            <w:shd w:val="clear" w:color="auto" w:fill="auto"/>
            <w:vAlign w:val="center"/>
          </w:tcPr>
          <w:p w14:paraId="4B431DF2">
            <w:pPr>
              <w:spacing w:line="240" w:lineRule="auto"/>
              <w:ind w:firstLine="0" w:firstLineChars="0"/>
              <w:jc w:val="center"/>
              <w:rPr>
                <w:rFonts w:hint="default" w:ascii="Times New Roman" w:hAnsi="Times New Roman" w:eastAsia="宋体" w:cs="Times New Roman"/>
                <w:snapToGrid w:val="0"/>
                <w:color w:val="auto"/>
                <w:kern w:val="2"/>
                <w:sz w:val="21"/>
                <w:szCs w:val="21"/>
                <w:lang w:val="en-US" w:eastAsia="zh-CN" w:bidi="ar-SA"/>
              </w:rPr>
            </w:pPr>
            <w:r>
              <w:rPr>
                <w:rFonts w:hint="eastAsia"/>
                <w:snapToGrid w:val="0"/>
                <w:color w:val="auto"/>
                <w:sz w:val="21"/>
                <w:szCs w:val="21"/>
                <w:lang w:val="en-US" w:eastAsia="zh-CN"/>
              </w:rPr>
              <w:t>+16</w:t>
            </w:r>
          </w:p>
        </w:tc>
      </w:tr>
    </w:tbl>
    <w:p w14:paraId="2924A21F">
      <w:pPr>
        <w:widowControl/>
        <w:spacing w:line="240" w:lineRule="auto"/>
        <w:ind w:firstLine="0" w:firstLineChars="0"/>
        <w:jc w:val="left"/>
        <w:rPr>
          <w:color w:val="auto"/>
          <w:kern w:val="0"/>
          <w:sz w:val="32"/>
          <w:szCs w:val="32"/>
        </w:rPr>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p>
    <w:sectPr>
      <w:footerReference r:id="rId12" w:type="default"/>
      <w:pgSz w:w="16838" w:h="11906" w:orient="landscape"/>
      <w:pgMar w:top="1418" w:right="1418" w:bottom="1418" w:left="1588" w:header="1134" w:footer="1134" w:gutter="0"/>
      <w:pgBorders>
        <w:top w:val="none" w:sz="0" w:space="0"/>
        <w:left w:val="none" w:sz="0" w:space="0"/>
        <w:bottom w:val="none" w:sz="0" w:space="0"/>
        <w:right w:val="none" w:sz="0" w:space="0"/>
      </w:pgBorders>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TimesNewRomanPS-BoldMT">
    <w:altName w:val="宋体"/>
    <w:panose1 w:val="00000000000000000000"/>
    <w:charset w:val="00"/>
    <w:family w:val="auto"/>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2000000000000000000"/>
    <w:charset w:val="86"/>
    <w:family w:val="auto"/>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8F487">
    <w:pPr>
      <w:tabs>
        <w:tab w:val="center" w:pos="4153"/>
        <w:tab w:val="right" w:pos="8306"/>
      </w:tabs>
      <w:ind w:right="360" w:firstLine="48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BB1B8E">
    <w:pPr>
      <w:framePr w:wrap="around" w:vAnchor="text" w:hAnchor="margin" w:xAlign="center" w:y="1"/>
      <w:tabs>
        <w:tab w:val="center" w:pos="4153"/>
        <w:tab w:val="right" w:pos="8306"/>
      </w:tabs>
      <w:ind w:firstLine="480"/>
    </w:pPr>
    <w:r>
      <w:fldChar w:fldCharType="begin"/>
    </w:r>
    <w:r>
      <w:instrText xml:space="preserve">PAGE  </w:instrText>
    </w:r>
    <w:r>
      <w:fldChar w:fldCharType="end"/>
    </w:r>
  </w:p>
  <w:p w14:paraId="281BBC0A">
    <w:pPr>
      <w:tabs>
        <w:tab w:val="center" w:pos="4153"/>
        <w:tab w:val="right" w:pos="8306"/>
      </w:tabs>
      <w:ind w:right="360"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ED1AA">
    <w:pPr>
      <w:tabs>
        <w:tab w:val="center" w:pos="4153"/>
        <w:tab w:val="right" w:pos="8306"/>
      </w:tabs>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65519631"/>
    </w:sdtPr>
    <w:sdtEndPr>
      <w:rPr>
        <w:sz w:val="20"/>
        <w:szCs w:val="21"/>
      </w:rPr>
    </w:sdtEndPr>
    <w:sdtContent>
      <w:p w14:paraId="73B6EA1F">
        <w:pPr>
          <w:tabs>
            <w:tab w:val="center" w:pos="4153"/>
            <w:tab w:val="right" w:pos="8306"/>
          </w:tabs>
          <w:adjustRightInd w:val="0"/>
          <w:spacing w:line="240" w:lineRule="auto"/>
          <w:ind w:firstLine="0" w:firstLineChars="0"/>
          <w:jc w:val="center"/>
          <w:rPr>
            <w:sz w:val="20"/>
            <w:szCs w:val="21"/>
          </w:rPr>
        </w:pPr>
        <w:r>
          <w:rPr>
            <w:sz w:val="20"/>
            <w:szCs w:val="21"/>
          </w:rPr>
          <w:fldChar w:fldCharType="begin"/>
        </w:r>
        <w:r>
          <w:rPr>
            <w:sz w:val="20"/>
            <w:szCs w:val="21"/>
          </w:rPr>
          <w:instrText xml:space="preserve">PAGE   \* MERGEFORMAT</w:instrText>
        </w:r>
        <w:r>
          <w:rPr>
            <w:sz w:val="20"/>
            <w:szCs w:val="21"/>
          </w:rPr>
          <w:fldChar w:fldCharType="separate"/>
        </w:r>
        <w:r>
          <w:rPr>
            <w:sz w:val="20"/>
            <w:szCs w:val="21"/>
            <w:lang w:val="zh-CN"/>
          </w:rPr>
          <w:t>2</w:t>
        </w:r>
        <w:r>
          <w:rPr>
            <w:sz w:val="20"/>
            <w:szCs w:val="21"/>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3891798"/>
    </w:sdtPr>
    <w:sdtEndPr>
      <w:rPr>
        <w:sz w:val="21"/>
        <w:szCs w:val="22"/>
      </w:rPr>
    </w:sdtEndPr>
    <w:sdtContent>
      <w:p w14:paraId="7103C73A">
        <w:pPr>
          <w:tabs>
            <w:tab w:val="center" w:pos="4153"/>
            <w:tab w:val="right" w:pos="8306"/>
          </w:tabs>
          <w:ind w:firstLine="480"/>
          <w:jc w:val="center"/>
          <w:rPr>
            <w:sz w:val="21"/>
            <w:szCs w:val="22"/>
          </w:rPr>
        </w:pPr>
        <w:r>
          <w:rPr>
            <w:sz w:val="21"/>
            <w:szCs w:val="22"/>
          </w:rPr>
          <w:fldChar w:fldCharType="begin"/>
        </w:r>
        <w:r>
          <w:rPr>
            <w:sz w:val="21"/>
            <w:szCs w:val="22"/>
          </w:rPr>
          <w:instrText xml:space="preserve">PAGE   \* MERGEFORMAT</w:instrText>
        </w:r>
        <w:r>
          <w:rPr>
            <w:sz w:val="21"/>
            <w:szCs w:val="22"/>
          </w:rPr>
          <w:fldChar w:fldCharType="separate"/>
        </w:r>
        <w:r>
          <w:rPr>
            <w:sz w:val="21"/>
            <w:szCs w:val="22"/>
            <w:lang w:val="zh-CN"/>
          </w:rPr>
          <w:t>2</w:t>
        </w:r>
        <w:r>
          <w:rPr>
            <w:sz w:val="21"/>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471C2B">
    <w:pPr>
      <w:tabs>
        <w:tab w:val="center" w:pos="4153"/>
        <w:tab w:val="right" w:pos="8306"/>
      </w:tabs>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E0E78">
    <w:pPr>
      <w:tabs>
        <w:tab w:val="center" w:pos="4153"/>
        <w:tab w:val="right" w:pos="8306"/>
      </w:tabs>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0C9317">
    <w:pPr>
      <w:tabs>
        <w:tab w:val="center" w:pos="4153"/>
        <w:tab w:val="right" w:pos="8306"/>
      </w:tabs>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A9BFFF"/>
    <w:multiLevelType w:val="singleLevel"/>
    <w:tmpl w:val="85A9BFFF"/>
    <w:lvl w:ilvl="0" w:tentative="0">
      <w:start w:val="1"/>
      <w:numFmt w:val="decimal"/>
      <w:lvlText w:val="图2-%1"/>
      <w:lvlJc w:val="left"/>
      <w:pPr>
        <w:tabs>
          <w:tab w:val="left" w:pos="420"/>
        </w:tabs>
        <w:ind w:left="425" w:leftChars="0" w:hanging="425" w:firstLineChars="0"/>
      </w:pPr>
      <w:rPr>
        <w:rFonts w:hint="default"/>
      </w:rPr>
    </w:lvl>
  </w:abstractNum>
  <w:abstractNum w:abstractNumId="1">
    <w:nsid w:val="BDDDDFB8"/>
    <w:multiLevelType w:val="singleLevel"/>
    <w:tmpl w:val="BDDDDFB8"/>
    <w:lvl w:ilvl="0" w:tentative="0">
      <w:start w:val="1"/>
      <w:numFmt w:val="decimal"/>
      <w:lvlText w:val="表4-%1"/>
      <w:lvlJc w:val="left"/>
      <w:pPr>
        <w:tabs>
          <w:tab w:val="left" w:pos="420"/>
        </w:tabs>
        <w:ind w:left="425" w:leftChars="0" w:hanging="425" w:firstLineChars="0"/>
      </w:pPr>
      <w:rPr>
        <w:rFonts w:hint="default"/>
      </w:rPr>
    </w:lvl>
  </w:abstractNum>
  <w:abstractNum w:abstractNumId="2">
    <w:nsid w:val="D3371328"/>
    <w:multiLevelType w:val="singleLevel"/>
    <w:tmpl w:val="D3371328"/>
    <w:lvl w:ilvl="0" w:tentative="0">
      <w:start w:val="1"/>
      <w:numFmt w:val="bullet"/>
      <w:lvlText w:val=""/>
      <w:lvlJc w:val="left"/>
      <w:pPr>
        <w:ind w:left="420" w:hanging="420"/>
      </w:pPr>
      <w:rPr>
        <w:rFonts w:hint="default" w:ascii="Wingdings" w:hAnsi="Wingdings"/>
      </w:rPr>
    </w:lvl>
  </w:abstractNum>
  <w:abstractNum w:abstractNumId="3">
    <w:nsid w:val="DAFB6525"/>
    <w:multiLevelType w:val="singleLevel"/>
    <w:tmpl w:val="DAFB6525"/>
    <w:lvl w:ilvl="0" w:tentative="0">
      <w:start w:val="1"/>
      <w:numFmt w:val="decimal"/>
      <w:pStyle w:val="46"/>
      <w:lvlText w:val="表%1 "/>
      <w:lvlJc w:val="center"/>
      <w:pPr>
        <w:tabs>
          <w:tab w:val="left" w:pos="0"/>
        </w:tabs>
        <w:ind w:left="420" w:hanging="420"/>
      </w:pPr>
      <w:rPr>
        <w:rFonts w:hint="default" w:ascii="Times New Roman" w:hAnsi="Times New Roman" w:eastAsia="宋体" w:cs="Times New Roman"/>
        <w:b/>
        <w:bCs/>
        <w:sz w:val="21"/>
        <w:szCs w:val="21"/>
      </w:rPr>
    </w:lvl>
  </w:abstractNum>
  <w:abstractNum w:abstractNumId="4">
    <w:nsid w:val="E0C5F6CF"/>
    <w:multiLevelType w:val="singleLevel"/>
    <w:tmpl w:val="E0C5F6CF"/>
    <w:lvl w:ilvl="0" w:tentative="0">
      <w:start w:val="1"/>
      <w:numFmt w:val="bullet"/>
      <w:pStyle w:val="14"/>
      <w:lvlText w:val=""/>
      <w:lvlJc w:val="left"/>
      <w:pPr>
        <w:tabs>
          <w:tab w:val="left" w:pos="2040"/>
        </w:tabs>
        <w:ind w:left="2040" w:hanging="360"/>
      </w:pPr>
      <w:rPr>
        <w:rFonts w:hint="default" w:ascii="Wingdings" w:hAnsi="Wingdings"/>
      </w:rPr>
    </w:lvl>
  </w:abstractNum>
  <w:abstractNum w:abstractNumId="5">
    <w:nsid w:val="E72D92ED"/>
    <w:multiLevelType w:val="singleLevel"/>
    <w:tmpl w:val="E72D92ED"/>
    <w:lvl w:ilvl="0" w:tentative="0">
      <w:start w:val="1"/>
      <w:numFmt w:val="decimal"/>
      <w:lvlText w:val="表2-%1"/>
      <w:lvlJc w:val="left"/>
      <w:pPr>
        <w:tabs>
          <w:tab w:val="left" w:pos="420"/>
        </w:tabs>
        <w:ind w:left="425" w:leftChars="0" w:hanging="425" w:firstLineChars="0"/>
      </w:pPr>
      <w:rPr>
        <w:rFonts w:hint="default"/>
      </w:rPr>
    </w:lvl>
  </w:abstractNum>
  <w:abstractNum w:abstractNumId="6">
    <w:nsid w:val="F1CB0C59"/>
    <w:multiLevelType w:val="singleLevel"/>
    <w:tmpl w:val="F1CB0C59"/>
    <w:lvl w:ilvl="0" w:tentative="0">
      <w:start w:val="1"/>
      <w:numFmt w:val="decimal"/>
      <w:lvlText w:val="图4-%1"/>
      <w:lvlJc w:val="left"/>
      <w:pPr>
        <w:tabs>
          <w:tab w:val="left" w:pos="420"/>
        </w:tabs>
        <w:ind w:left="425" w:leftChars="0" w:hanging="425" w:firstLineChars="0"/>
      </w:pPr>
      <w:rPr>
        <w:rFonts w:hint="default"/>
      </w:rPr>
    </w:lvl>
  </w:abstractNum>
  <w:abstractNum w:abstractNumId="7">
    <w:nsid w:val="F96F6F57"/>
    <w:multiLevelType w:val="singleLevel"/>
    <w:tmpl w:val="F96F6F57"/>
    <w:lvl w:ilvl="0" w:tentative="0">
      <w:start w:val="1"/>
      <w:numFmt w:val="decimal"/>
      <w:suff w:val="nothing"/>
      <w:lvlText w:val="%1、"/>
      <w:lvlJc w:val="left"/>
    </w:lvl>
  </w:abstractNum>
  <w:abstractNum w:abstractNumId="8">
    <w:nsid w:val="210E8774"/>
    <w:multiLevelType w:val="singleLevel"/>
    <w:tmpl w:val="210E8774"/>
    <w:lvl w:ilvl="0" w:tentative="0">
      <w:start w:val="1"/>
      <w:numFmt w:val="decimal"/>
      <w:lvlText w:val="表1-%1"/>
      <w:lvlJc w:val="left"/>
      <w:pPr>
        <w:tabs>
          <w:tab w:val="left" w:pos="420"/>
        </w:tabs>
        <w:ind w:left="425" w:leftChars="0" w:hanging="425" w:firstLineChars="0"/>
      </w:pPr>
      <w:rPr>
        <w:rFonts w:hint="default"/>
      </w:rPr>
    </w:lvl>
  </w:abstractNum>
  <w:abstractNum w:abstractNumId="9">
    <w:nsid w:val="4C8BCB0A"/>
    <w:multiLevelType w:val="singleLevel"/>
    <w:tmpl w:val="4C8BCB0A"/>
    <w:lvl w:ilvl="0" w:tentative="0">
      <w:start w:val="4"/>
      <w:numFmt w:val="chineseCounting"/>
      <w:suff w:val="nothing"/>
      <w:lvlText w:val="%1、"/>
      <w:lvlJc w:val="left"/>
      <w:rPr>
        <w:rFonts w:hint="eastAsia"/>
      </w:rPr>
    </w:lvl>
  </w:abstractNum>
  <w:abstractNum w:abstractNumId="10">
    <w:nsid w:val="5D8F91C1"/>
    <w:multiLevelType w:val="singleLevel"/>
    <w:tmpl w:val="5D8F91C1"/>
    <w:lvl w:ilvl="0" w:tentative="0">
      <w:start w:val="1"/>
      <w:numFmt w:val="decimal"/>
      <w:lvlText w:val="表3-%1"/>
      <w:lvlJc w:val="left"/>
      <w:pPr>
        <w:tabs>
          <w:tab w:val="left" w:pos="420"/>
        </w:tabs>
        <w:ind w:left="425" w:leftChars="0" w:hanging="425" w:firstLineChars="0"/>
      </w:pPr>
      <w:rPr>
        <w:rFonts w:hint="default"/>
      </w:rPr>
    </w:lvl>
  </w:abstractNum>
  <w:num w:numId="1">
    <w:abstractNumId w:val="4"/>
  </w:num>
  <w:num w:numId="2">
    <w:abstractNumId w:val="3"/>
  </w:num>
  <w:num w:numId="3">
    <w:abstractNumId w:val="8"/>
  </w:num>
  <w:num w:numId="4">
    <w:abstractNumId w:val="7"/>
  </w:num>
  <w:num w:numId="5">
    <w:abstractNumId w:val="5"/>
  </w:num>
  <w:num w:numId="6">
    <w:abstractNumId w:val="0"/>
  </w:num>
  <w:num w:numId="7">
    <w:abstractNumId w:val="10"/>
  </w:num>
  <w:num w:numId="8">
    <w:abstractNumId w:val="9"/>
  </w:num>
  <w:num w:numId="9">
    <w:abstractNumId w:val="1"/>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U4MWZjMWMzODBjM2I2ODczM2Y0ZGUyY2IxY2QwM2YifQ=="/>
  </w:docVars>
  <w:rsids>
    <w:rsidRoot w:val="00172A27"/>
    <w:rsid w:val="0000033A"/>
    <w:rsid w:val="00000FEE"/>
    <w:rsid w:val="00003988"/>
    <w:rsid w:val="0000440B"/>
    <w:rsid w:val="00005143"/>
    <w:rsid w:val="000060B3"/>
    <w:rsid w:val="00006DCB"/>
    <w:rsid w:val="00007E48"/>
    <w:rsid w:val="00010B93"/>
    <w:rsid w:val="00010CE0"/>
    <w:rsid w:val="000132DA"/>
    <w:rsid w:val="000148B7"/>
    <w:rsid w:val="00014A2B"/>
    <w:rsid w:val="00016D8E"/>
    <w:rsid w:val="000172D1"/>
    <w:rsid w:val="00017851"/>
    <w:rsid w:val="0002135A"/>
    <w:rsid w:val="000213B7"/>
    <w:rsid w:val="00023A18"/>
    <w:rsid w:val="00027A7C"/>
    <w:rsid w:val="0003040D"/>
    <w:rsid w:val="00031218"/>
    <w:rsid w:val="00032291"/>
    <w:rsid w:val="00033CCD"/>
    <w:rsid w:val="000346A1"/>
    <w:rsid w:val="00034D2B"/>
    <w:rsid w:val="0003704E"/>
    <w:rsid w:val="00037B6C"/>
    <w:rsid w:val="000421F7"/>
    <w:rsid w:val="00042386"/>
    <w:rsid w:val="000431CE"/>
    <w:rsid w:val="0004364B"/>
    <w:rsid w:val="00043A17"/>
    <w:rsid w:val="0004517B"/>
    <w:rsid w:val="000458D7"/>
    <w:rsid w:val="00045E57"/>
    <w:rsid w:val="00046E45"/>
    <w:rsid w:val="00050A3A"/>
    <w:rsid w:val="000510AC"/>
    <w:rsid w:val="00051C33"/>
    <w:rsid w:val="00052221"/>
    <w:rsid w:val="000522AD"/>
    <w:rsid w:val="00052B5E"/>
    <w:rsid w:val="00052D6B"/>
    <w:rsid w:val="00053D26"/>
    <w:rsid w:val="00056010"/>
    <w:rsid w:val="00056AE4"/>
    <w:rsid w:val="00056EFF"/>
    <w:rsid w:val="00057A56"/>
    <w:rsid w:val="00057B75"/>
    <w:rsid w:val="00057BAD"/>
    <w:rsid w:val="00061B1F"/>
    <w:rsid w:val="000624B1"/>
    <w:rsid w:val="00063CEC"/>
    <w:rsid w:val="00065F16"/>
    <w:rsid w:val="000660F9"/>
    <w:rsid w:val="000665EB"/>
    <w:rsid w:val="0006736D"/>
    <w:rsid w:val="0007176E"/>
    <w:rsid w:val="00071F75"/>
    <w:rsid w:val="00072CF6"/>
    <w:rsid w:val="000733C4"/>
    <w:rsid w:val="00074034"/>
    <w:rsid w:val="00074087"/>
    <w:rsid w:val="00074783"/>
    <w:rsid w:val="0008070B"/>
    <w:rsid w:val="000810AC"/>
    <w:rsid w:val="00081A02"/>
    <w:rsid w:val="00081EF5"/>
    <w:rsid w:val="00082231"/>
    <w:rsid w:val="00084251"/>
    <w:rsid w:val="000858DD"/>
    <w:rsid w:val="00092990"/>
    <w:rsid w:val="00092C54"/>
    <w:rsid w:val="00092D38"/>
    <w:rsid w:val="0009377B"/>
    <w:rsid w:val="0009410C"/>
    <w:rsid w:val="00094B45"/>
    <w:rsid w:val="00094BF7"/>
    <w:rsid w:val="00094D85"/>
    <w:rsid w:val="000972B0"/>
    <w:rsid w:val="000973EB"/>
    <w:rsid w:val="00097E42"/>
    <w:rsid w:val="000A1C4D"/>
    <w:rsid w:val="000A1F99"/>
    <w:rsid w:val="000A20C9"/>
    <w:rsid w:val="000A33B9"/>
    <w:rsid w:val="000A3429"/>
    <w:rsid w:val="000A3676"/>
    <w:rsid w:val="000A6984"/>
    <w:rsid w:val="000A7387"/>
    <w:rsid w:val="000A7C36"/>
    <w:rsid w:val="000A7EDE"/>
    <w:rsid w:val="000B058F"/>
    <w:rsid w:val="000B1413"/>
    <w:rsid w:val="000B26DE"/>
    <w:rsid w:val="000B312E"/>
    <w:rsid w:val="000B33BF"/>
    <w:rsid w:val="000B3600"/>
    <w:rsid w:val="000B3715"/>
    <w:rsid w:val="000B4467"/>
    <w:rsid w:val="000B4DB9"/>
    <w:rsid w:val="000B5892"/>
    <w:rsid w:val="000B5BDB"/>
    <w:rsid w:val="000B61E0"/>
    <w:rsid w:val="000B68BC"/>
    <w:rsid w:val="000C0864"/>
    <w:rsid w:val="000C098B"/>
    <w:rsid w:val="000C09AC"/>
    <w:rsid w:val="000C0F96"/>
    <w:rsid w:val="000C16ED"/>
    <w:rsid w:val="000C309D"/>
    <w:rsid w:val="000C3103"/>
    <w:rsid w:val="000C3D49"/>
    <w:rsid w:val="000C66A6"/>
    <w:rsid w:val="000C6D5D"/>
    <w:rsid w:val="000C6DA7"/>
    <w:rsid w:val="000C6EC6"/>
    <w:rsid w:val="000C753F"/>
    <w:rsid w:val="000C767F"/>
    <w:rsid w:val="000C7749"/>
    <w:rsid w:val="000C7B2E"/>
    <w:rsid w:val="000C7D58"/>
    <w:rsid w:val="000D0A42"/>
    <w:rsid w:val="000D0BC6"/>
    <w:rsid w:val="000D2001"/>
    <w:rsid w:val="000D43CD"/>
    <w:rsid w:val="000D460D"/>
    <w:rsid w:val="000D5A44"/>
    <w:rsid w:val="000D6971"/>
    <w:rsid w:val="000D7423"/>
    <w:rsid w:val="000D7B3E"/>
    <w:rsid w:val="000E389F"/>
    <w:rsid w:val="000E3A04"/>
    <w:rsid w:val="000E3ED2"/>
    <w:rsid w:val="000E449B"/>
    <w:rsid w:val="000E7BE1"/>
    <w:rsid w:val="000E7E85"/>
    <w:rsid w:val="000F09D1"/>
    <w:rsid w:val="000F1697"/>
    <w:rsid w:val="000F3B06"/>
    <w:rsid w:val="000F4014"/>
    <w:rsid w:val="000F4861"/>
    <w:rsid w:val="000F5812"/>
    <w:rsid w:val="000F6391"/>
    <w:rsid w:val="00100673"/>
    <w:rsid w:val="00101147"/>
    <w:rsid w:val="001026C2"/>
    <w:rsid w:val="00103628"/>
    <w:rsid w:val="001046ED"/>
    <w:rsid w:val="00104BD9"/>
    <w:rsid w:val="001054A5"/>
    <w:rsid w:val="00106A2D"/>
    <w:rsid w:val="001074AD"/>
    <w:rsid w:val="0010757B"/>
    <w:rsid w:val="00113219"/>
    <w:rsid w:val="00113E6E"/>
    <w:rsid w:val="001144F3"/>
    <w:rsid w:val="0011485B"/>
    <w:rsid w:val="00114C3E"/>
    <w:rsid w:val="001152E8"/>
    <w:rsid w:val="0011559D"/>
    <w:rsid w:val="001163DF"/>
    <w:rsid w:val="0011657D"/>
    <w:rsid w:val="00116A29"/>
    <w:rsid w:val="00116FC6"/>
    <w:rsid w:val="00121DB7"/>
    <w:rsid w:val="00122C6A"/>
    <w:rsid w:val="0012446E"/>
    <w:rsid w:val="00127154"/>
    <w:rsid w:val="00130361"/>
    <w:rsid w:val="00131F42"/>
    <w:rsid w:val="00132A7F"/>
    <w:rsid w:val="00133508"/>
    <w:rsid w:val="001344B2"/>
    <w:rsid w:val="001357F1"/>
    <w:rsid w:val="001402F6"/>
    <w:rsid w:val="00140CE3"/>
    <w:rsid w:val="00140FA8"/>
    <w:rsid w:val="00142FEB"/>
    <w:rsid w:val="00143A2D"/>
    <w:rsid w:val="00144E59"/>
    <w:rsid w:val="0014582B"/>
    <w:rsid w:val="00145A41"/>
    <w:rsid w:val="0014615C"/>
    <w:rsid w:val="00151675"/>
    <w:rsid w:val="001516FE"/>
    <w:rsid w:val="00152063"/>
    <w:rsid w:val="001520B6"/>
    <w:rsid w:val="00153183"/>
    <w:rsid w:val="001545CE"/>
    <w:rsid w:val="00155B09"/>
    <w:rsid w:val="00155E5C"/>
    <w:rsid w:val="00157435"/>
    <w:rsid w:val="00157781"/>
    <w:rsid w:val="001604D1"/>
    <w:rsid w:val="001604E1"/>
    <w:rsid w:val="00160842"/>
    <w:rsid w:val="00160847"/>
    <w:rsid w:val="00162ECE"/>
    <w:rsid w:val="00163697"/>
    <w:rsid w:val="001639EF"/>
    <w:rsid w:val="00164EB4"/>
    <w:rsid w:val="00166B9F"/>
    <w:rsid w:val="00167FCB"/>
    <w:rsid w:val="00170534"/>
    <w:rsid w:val="00170829"/>
    <w:rsid w:val="00172A27"/>
    <w:rsid w:val="0017504D"/>
    <w:rsid w:val="00175381"/>
    <w:rsid w:val="0017671A"/>
    <w:rsid w:val="00176B3C"/>
    <w:rsid w:val="00176D07"/>
    <w:rsid w:val="00177422"/>
    <w:rsid w:val="00177767"/>
    <w:rsid w:val="001777F7"/>
    <w:rsid w:val="00180D96"/>
    <w:rsid w:val="00181862"/>
    <w:rsid w:val="00184590"/>
    <w:rsid w:val="001870D1"/>
    <w:rsid w:val="0018781E"/>
    <w:rsid w:val="0019262D"/>
    <w:rsid w:val="00192F25"/>
    <w:rsid w:val="00193724"/>
    <w:rsid w:val="00194ABC"/>
    <w:rsid w:val="00194B5E"/>
    <w:rsid w:val="00195090"/>
    <w:rsid w:val="00195344"/>
    <w:rsid w:val="00195A34"/>
    <w:rsid w:val="0019631C"/>
    <w:rsid w:val="00197C7E"/>
    <w:rsid w:val="001A0F89"/>
    <w:rsid w:val="001A1B35"/>
    <w:rsid w:val="001A20E2"/>
    <w:rsid w:val="001A2DE6"/>
    <w:rsid w:val="001A35BC"/>
    <w:rsid w:val="001A41DD"/>
    <w:rsid w:val="001A48A2"/>
    <w:rsid w:val="001A5271"/>
    <w:rsid w:val="001A5A8E"/>
    <w:rsid w:val="001A6A1B"/>
    <w:rsid w:val="001A6F61"/>
    <w:rsid w:val="001A6FDB"/>
    <w:rsid w:val="001B1D4E"/>
    <w:rsid w:val="001B3EA8"/>
    <w:rsid w:val="001B47FC"/>
    <w:rsid w:val="001B4E4B"/>
    <w:rsid w:val="001B5DB3"/>
    <w:rsid w:val="001B6043"/>
    <w:rsid w:val="001B6490"/>
    <w:rsid w:val="001B66A6"/>
    <w:rsid w:val="001B72B8"/>
    <w:rsid w:val="001B7576"/>
    <w:rsid w:val="001C08C2"/>
    <w:rsid w:val="001C20B6"/>
    <w:rsid w:val="001C460B"/>
    <w:rsid w:val="001C47BA"/>
    <w:rsid w:val="001C4C21"/>
    <w:rsid w:val="001C4EF9"/>
    <w:rsid w:val="001C53AF"/>
    <w:rsid w:val="001C5C93"/>
    <w:rsid w:val="001C684A"/>
    <w:rsid w:val="001C69B3"/>
    <w:rsid w:val="001D3E52"/>
    <w:rsid w:val="001D4260"/>
    <w:rsid w:val="001D4E2E"/>
    <w:rsid w:val="001D5595"/>
    <w:rsid w:val="001D7874"/>
    <w:rsid w:val="001D7F22"/>
    <w:rsid w:val="001E397B"/>
    <w:rsid w:val="001E4288"/>
    <w:rsid w:val="001E7040"/>
    <w:rsid w:val="001E7465"/>
    <w:rsid w:val="001E7A26"/>
    <w:rsid w:val="001F0B27"/>
    <w:rsid w:val="001F0F17"/>
    <w:rsid w:val="001F11C6"/>
    <w:rsid w:val="001F2A44"/>
    <w:rsid w:val="001F3347"/>
    <w:rsid w:val="001F4CD8"/>
    <w:rsid w:val="001F69E4"/>
    <w:rsid w:val="001F7BC3"/>
    <w:rsid w:val="002006B4"/>
    <w:rsid w:val="00202326"/>
    <w:rsid w:val="002029E2"/>
    <w:rsid w:val="00202CAB"/>
    <w:rsid w:val="0020349A"/>
    <w:rsid w:val="00204B20"/>
    <w:rsid w:val="00204CF8"/>
    <w:rsid w:val="00206430"/>
    <w:rsid w:val="00206E7B"/>
    <w:rsid w:val="00207680"/>
    <w:rsid w:val="002125B4"/>
    <w:rsid w:val="0021277D"/>
    <w:rsid w:val="00212F9F"/>
    <w:rsid w:val="002136D7"/>
    <w:rsid w:val="002142BD"/>
    <w:rsid w:val="00214F8F"/>
    <w:rsid w:val="00215425"/>
    <w:rsid w:val="002155B8"/>
    <w:rsid w:val="00215E5F"/>
    <w:rsid w:val="00216D55"/>
    <w:rsid w:val="002178D3"/>
    <w:rsid w:val="00217A59"/>
    <w:rsid w:val="00217E72"/>
    <w:rsid w:val="00221C8E"/>
    <w:rsid w:val="00222CA5"/>
    <w:rsid w:val="00224839"/>
    <w:rsid w:val="002249B2"/>
    <w:rsid w:val="00224B87"/>
    <w:rsid w:val="00225760"/>
    <w:rsid w:val="00226574"/>
    <w:rsid w:val="002278EC"/>
    <w:rsid w:val="00230F75"/>
    <w:rsid w:val="00231540"/>
    <w:rsid w:val="0023280E"/>
    <w:rsid w:val="00232B03"/>
    <w:rsid w:val="002340E7"/>
    <w:rsid w:val="002345F8"/>
    <w:rsid w:val="0023478B"/>
    <w:rsid w:val="002364EC"/>
    <w:rsid w:val="002377D1"/>
    <w:rsid w:val="002379E0"/>
    <w:rsid w:val="002404B9"/>
    <w:rsid w:val="00240537"/>
    <w:rsid w:val="00240812"/>
    <w:rsid w:val="00242DEB"/>
    <w:rsid w:val="00242DFB"/>
    <w:rsid w:val="00243C1C"/>
    <w:rsid w:val="0024557E"/>
    <w:rsid w:val="002461F5"/>
    <w:rsid w:val="002506BC"/>
    <w:rsid w:val="00252371"/>
    <w:rsid w:val="00254345"/>
    <w:rsid w:val="00254548"/>
    <w:rsid w:val="002548F3"/>
    <w:rsid w:val="002554F5"/>
    <w:rsid w:val="002555FC"/>
    <w:rsid w:val="00256CCC"/>
    <w:rsid w:val="0025720C"/>
    <w:rsid w:val="002575A1"/>
    <w:rsid w:val="00260092"/>
    <w:rsid w:val="002608CC"/>
    <w:rsid w:val="00262EF4"/>
    <w:rsid w:val="00263DE6"/>
    <w:rsid w:val="00264557"/>
    <w:rsid w:val="00265208"/>
    <w:rsid w:val="00266806"/>
    <w:rsid w:val="00266E1B"/>
    <w:rsid w:val="00267EFC"/>
    <w:rsid w:val="00274E54"/>
    <w:rsid w:val="0027514C"/>
    <w:rsid w:val="00276403"/>
    <w:rsid w:val="0027640B"/>
    <w:rsid w:val="00276D0F"/>
    <w:rsid w:val="002770F6"/>
    <w:rsid w:val="00277304"/>
    <w:rsid w:val="0027782C"/>
    <w:rsid w:val="002805AB"/>
    <w:rsid w:val="00280AED"/>
    <w:rsid w:val="002812A9"/>
    <w:rsid w:val="002813FB"/>
    <w:rsid w:val="0028169F"/>
    <w:rsid w:val="0028185C"/>
    <w:rsid w:val="00282D01"/>
    <w:rsid w:val="00284204"/>
    <w:rsid w:val="0028457A"/>
    <w:rsid w:val="00286275"/>
    <w:rsid w:val="0028634C"/>
    <w:rsid w:val="00286898"/>
    <w:rsid w:val="00286E0C"/>
    <w:rsid w:val="00287CF1"/>
    <w:rsid w:val="00290C91"/>
    <w:rsid w:val="00290EB0"/>
    <w:rsid w:val="00290F62"/>
    <w:rsid w:val="00291773"/>
    <w:rsid w:val="00291910"/>
    <w:rsid w:val="00292216"/>
    <w:rsid w:val="002934D6"/>
    <w:rsid w:val="002939D8"/>
    <w:rsid w:val="00294E0A"/>
    <w:rsid w:val="002953AD"/>
    <w:rsid w:val="0029670D"/>
    <w:rsid w:val="002970A2"/>
    <w:rsid w:val="002A064F"/>
    <w:rsid w:val="002A168C"/>
    <w:rsid w:val="002A169F"/>
    <w:rsid w:val="002A3DC7"/>
    <w:rsid w:val="002A5166"/>
    <w:rsid w:val="002A576D"/>
    <w:rsid w:val="002A5AC7"/>
    <w:rsid w:val="002A5EA6"/>
    <w:rsid w:val="002A693D"/>
    <w:rsid w:val="002A751D"/>
    <w:rsid w:val="002A7928"/>
    <w:rsid w:val="002B25BB"/>
    <w:rsid w:val="002B4361"/>
    <w:rsid w:val="002B49E2"/>
    <w:rsid w:val="002B51F9"/>
    <w:rsid w:val="002B65B8"/>
    <w:rsid w:val="002B68C1"/>
    <w:rsid w:val="002B7119"/>
    <w:rsid w:val="002B7B00"/>
    <w:rsid w:val="002B7C44"/>
    <w:rsid w:val="002C27B0"/>
    <w:rsid w:val="002C2B17"/>
    <w:rsid w:val="002C32F9"/>
    <w:rsid w:val="002C551D"/>
    <w:rsid w:val="002C55C7"/>
    <w:rsid w:val="002C57C4"/>
    <w:rsid w:val="002D24B1"/>
    <w:rsid w:val="002D2803"/>
    <w:rsid w:val="002D3DD0"/>
    <w:rsid w:val="002D3FE3"/>
    <w:rsid w:val="002D476B"/>
    <w:rsid w:val="002D548E"/>
    <w:rsid w:val="002D6C65"/>
    <w:rsid w:val="002E107D"/>
    <w:rsid w:val="002E1151"/>
    <w:rsid w:val="002E17DD"/>
    <w:rsid w:val="002E1A3A"/>
    <w:rsid w:val="002E1F3A"/>
    <w:rsid w:val="002E298A"/>
    <w:rsid w:val="002E29E8"/>
    <w:rsid w:val="002E2A82"/>
    <w:rsid w:val="002E381F"/>
    <w:rsid w:val="002E3D93"/>
    <w:rsid w:val="002E4C7E"/>
    <w:rsid w:val="002E50D2"/>
    <w:rsid w:val="002E6B01"/>
    <w:rsid w:val="002E7576"/>
    <w:rsid w:val="002E7E97"/>
    <w:rsid w:val="002F0D92"/>
    <w:rsid w:val="002F1451"/>
    <w:rsid w:val="002F1E62"/>
    <w:rsid w:val="002F23A1"/>
    <w:rsid w:val="002F307D"/>
    <w:rsid w:val="002F56BF"/>
    <w:rsid w:val="002F5D73"/>
    <w:rsid w:val="003007C4"/>
    <w:rsid w:val="00301978"/>
    <w:rsid w:val="00301BF0"/>
    <w:rsid w:val="00301D9E"/>
    <w:rsid w:val="00302501"/>
    <w:rsid w:val="00302555"/>
    <w:rsid w:val="0030332C"/>
    <w:rsid w:val="00303431"/>
    <w:rsid w:val="00303B5D"/>
    <w:rsid w:val="003051C2"/>
    <w:rsid w:val="0030529C"/>
    <w:rsid w:val="00305F50"/>
    <w:rsid w:val="00306657"/>
    <w:rsid w:val="003071DD"/>
    <w:rsid w:val="00307940"/>
    <w:rsid w:val="00310A57"/>
    <w:rsid w:val="00311CAC"/>
    <w:rsid w:val="00312296"/>
    <w:rsid w:val="0031259F"/>
    <w:rsid w:val="00314F0E"/>
    <w:rsid w:val="003152BF"/>
    <w:rsid w:val="00316BA1"/>
    <w:rsid w:val="00321D8E"/>
    <w:rsid w:val="00325555"/>
    <w:rsid w:val="00325928"/>
    <w:rsid w:val="0032674F"/>
    <w:rsid w:val="00326E8C"/>
    <w:rsid w:val="00327142"/>
    <w:rsid w:val="003274BD"/>
    <w:rsid w:val="003309AF"/>
    <w:rsid w:val="003310B2"/>
    <w:rsid w:val="003326C4"/>
    <w:rsid w:val="00332863"/>
    <w:rsid w:val="00333B24"/>
    <w:rsid w:val="003345F6"/>
    <w:rsid w:val="0033684D"/>
    <w:rsid w:val="00337B42"/>
    <w:rsid w:val="00340B83"/>
    <w:rsid w:val="00340E8A"/>
    <w:rsid w:val="0034146E"/>
    <w:rsid w:val="00341B42"/>
    <w:rsid w:val="0034308B"/>
    <w:rsid w:val="00343331"/>
    <w:rsid w:val="0034348F"/>
    <w:rsid w:val="0034462F"/>
    <w:rsid w:val="00344CAB"/>
    <w:rsid w:val="00345042"/>
    <w:rsid w:val="0034548C"/>
    <w:rsid w:val="00345883"/>
    <w:rsid w:val="0034794B"/>
    <w:rsid w:val="00347F6B"/>
    <w:rsid w:val="00351013"/>
    <w:rsid w:val="0035229E"/>
    <w:rsid w:val="0035267A"/>
    <w:rsid w:val="003552B2"/>
    <w:rsid w:val="00356653"/>
    <w:rsid w:val="00356EFA"/>
    <w:rsid w:val="0035743F"/>
    <w:rsid w:val="00357640"/>
    <w:rsid w:val="00357BE2"/>
    <w:rsid w:val="0036159F"/>
    <w:rsid w:val="0036170C"/>
    <w:rsid w:val="003622E5"/>
    <w:rsid w:val="00362411"/>
    <w:rsid w:val="00362815"/>
    <w:rsid w:val="00364F22"/>
    <w:rsid w:val="00365606"/>
    <w:rsid w:val="00365D73"/>
    <w:rsid w:val="00366E0F"/>
    <w:rsid w:val="003673E7"/>
    <w:rsid w:val="00367D9B"/>
    <w:rsid w:val="00370533"/>
    <w:rsid w:val="00370C47"/>
    <w:rsid w:val="00370D39"/>
    <w:rsid w:val="00371561"/>
    <w:rsid w:val="00371D2D"/>
    <w:rsid w:val="00371E29"/>
    <w:rsid w:val="003724F2"/>
    <w:rsid w:val="00373149"/>
    <w:rsid w:val="00373A0F"/>
    <w:rsid w:val="0037499A"/>
    <w:rsid w:val="003763F5"/>
    <w:rsid w:val="003766CC"/>
    <w:rsid w:val="00377E37"/>
    <w:rsid w:val="003805D5"/>
    <w:rsid w:val="00380947"/>
    <w:rsid w:val="0038130B"/>
    <w:rsid w:val="00381A72"/>
    <w:rsid w:val="00381FF6"/>
    <w:rsid w:val="00382075"/>
    <w:rsid w:val="0038227F"/>
    <w:rsid w:val="00382D37"/>
    <w:rsid w:val="00384676"/>
    <w:rsid w:val="00387775"/>
    <w:rsid w:val="0039056A"/>
    <w:rsid w:val="00390857"/>
    <w:rsid w:val="00390AEA"/>
    <w:rsid w:val="003918D8"/>
    <w:rsid w:val="00392436"/>
    <w:rsid w:val="0039286F"/>
    <w:rsid w:val="00393A9F"/>
    <w:rsid w:val="00393CD8"/>
    <w:rsid w:val="0039425D"/>
    <w:rsid w:val="00395A6C"/>
    <w:rsid w:val="00395B48"/>
    <w:rsid w:val="00396308"/>
    <w:rsid w:val="0039681C"/>
    <w:rsid w:val="003974A2"/>
    <w:rsid w:val="003978D8"/>
    <w:rsid w:val="003979A8"/>
    <w:rsid w:val="00397FEE"/>
    <w:rsid w:val="003A035A"/>
    <w:rsid w:val="003A0474"/>
    <w:rsid w:val="003A0A84"/>
    <w:rsid w:val="003A1B41"/>
    <w:rsid w:val="003A1C15"/>
    <w:rsid w:val="003A2529"/>
    <w:rsid w:val="003A300D"/>
    <w:rsid w:val="003A3C1E"/>
    <w:rsid w:val="003A4534"/>
    <w:rsid w:val="003A4BF3"/>
    <w:rsid w:val="003A4C2D"/>
    <w:rsid w:val="003A4F10"/>
    <w:rsid w:val="003A6196"/>
    <w:rsid w:val="003A625E"/>
    <w:rsid w:val="003A6263"/>
    <w:rsid w:val="003A7E47"/>
    <w:rsid w:val="003B1E17"/>
    <w:rsid w:val="003B1FD3"/>
    <w:rsid w:val="003B2A05"/>
    <w:rsid w:val="003B3E3E"/>
    <w:rsid w:val="003B414E"/>
    <w:rsid w:val="003B420D"/>
    <w:rsid w:val="003B4637"/>
    <w:rsid w:val="003B65A8"/>
    <w:rsid w:val="003C0BA2"/>
    <w:rsid w:val="003C19BB"/>
    <w:rsid w:val="003C1D61"/>
    <w:rsid w:val="003C6104"/>
    <w:rsid w:val="003C6C16"/>
    <w:rsid w:val="003C777A"/>
    <w:rsid w:val="003C78EF"/>
    <w:rsid w:val="003C7B4A"/>
    <w:rsid w:val="003D21F7"/>
    <w:rsid w:val="003D2F53"/>
    <w:rsid w:val="003D43C4"/>
    <w:rsid w:val="003D5669"/>
    <w:rsid w:val="003D6529"/>
    <w:rsid w:val="003D72F1"/>
    <w:rsid w:val="003D794D"/>
    <w:rsid w:val="003E17C5"/>
    <w:rsid w:val="003E1CFF"/>
    <w:rsid w:val="003E3058"/>
    <w:rsid w:val="003E5E6B"/>
    <w:rsid w:val="003E76A9"/>
    <w:rsid w:val="003F05D9"/>
    <w:rsid w:val="003F0809"/>
    <w:rsid w:val="003F2B23"/>
    <w:rsid w:val="003F4644"/>
    <w:rsid w:val="003F47A4"/>
    <w:rsid w:val="003F4E9F"/>
    <w:rsid w:val="003F560D"/>
    <w:rsid w:val="003F6A8C"/>
    <w:rsid w:val="003F6C58"/>
    <w:rsid w:val="003F755C"/>
    <w:rsid w:val="003F7994"/>
    <w:rsid w:val="003F7B23"/>
    <w:rsid w:val="003F7D0E"/>
    <w:rsid w:val="0040080B"/>
    <w:rsid w:val="004021EB"/>
    <w:rsid w:val="00402AE8"/>
    <w:rsid w:val="00405860"/>
    <w:rsid w:val="00405C64"/>
    <w:rsid w:val="00406CC6"/>
    <w:rsid w:val="00406E10"/>
    <w:rsid w:val="00406F01"/>
    <w:rsid w:val="00411968"/>
    <w:rsid w:val="00412E3B"/>
    <w:rsid w:val="00414BBC"/>
    <w:rsid w:val="00415896"/>
    <w:rsid w:val="00416D50"/>
    <w:rsid w:val="00416FD5"/>
    <w:rsid w:val="00417213"/>
    <w:rsid w:val="00417648"/>
    <w:rsid w:val="00417772"/>
    <w:rsid w:val="00420E6A"/>
    <w:rsid w:val="004210E0"/>
    <w:rsid w:val="0042123D"/>
    <w:rsid w:val="004216A9"/>
    <w:rsid w:val="004232A7"/>
    <w:rsid w:val="004241A3"/>
    <w:rsid w:val="004248C8"/>
    <w:rsid w:val="00424902"/>
    <w:rsid w:val="004254FE"/>
    <w:rsid w:val="00425A9E"/>
    <w:rsid w:val="00426D6B"/>
    <w:rsid w:val="00426E37"/>
    <w:rsid w:val="004275EC"/>
    <w:rsid w:val="0042761A"/>
    <w:rsid w:val="004276A8"/>
    <w:rsid w:val="00427D18"/>
    <w:rsid w:val="00430447"/>
    <w:rsid w:val="00431E6C"/>
    <w:rsid w:val="00433CE7"/>
    <w:rsid w:val="00434A9F"/>
    <w:rsid w:val="00436DB6"/>
    <w:rsid w:val="00440438"/>
    <w:rsid w:val="004406F4"/>
    <w:rsid w:val="00441230"/>
    <w:rsid w:val="00442CDD"/>
    <w:rsid w:val="00443C04"/>
    <w:rsid w:val="00443F19"/>
    <w:rsid w:val="00445488"/>
    <w:rsid w:val="00447F4E"/>
    <w:rsid w:val="004504E2"/>
    <w:rsid w:val="00452738"/>
    <w:rsid w:val="00454264"/>
    <w:rsid w:val="004543CF"/>
    <w:rsid w:val="00454B5B"/>
    <w:rsid w:val="00454F8E"/>
    <w:rsid w:val="004551A5"/>
    <w:rsid w:val="00456091"/>
    <w:rsid w:val="00460FE9"/>
    <w:rsid w:val="00462A5D"/>
    <w:rsid w:val="00462F5D"/>
    <w:rsid w:val="00463297"/>
    <w:rsid w:val="0046365C"/>
    <w:rsid w:val="0046384B"/>
    <w:rsid w:val="00463A5E"/>
    <w:rsid w:val="004659B7"/>
    <w:rsid w:val="00465FAA"/>
    <w:rsid w:val="00466321"/>
    <w:rsid w:val="004667A4"/>
    <w:rsid w:val="00467868"/>
    <w:rsid w:val="00467944"/>
    <w:rsid w:val="00467A33"/>
    <w:rsid w:val="00470CC6"/>
    <w:rsid w:val="004721FD"/>
    <w:rsid w:val="0047388B"/>
    <w:rsid w:val="00473ED2"/>
    <w:rsid w:val="00474402"/>
    <w:rsid w:val="0047455D"/>
    <w:rsid w:val="00474AB6"/>
    <w:rsid w:val="00474BB2"/>
    <w:rsid w:val="00474EF8"/>
    <w:rsid w:val="00476E97"/>
    <w:rsid w:val="004814C1"/>
    <w:rsid w:val="00481F90"/>
    <w:rsid w:val="004840B7"/>
    <w:rsid w:val="00484B9B"/>
    <w:rsid w:val="004853EB"/>
    <w:rsid w:val="004855F6"/>
    <w:rsid w:val="0048584B"/>
    <w:rsid w:val="00485A16"/>
    <w:rsid w:val="00485CC7"/>
    <w:rsid w:val="0048661E"/>
    <w:rsid w:val="00487E48"/>
    <w:rsid w:val="00487FCC"/>
    <w:rsid w:val="004906BC"/>
    <w:rsid w:val="00490EDC"/>
    <w:rsid w:val="00494670"/>
    <w:rsid w:val="004957CC"/>
    <w:rsid w:val="0049652B"/>
    <w:rsid w:val="00496AD6"/>
    <w:rsid w:val="00497504"/>
    <w:rsid w:val="00497936"/>
    <w:rsid w:val="004A06EA"/>
    <w:rsid w:val="004A163A"/>
    <w:rsid w:val="004A262F"/>
    <w:rsid w:val="004A2679"/>
    <w:rsid w:val="004A3823"/>
    <w:rsid w:val="004A3AE7"/>
    <w:rsid w:val="004A4553"/>
    <w:rsid w:val="004A57E3"/>
    <w:rsid w:val="004A6FD8"/>
    <w:rsid w:val="004B05B2"/>
    <w:rsid w:val="004B1A7C"/>
    <w:rsid w:val="004B481D"/>
    <w:rsid w:val="004B55C5"/>
    <w:rsid w:val="004B5776"/>
    <w:rsid w:val="004C05D2"/>
    <w:rsid w:val="004C1B02"/>
    <w:rsid w:val="004C1B4E"/>
    <w:rsid w:val="004C3324"/>
    <w:rsid w:val="004C35D3"/>
    <w:rsid w:val="004C591C"/>
    <w:rsid w:val="004C6D57"/>
    <w:rsid w:val="004C6DC4"/>
    <w:rsid w:val="004C75A3"/>
    <w:rsid w:val="004C7D4D"/>
    <w:rsid w:val="004D0253"/>
    <w:rsid w:val="004D0B45"/>
    <w:rsid w:val="004D2C0D"/>
    <w:rsid w:val="004D313A"/>
    <w:rsid w:val="004D4785"/>
    <w:rsid w:val="004D4792"/>
    <w:rsid w:val="004E091B"/>
    <w:rsid w:val="004E115F"/>
    <w:rsid w:val="004E1575"/>
    <w:rsid w:val="004E18E9"/>
    <w:rsid w:val="004E2437"/>
    <w:rsid w:val="004E2A87"/>
    <w:rsid w:val="004E3504"/>
    <w:rsid w:val="004E4C8E"/>
    <w:rsid w:val="004E5478"/>
    <w:rsid w:val="004E581C"/>
    <w:rsid w:val="004E6272"/>
    <w:rsid w:val="004E6946"/>
    <w:rsid w:val="004E6B32"/>
    <w:rsid w:val="004F0B34"/>
    <w:rsid w:val="004F1924"/>
    <w:rsid w:val="004F1AD8"/>
    <w:rsid w:val="004F3B06"/>
    <w:rsid w:val="004F6105"/>
    <w:rsid w:val="00501D3C"/>
    <w:rsid w:val="00503663"/>
    <w:rsid w:val="005039CB"/>
    <w:rsid w:val="0050558F"/>
    <w:rsid w:val="00505A94"/>
    <w:rsid w:val="00506286"/>
    <w:rsid w:val="0050685E"/>
    <w:rsid w:val="00506DFE"/>
    <w:rsid w:val="00507FD0"/>
    <w:rsid w:val="00510813"/>
    <w:rsid w:val="005108D6"/>
    <w:rsid w:val="00510AF3"/>
    <w:rsid w:val="00510E51"/>
    <w:rsid w:val="0051101D"/>
    <w:rsid w:val="00511990"/>
    <w:rsid w:val="00511DE0"/>
    <w:rsid w:val="00511E65"/>
    <w:rsid w:val="005125D4"/>
    <w:rsid w:val="00512A3A"/>
    <w:rsid w:val="00513706"/>
    <w:rsid w:val="0051408A"/>
    <w:rsid w:val="005140D4"/>
    <w:rsid w:val="00514346"/>
    <w:rsid w:val="005145BF"/>
    <w:rsid w:val="00514870"/>
    <w:rsid w:val="00514A71"/>
    <w:rsid w:val="00514B9B"/>
    <w:rsid w:val="00516232"/>
    <w:rsid w:val="00517F02"/>
    <w:rsid w:val="00522EE0"/>
    <w:rsid w:val="00524303"/>
    <w:rsid w:val="00525620"/>
    <w:rsid w:val="005258A2"/>
    <w:rsid w:val="00530BCB"/>
    <w:rsid w:val="005378F8"/>
    <w:rsid w:val="00537C23"/>
    <w:rsid w:val="00540007"/>
    <w:rsid w:val="005401AE"/>
    <w:rsid w:val="00541814"/>
    <w:rsid w:val="00541BC9"/>
    <w:rsid w:val="00541BEF"/>
    <w:rsid w:val="00542309"/>
    <w:rsid w:val="00542E07"/>
    <w:rsid w:val="00543A5D"/>
    <w:rsid w:val="00544034"/>
    <w:rsid w:val="00545244"/>
    <w:rsid w:val="00545424"/>
    <w:rsid w:val="00547316"/>
    <w:rsid w:val="00547C98"/>
    <w:rsid w:val="00550AB4"/>
    <w:rsid w:val="00550EF0"/>
    <w:rsid w:val="005536FB"/>
    <w:rsid w:val="00553A25"/>
    <w:rsid w:val="00553F50"/>
    <w:rsid w:val="00553FCD"/>
    <w:rsid w:val="00554A7B"/>
    <w:rsid w:val="0055518D"/>
    <w:rsid w:val="0055572C"/>
    <w:rsid w:val="0055697B"/>
    <w:rsid w:val="0056106A"/>
    <w:rsid w:val="00561A39"/>
    <w:rsid w:val="00566262"/>
    <w:rsid w:val="00566B38"/>
    <w:rsid w:val="00567364"/>
    <w:rsid w:val="00567768"/>
    <w:rsid w:val="0057019F"/>
    <w:rsid w:val="00570449"/>
    <w:rsid w:val="00571AAA"/>
    <w:rsid w:val="005720AE"/>
    <w:rsid w:val="00572BAD"/>
    <w:rsid w:val="0057333D"/>
    <w:rsid w:val="005754B5"/>
    <w:rsid w:val="00575BFA"/>
    <w:rsid w:val="00576134"/>
    <w:rsid w:val="0057644F"/>
    <w:rsid w:val="00576DBB"/>
    <w:rsid w:val="0057792F"/>
    <w:rsid w:val="00577979"/>
    <w:rsid w:val="00580066"/>
    <w:rsid w:val="00580555"/>
    <w:rsid w:val="0058138C"/>
    <w:rsid w:val="00583B86"/>
    <w:rsid w:val="005853CF"/>
    <w:rsid w:val="00586999"/>
    <w:rsid w:val="00586B36"/>
    <w:rsid w:val="0058734A"/>
    <w:rsid w:val="0058742B"/>
    <w:rsid w:val="00587DDB"/>
    <w:rsid w:val="00591C22"/>
    <w:rsid w:val="005929DA"/>
    <w:rsid w:val="00593BA4"/>
    <w:rsid w:val="005940E6"/>
    <w:rsid w:val="00594968"/>
    <w:rsid w:val="00594D77"/>
    <w:rsid w:val="005953EF"/>
    <w:rsid w:val="00595E44"/>
    <w:rsid w:val="005969E4"/>
    <w:rsid w:val="00597075"/>
    <w:rsid w:val="005A0029"/>
    <w:rsid w:val="005A057F"/>
    <w:rsid w:val="005A06B7"/>
    <w:rsid w:val="005A145E"/>
    <w:rsid w:val="005A1759"/>
    <w:rsid w:val="005A2720"/>
    <w:rsid w:val="005A2860"/>
    <w:rsid w:val="005A2879"/>
    <w:rsid w:val="005A2B12"/>
    <w:rsid w:val="005A45D6"/>
    <w:rsid w:val="005A4A69"/>
    <w:rsid w:val="005A603C"/>
    <w:rsid w:val="005A68A7"/>
    <w:rsid w:val="005A775C"/>
    <w:rsid w:val="005B1C8A"/>
    <w:rsid w:val="005B28D0"/>
    <w:rsid w:val="005B59DD"/>
    <w:rsid w:val="005B6209"/>
    <w:rsid w:val="005B66A5"/>
    <w:rsid w:val="005B6FFB"/>
    <w:rsid w:val="005B7260"/>
    <w:rsid w:val="005B72D5"/>
    <w:rsid w:val="005C0CC0"/>
    <w:rsid w:val="005C1E5C"/>
    <w:rsid w:val="005C23CC"/>
    <w:rsid w:val="005C57DD"/>
    <w:rsid w:val="005C6079"/>
    <w:rsid w:val="005C6ADC"/>
    <w:rsid w:val="005C6F06"/>
    <w:rsid w:val="005C7028"/>
    <w:rsid w:val="005C7474"/>
    <w:rsid w:val="005D0492"/>
    <w:rsid w:val="005D2243"/>
    <w:rsid w:val="005D2EA8"/>
    <w:rsid w:val="005D36AB"/>
    <w:rsid w:val="005D69A7"/>
    <w:rsid w:val="005D6A9E"/>
    <w:rsid w:val="005D6AE4"/>
    <w:rsid w:val="005D6B90"/>
    <w:rsid w:val="005D6D83"/>
    <w:rsid w:val="005D74BB"/>
    <w:rsid w:val="005E0882"/>
    <w:rsid w:val="005E11F8"/>
    <w:rsid w:val="005E1360"/>
    <w:rsid w:val="005E1A6F"/>
    <w:rsid w:val="005E2430"/>
    <w:rsid w:val="005E2FEB"/>
    <w:rsid w:val="005E404D"/>
    <w:rsid w:val="005E42E1"/>
    <w:rsid w:val="005E46E7"/>
    <w:rsid w:val="005E5D3A"/>
    <w:rsid w:val="005E6410"/>
    <w:rsid w:val="005E67E6"/>
    <w:rsid w:val="005E692D"/>
    <w:rsid w:val="005E7E69"/>
    <w:rsid w:val="005F0E74"/>
    <w:rsid w:val="005F1D44"/>
    <w:rsid w:val="005F2206"/>
    <w:rsid w:val="005F259C"/>
    <w:rsid w:val="005F2A5A"/>
    <w:rsid w:val="005F3867"/>
    <w:rsid w:val="005F3C7B"/>
    <w:rsid w:val="005F4C12"/>
    <w:rsid w:val="005F52F2"/>
    <w:rsid w:val="005F540E"/>
    <w:rsid w:val="005F57B9"/>
    <w:rsid w:val="005F5EA0"/>
    <w:rsid w:val="005F5EDF"/>
    <w:rsid w:val="005F7611"/>
    <w:rsid w:val="00600B50"/>
    <w:rsid w:val="00601C54"/>
    <w:rsid w:val="00602574"/>
    <w:rsid w:val="00602FDC"/>
    <w:rsid w:val="0060311E"/>
    <w:rsid w:val="00604762"/>
    <w:rsid w:val="00604781"/>
    <w:rsid w:val="00605B53"/>
    <w:rsid w:val="0060673E"/>
    <w:rsid w:val="00606871"/>
    <w:rsid w:val="00606975"/>
    <w:rsid w:val="00606E4C"/>
    <w:rsid w:val="006072D8"/>
    <w:rsid w:val="006102EF"/>
    <w:rsid w:val="006110B4"/>
    <w:rsid w:val="0061132C"/>
    <w:rsid w:val="00612FB7"/>
    <w:rsid w:val="00613198"/>
    <w:rsid w:val="0061327A"/>
    <w:rsid w:val="006133B0"/>
    <w:rsid w:val="00614DBC"/>
    <w:rsid w:val="00615354"/>
    <w:rsid w:val="00616478"/>
    <w:rsid w:val="00617CC3"/>
    <w:rsid w:val="00617E57"/>
    <w:rsid w:val="006207EC"/>
    <w:rsid w:val="006223E8"/>
    <w:rsid w:val="006237F2"/>
    <w:rsid w:val="00623EA6"/>
    <w:rsid w:val="00623FC0"/>
    <w:rsid w:val="00624164"/>
    <w:rsid w:val="00624B78"/>
    <w:rsid w:val="006254DC"/>
    <w:rsid w:val="006266D8"/>
    <w:rsid w:val="00626AD1"/>
    <w:rsid w:val="00630484"/>
    <w:rsid w:val="00630681"/>
    <w:rsid w:val="00630A34"/>
    <w:rsid w:val="00632482"/>
    <w:rsid w:val="00632FC1"/>
    <w:rsid w:val="00633C7C"/>
    <w:rsid w:val="00633D31"/>
    <w:rsid w:val="006363DA"/>
    <w:rsid w:val="006363E8"/>
    <w:rsid w:val="00636405"/>
    <w:rsid w:val="006366D1"/>
    <w:rsid w:val="00636DDA"/>
    <w:rsid w:val="0063743E"/>
    <w:rsid w:val="00637616"/>
    <w:rsid w:val="006377A6"/>
    <w:rsid w:val="00637A3D"/>
    <w:rsid w:val="006404C4"/>
    <w:rsid w:val="006405FB"/>
    <w:rsid w:val="006411EF"/>
    <w:rsid w:val="006420CE"/>
    <w:rsid w:val="006434CC"/>
    <w:rsid w:val="0064524B"/>
    <w:rsid w:val="00646978"/>
    <w:rsid w:val="006509BF"/>
    <w:rsid w:val="006511A4"/>
    <w:rsid w:val="00652907"/>
    <w:rsid w:val="00652E70"/>
    <w:rsid w:val="00654673"/>
    <w:rsid w:val="00655E39"/>
    <w:rsid w:val="00656753"/>
    <w:rsid w:val="0065676E"/>
    <w:rsid w:val="00657613"/>
    <w:rsid w:val="00657B3F"/>
    <w:rsid w:val="00660359"/>
    <w:rsid w:val="006612B5"/>
    <w:rsid w:val="006616DD"/>
    <w:rsid w:val="00663AE7"/>
    <w:rsid w:val="00663C21"/>
    <w:rsid w:val="00664372"/>
    <w:rsid w:val="00666544"/>
    <w:rsid w:val="00666613"/>
    <w:rsid w:val="006677D5"/>
    <w:rsid w:val="00667CA7"/>
    <w:rsid w:val="006713BA"/>
    <w:rsid w:val="00671A66"/>
    <w:rsid w:val="006748B8"/>
    <w:rsid w:val="00674FF5"/>
    <w:rsid w:val="00675124"/>
    <w:rsid w:val="0067683E"/>
    <w:rsid w:val="006775C3"/>
    <w:rsid w:val="00677713"/>
    <w:rsid w:val="00677EC6"/>
    <w:rsid w:val="00680C75"/>
    <w:rsid w:val="00682473"/>
    <w:rsid w:val="00682C8D"/>
    <w:rsid w:val="00683018"/>
    <w:rsid w:val="00683D95"/>
    <w:rsid w:val="00684940"/>
    <w:rsid w:val="006853E4"/>
    <w:rsid w:val="00685C58"/>
    <w:rsid w:val="00687744"/>
    <w:rsid w:val="00690101"/>
    <w:rsid w:val="00690C73"/>
    <w:rsid w:val="00690DF5"/>
    <w:rsid w:val="00690E01"/>
    <w:rsid w:val="00691D9D"/>
    <w:rsid w:val="00691E35"/>
    <w:rsid w:val="0069290A"/>
    <w:rsid w:val="00693020"/>
    <w:rsid w:val="00693091"/>
    <w:rsid w:val="00694C0C"/>
    <w:rsid w:val="0069649A"/>
    <w:rsid w:val="0069775A"/>
    <w:rsid w:val="00697813"/>
    <w:rsid w:val="00697C37"/>
    <w:rsid w:val="00697C84"/>
    <w:rsid w:val="006A1383"/>
    <w:rsid w:val="006A2814"/>
    <w:rsid w:val="006A3EE8"/>
    <w:rsid w:val="006A4979"/>
    <w:rsid w:val="006A57E1"/>
    <w:rsid w:val="006A5D0C"/>
    <w:rsid w:val="006A644D"/>
    <w:rsid w:val="006A66F9"/>
    <w:rsid w:val="006A67BD"/>
    <w:rsid w:val="006A72BF"/>
    <w:rsid w:val="006A781A"/>
    <w:rsid w:val="006A7B56"/>
    <w:rsid w:val="006B03F2"/>
    <w:rsid w:val="006B27E8"/>
    <w:rsid w:val="006B37DC"/>
    <w:rsid w:val="006B4177"/>
    <w:rsid w:val="006B4BA1"/>
    <w:rsid w:val="006B4F68"/>
    <w:rsid w:val="006B4FF9"/>
    <w:rsid w:val="006B5AC0"/>
    <w:rsid w:val="006B615A"/>
    <w:rsid w:val="006B623D"/>
    <w:rsid w:val="006B6A89"/>
    <w:rsid w:val="006B71AD"/>
    <w:rsid w:val="006B7640"/>
    <w:rsid w:val="006B7A6A"/>
    <w:rsid w:val="006C049E"/>
    <w:rsid w:val="006C0592"/>
    <w:rsid w:val="006C11FC"/>
    <w:rsid w:val="006C1DA2"/>
    <w:rsid w:val="006C272E"/>
    <w:rsid w:val="006C293D"/>
    <w:rsid w:val="006C3FBC"/>
    <w:rsid w:val="006C4E5F"/>
    <w:rsid w:val="006C500B"/>
    <w:rsid w:val="006C5479"/>
    <w:rsid w:val="006C57D4"/>
    <w:rsid w:val="006C60C2"/>
    <w:rsid w:val="006C7517"/>
    <w:rsid w:val="006D07F5"/>
    <w:rsid w:val="006D0A66"/>
    <w:rsid w:val="006D1303"/>
    <w:rsid w:val="006D13B5"/>
    <w:rsid w:val="006D2DA7"/>
    <w:rsid w:val="006D33C5"/>
    <w:rsid w:val="006D35D3"/>
    <w:rsid w:val="006D4930"/>
    <w:rsid w:val="006D541A"/>
    <w:rsid w:val="006D60AA"/>
    <w:rsid w:val="006D780B"/>
    <w:rsid w:val="006D79FD"/>
    <w:rsid w:val="006D7AFC"/>
    <w:rsid w:val="006E0155"/>
    <w:rsid w:val="006E0869"/>
    <w:rsid w:val="006E0888"/>
    <w:rsid w:val="006E0AE4"/>
    <w:rsid w:val="006E1202"/>
    <w:rsid w:val="006E12FF"/>
    <w:rsid w:val="006E1988"/>
    <w:rsid w:val="006E4397"/>
    <w:rsid w:val="006E607E"/>
    <w:rsid w:val="006E6BE1"/>
    <w:rsid w:val="006F1D39"/>
    <w:rsid w:val="006F7E7B"/>
    <w:rsid w:val="007016E0"/>
    <w:rsid w:val="007017D3"/>
    <w:rsid w:val="007026AB"/>
    <w:rsid w:val="007030D7"/>
    <w:rsid w:val="007066B5"/>
    <w:rsid w:val="00706C5D"/>
    <w:rsid w:val="007102CD"/>
    <w:rsid w:val="00710AF9"/>
    <w:rsid w:val="00712531"/>
    <w:rsid w:val="00714023"/>
    <w:rsid w:val="00716F73"/>
    <w:rsid w:val="00717849"/>
    <w:rsid w:val="00721060"/>
    <w:rsid w:val="007213D5"/>
    <w:rsid w:val="00721AFD"/>
    <w:rsid w:val="007259FB"/>
    <w:rsid w:val="00726456"/>
    <w:rsid w:val="007271AE"/>
    <w:rsid w:val="00727BBF"/>
    <w:rsid w:val="00732922"/>
    <w:rsid w:val="007342EC"/>
    <w:rsid w:val="00734B57"/>
    <w:rsid w:val="00734ED5"/>
    <w:rsid w:val="00736532"/>
    <w:rsid w:val="00737419"/>
    <w:rsid w:val="0073757B"/>
    <w:rsid w:val="0073766E"/>
    <w:rsid w:val="00737E00"/>
    <w:rsid w:val="00740366"/>
    <w:rsid w:val="00740728"/>
    <w:rsid w:val="00740FB5"/>
    <w:rsid w:val="00741A09"/>
    <w:rsid w:val="007427A8"/>
    <w:rsid w:val="00743523"/>
    <w:rsid w:val="00743A3D"/>
    <w:rsid w:val="00744F6C"/>
    <w:rsid w:val="007454D0"/>
    <w:rsid w:val="00745CAC"/>
    <w:rsid w:val="00746307"/>
    <w:rsid w:val="0074671C"/>
    <w:rsid w:val="00746813"/>
    <w:rsid w:val="00747119"/>
    <w:rsid w:val="00747267"/>
    <w:rsid w:val="007502A5"/>
    <w:rsid w:val="00750BB0"/>
    <w:rsid w:val="0075162E"/>
    <w:rsid w:val="007517F5"/>
    <w:rsid w:val="007521E5"/>
    <w:rsid w:val="007522B5"/>
    <w:rsid w:val="00753310"/>
    <w:rsid w:val="00753A4D"/>
    <w:rsid w:val="00754034"/>
    <w:rsid w:val="0075543D"/>
    <w:rsid w:val="00756556"/>
    <w:rsid w:val="00756B57"/>
    <w:rsid w:val="007618C4"/>
    <w:rsid w:val="00762EAF"/>
    <w:rsid w:val="007649A3"/>
    <w:rsid w:val="0076503B"/>
    <w:rsid w:val="007655A8"/>
    <w:rsid w:val="00765B14"/>
    <w:rsid w:val="0076621A"/>
    <w:rsid w:val="00767634"/>
    <w:rsid w:val="00767980"/>
    <w:rsid w:val="00770288"/>
    <w:rsid w:val="007702D9"/>
    <w:rsid w:val="007708C0"/>
    <w:rsid w:val="00770B19"/>
    <w:rsid w:val="0077202B"/>
    <w:rsid w:val="00772E23"/>
    <w:rsid w:val="00773A17"/>
    <w:rsid w:val="00773FA5"/>
    <w:rsid w:val="0077463F"/>
    <w:rsid w:val="007749F3"/>
    <w:rsid w:val="00776305"/>
    <w:rsid w:val="007773BB"/>
    <w:rsid w:val="00777944"/>
    <w:rsid w:val="00777D01"/>
    <w:rsid w:val="00777D6B"/>
    <w:rsid w:val="00780270"/>
    <w:rsid w:val="00780A07"/>
    <w:rsid w:val="00780D5B"/>
    <w:rsid w:val="00780F30"/>
    <w:rsid w:val="007836EA"/>
    <w:rsid w:val="00783ACF"/>
    <w:rsid w:val="00784071"/>
    <w:rsid w:val="00784804"/>
    <w:rsid w:val="00784CDA"/>
    <w:rsid w:val="00785392"/>
    <w:rsid w:val="0078565B"/>
    <w:rsid w:val="00785A83"/>
    <w:rsid w:val="00786744"/>
    <w:rsid w:val="007867DE"/>
    <w:rsid w:val="00786912"/>
    <w:rsid w:val="00790677"/>
    <w:rsid w:val="007906B5"/>
    <w:rsid w:val="007906C4"/>
    <w:rsid w:val="0079078D"/>
    <w:rsid w:val="0079327D"/>
    <w:rsid w:val="0079340E"/>
    <w:rsid w:val="0079341B"/>
    <w:rsid w:val="0079347B"/>
    <w:rsid w:val="007940EA"/>
    <w:rsid w:val="0079529E"/>
    <w:rsid w:val="007957DB"/>
    <w:rsid w:val="00795AB2"/>
    <w:rsid w:val="0079610D"/>
    <w:rsid w:val="007967E8"/>
    <w:rsid w:val="00796A5E"/>
    <w:rsid w:val="007A0852"/>
    <w:rsid w:val="007A14CE"/>
    <w:rsid w:val="007A2170"/>
    <w:rsid w:val="007A22BF"/>
    <w:rsid w:val="007A27EC"/>
    <w:rsid w:val="007A3323"/>
    <w:rsid w:val="007A4E23"/>
    <w:rsid w:val="007A4E2A"/>
    <w:rsid w:val="007A527E"/>
    <w:rsid w:val="007A793D"/>
    <w:rsid w:val="007B0872"/>
    <w:rsid w:val="007B090D"/>
    <w:rsid w:val="007B0EBB"/>
    <w:rsid w:val="007B1F30"/>
    <w:rsid w:val="007B36F7"/>
    <w:rsid w:val="007B3823"/>
    <w:rsid w:val="007B4D3B"/>
    <w:rsid w:val="007B6955"/>
    <w:rsid w:val="007B72B8"/>
    <w:rsid w:val="007B76AF"/>
    <w:rsid w:val="007B7A58"/>
    <w:rsid w:val="007C0524"/>
    <w:rsid w:val="007C0F10"/>
    <w:rsid w:val="007C1673"/>
    <w:rsid w:val="007C21B5"/>
    <w:rsid w:val="007C45A3"/>
    <w:rsid w:val="007C55AC"/>
    <w:rsid w:val="007D0627"/>
    <w:rsid w:val="007D0723"/>
    <w:rsid w:val="007D0A10"/>
    <w:rsid w:val="007D0F9D"/>
    <w:rsid w:val="007D145A"/>
    <w:rsid w:val="007D23F8"/>
    <w:rsid w:val="007D3078"/>
    <w:rsid w:val="007D3DEB"/>
    <w:rsid w:val="007D4F1C"/>
    <w:rsid w:val="007D5B72"/>
    <w:rsid w:val="007D5F3E"/>
    <w:rsid w:val="007E22D5"/>
    <w:rsid w:val="007E32F9"/>
    <w:rsid w:val="007E39C6"/>
    <w:rsid w:val="007E4B45"/>
    <w:rsid w:val="007E4BD2"/>
    <w:rsid w:val="007E5BB2"/>
    <w:rsid w:val="007E6580"/>
    <w:rsid w:val="007F0741"/>
    <w:rsid w:val="007F1117"/>
    <w:rsid w:val="007F1386"/>
    <w:rsid w:val="007F1CC1"/>
    <w:rsid w:val="007F2873"/>
    <w:rsid w:val="007F413E"/>
    <w:rsid w:val="007F4142"/>
    <w:rsid w:val="007F4D1C"/>
    <w:rsid w:val="007F6BAB"/>
    <w:rsid w:val="007F7639"/>
    <w:rsid w:val="007F7BDA"/>
    <w:rsid w:val="007F7E2D"/>
    <w:rsid w:val="00800B56"/>
    <w:rsid w:val="00800C50"/>
    <w:rsid w:val="00801393"/>
    <w:rsid w:val="00802F88"/>
    <w:rsid w:val="008042BB"/>
    <w:rsid w:val="008052AC"/>
    <w:rsid w:val="00805AD0"/>
    <w:rsid w:val="00807BCE"/>
    <w:rsid w:val="00810879"/>
    <w:rsid w:val="00810F54"/>
    <w:rsid w:val="0081130B"/>
    <w:rsid w:val="00811680"/>
    <w:rsid w:val="0081293E"/>
    <w:rsid w:val="00812FCA"/>
    <w:rsid w:val="0081469B"/>
    <w:rsid w:val="00815465"/>
    <w:rsid w:val="00817AF7"/>
    <w:rsid w:val="00817E9A"/>
    <w:rsid w:val="00821966"/>
    <w:rsid w:val="00821A7B"/>
    <w:rsid w:val="00821AD5"/>
    <w:rsid w:val="0082232F"/>
    <w:rsid w:val="008223EC"/>
    <w:rsid w:val="00822514"/>
    <w:rsid w:val="00822B06"/>
    <w:rsid w:val="008241DE"/>
    <w:rsid w:val="008243AA"/>
    <w:rsid w:val="00825119"/>
    <w:rsid w:val="008301D8"/>
    <w:rsid w:val="008306BD"/>
    <w:rsid w:val="00831A80"/>
    <w:rsid w:val="0083242F"/>
    <w:rsid w:val="00832770"/>
    <w:rsid w:val="00832A18"/>
    <w:rsid w:val="00833743"/>
    <w:rsid w:val="008340A4"/>
    <w:rsid w:val="00835512"/>
    <w:rsid w:val="00836733"/>
    <w:rsid w:val="00840E9E"/>
    <w:rsid w:val="0084103A"/>
    <w:rsid w:val="00841177"/>
    <w:rsid w:val="008411DB"/>
    <w:rsid w:val="0084272F"/>
    <w:rsid w:val="00843381"/>
    <w:rsid w:val="00843B03"/>
    <w:rsid w:val="00844AEE"/>
    <w:rsid w:val="0084509E"/>
    <w:rsid w:val="00845C7D"/>
    <w:rsid w:val="00846BBF"/>
    <w:rsid w:val="00847DC8"/>
    <w:rsid w:val="00847DE1"/>
    <w:rsid w:val="00851F80"/>
    <w:rsid w:val="00852FCD"/>
    <w:rsid w:val="0085386D"/>
    <w:rsid w:val="00853E88"/>
    <w:rsid w:val="008545A3"/>
    <w:rsid w:val="00856F43"/>
    <w:rsid w:val="00860E1E"/>
    <w:rsid w:val="00860EA5"/>
    <w:rsid w:val="00862815"/>
    <w:rsid w:val="00863DD0"/>
    <w:rsid w:val="00864872"/>
    <w:rsid w:val="0087135F"/>
    <w:rsid w:val="00871AC1"/>
    <w:rsid w:val="00872D94"/>
    <w:rsid w:val="00872F5B"/>
    <w:rsid w:val="008756BD"/>
    <w:rsid w:val="00875DA8"/>
    <w:rsid w:val="0087646E"/>
    <w:rsid w:val="00877212"/>
    <w:rsid w:val="0087741F"/>
    <w:rsid w:val="00880364"/>
    <w:rsid w:val="008829E3"/>
    <w:rsid w:val="0088356B"/>
    <w:rsid w:val="008839AC"/>
    <w:rsid w:val="00883D4E"/>
    <w:rsid w:val="00884BD5"/>
    <w:rsid w:val="0088584B"/>
    <w:rsid w:val="00885CE4"/>
    <w:rsid w:val="00887361"/>
    <w:rsid w:val="00890657"/>
    <w:rsid w:val="00890BA4"/>
    <w:rsid w:val="0089105C"/>
    <w:rsid w:val="00891592"/>
    <w:rsid w:val="00891753"/>
    <w:rsid w:val="00891E9E"/>
    <w:rsid w:val="008930D2"/>
    <w:rsid w:val="008938AB"/>
    <w:rsid w:val="00896577"/>
    <w:rsid w:val="0089772B"/>
    <w:rsid w:val="00897ECE"/>
    <w:rsid w:val="008A1A5C"/>
    <w:rsid w:val="008A2775"/>
    <w:rsid w:val="008A2F68"/>
    <w:rsid w:val="008A4C2D"/>
    <w:rsid w:val="008A4D36"/>
    <w:rsid w:val="008A4E65"/>
    <w:rsid w:val="008A627F"/>
    <w:rsid w:val="008A6B33"/>
    <w:rsid w:val="008A78AC"/>
    <w:rsid w:val="008B0979"/>
    <w:rsid w:val="008B17E3"/>
    <w:rsid w:val="008B24D7"/>
    <w:rsid w:val="008B2F5C"/>
    <w:rsid w:val="008B3083"/>
    <w:rsid w:val="008B309E"/>
    <w:rsid w:val="008B43F0"/>
    <w:rsid w:val="008B4FA6"/>
    <w:rsid w:val="008B5282"/>
    <w:rsid w:val="008B63DC"/>
    <w:rsid w:val="008B67E9"/>
    <w:rsid w:val="008B717B"/>
    <w:rsid w:val="008B7C17"/>
    <w:rsid w:val="008C0106"/>
    <w:rsid w:val="008C09CE"/>
    <w:rsid w:val="008C1C3B"/>
    <w:rsid w:val="008C2D01"/>
    <w:rsid w:val="008C40E6"/>
    <w:rsid w:val="008C63C0"/>
    <w:rsid w:val="008C6D28"/>
    <w:rsid w:val="008C7197"/>
    <w:rsid w:val="008C76BF"/>
    <w:rsid w:val="008C77F5"/>
    <w:rsid w:val="008D0F7A"/>
    <w:rsid w:val="008D110C"/>
    <w:rsid w:val="008D386E"/>
    <w:rsid w:val="008D3EBB"/>
    <w:rsid w:val="008D559B"/>
    <w:rsid w:val="008D56F6"/>
    <w:rsid w:val="008D6017"/>
    <w:rsid w:val="008D61D3"/>
    <w:rsid w:val="008D68E4"/>
    <w:rsid w:val="008D73F6"/>
    <w:rsid w:val="008E0506"/>
    <w:rsid w:val="008E09CA"/>
    <w:rsid w:val="008E0CFF"/>
    <w:rsid w:val="008E21DA"/>
    <w:rsid w:val="008E25F2"/>
    <w:rsid w:val="008E2B1E"/>
    <w:rsid w:val="008E3A20"/>
    <w:rsid w:val="008E4693"/>
    <w:rsid w:val="008E4CEF"/>
    <w:rsid w:val="008E5932"/>
    <w:rsid w:val="008E5C6B"/>
    <w:rsid w:val="008E5D6B"/>
    <w:rsid w:val="008E61F7"/>
    <w:rsid w:val="008E630D"/>
    <w:rsid w:val="008E6484"/>
    <w:rsid w:val="008E6F1D"/>
    <w:rsid w:val="008E76F0"/>
    <w:rsid w:val="008E7CAA"/>
    <w:rsid w:val="008F0172"/>
    <w:rsid w:val="008F0B39"/>
    <w:rsid w:val="008F0F90"/>
    <w:rsid w:val="008F15FE"/>
    <w:rsid w:val="008F23B4"/>
    <w:rsid w:val="008F2D29"/>
    <w:rsid w:val="008F3E56"/>
    <w:rsid w:val="008F4352"/>
    <w:rsid w:val="008F5187"/>
    <w:rsid w:val="008F60D8"/>
    <w:rsid w:val="008F7D81"/>
    <w:rsid w:val="0090041A"/>
    <w:rsid w:val="0090086C"/>
    <w:rsid w:val="00901FC9"/>
    <w:rsid w:val="00902727"/>
    <w:rsid w:val="00902E25"/>
    <w:rsid w:val="0090312B"/>
    <w:rsid w:val="0090349A"/>
    <w:rsid w:val="00903675"/>
    <w:rsid w:val="00906AF7"/>
    <w:rsid w:val="009076CD"/>
    <w:rsid w:val="0091076F"/>
    <w:rsid w:val="00910D59"/>
    <w:rsid w:val="00911DDE"/>
    <w:rsid w:val="0091296C"/>
    <w:rsid w:val="0091736D"/>
    <w:rsid w:val="00921164"/>
    <w:rsid w:val="009214B9"/>
    <w:rsid w:val="00921744"/>
    <w:rsid w:val="00921982"/>
    <w:rsid w:val="009231A6"/>
    <w:rsid w:val="00925638"/>
    <w:rsid w:val="0093037A"/>
    <w:rsid w:val="00930FDB"/>
    <w:rsid w:val="00932318"/>
    <w:rsid w:val="00936342"/>
    <w:rsid w:val="00936DDB"/>
    <w:rsid w:val="00936F3E"/>
    <w:rsid w:val="00940930"/>
    <w:rsid w:val="0094154D"/>
    <w:rsid w:val="009416E6"/>
    <w:rsid w:val="00942A24"/>
    <w:rsid w:val="009441E9"/>
    <w:rsid w:val="00945048"/>
    <w:rsid w:val="009451FA"/>
    <w:rsid w:val="0094576D"/>
    <w:rsid w:val="00945C1B"/>
    <w:rsid w:val="00945F3C"/>
    <w:rsid w:val="00946C0E"/>
    <w:rsid w:val="00947DD3"/>
    <w:rsid w:val="0095088E"/>
    <w:rsid w:val="00950CD9"/>
    <w:rsid w:val="0095155F"/>
    <w:rsid w:val="00951A6A"/>
    <w:rsid w:val="0095220B"/>
    <w:rsid w:val="00952B21"/>
    <w:rsid w:val="00952E45"/>
    <w:rsid w:val="00954429"/>
    <w:rsid w:val="00954918"/>
    <w:rsid w:val="00954F4C"/>
    <w:rsid w:val="0095561C"/>
    <w:rsid w:val="00955B80"/>
    <w:rsid w:val="009563CE"/>
    <w:rsid w:val="00956C9E"/>
    <w:rsid w:val="00957B6E"/>
    <w:rsid w:val="009604E4"/>
    <w:rsid w:val="00960EA4"/>
    <w:rsid w:val="00961A00"/>
    <w:rsid w:val="0096334B"/>
    <w:rsid w:val="0096422A"/>
    <w:rsid w:val="009660E6"/>
    <w:rsid w:val="00966220"/>
    <w:rsid w:val="00966D18"/>
    <w:rsid w:val="009672BD"/>
    <w:rsid w:val="009676B4"/>
    <w:rsid w:val="00970F7B"/>
    <w:rsid w:val="00971A32"/>
    <w:rsid w:val="00971C53"/>
    <w:rsid w:val="00972558"/>
    <w:rsid w:val="009732E7"/>
    <w:rsid w:val="00974A6A"/>
    <w:rsid w:val="00974AEF"/>
    <w:rsid w:val="009756F1"/>
    <w:rsid w:val="00976328"/>
    <w:rsid w:val="0097680D"/>
    <w:rsid w:val="00976FAD"/>
    <w:rsid w:val="0098039E"/>
    <w:rsid w:val="00980F39"/>
    <w:rsid w:val="0098239B"/>
    <w:rsid w:val="00982438"/>
    <w:rsid w:val="00983503"/>
    <w:rsid w:val="0098404C"/>
    <w:rsid w:val="00985283"/>
    <w:rsid w:val="00985534"/>
    <w:rsid w:val="00990306"/>
    <w:rsid w:val="009911B9"/>
    <w:rsid w:val="0099219B"/>
    <w:rsid w:val="009935C4"/>
    <w:rsid w:val="009935D0"/>
    <w:rsid w:val="009936BA"/>
    <w:rsid w:val="009943EA"/>
    <w:rsid w:val="009947F6"/>
    <w:rsid w:val="00995449"/>
    <w:rsid w:val="00995992"/>
    <w:rsid w:val="00996C95"/>
    <w:rsid w:val="009A03E5"/>
    <w:rsid w:val="009A077F"/>
    <w:rsid w:val="009A0F3B"/>
    <w:rsid w:val="009A1BB4"/>
    <w:rsid w:val="009A1D2B"/>
    <w:rsid w:val="009A2628"/>
    <w:rsid w:val="009A2736"/>
    <w:rsid w:val="009A3200"/>
    <w:rsid w:val="009A4B0D"/>
    <w:rsid w:val="009A7DCA"/>
    <w:rsid w:val="009B064B"/>
    <w:rsid w:val="009B0897"/>
    <w:rsid w:val="009B0986"/>
    <w:rsid w:val="009B1014"/>
    <w:rsid w:val="009B19A0"/>
    <w:rsid w:val="009B2332"/>
    <w:rsid w:val="009B298D"/>
    <w:rsid w:val="009B3731"/>
    <w:rsid w:val="009B5EDD"/>
    <w:rsid w:val="009B7519"/>
    <w:rsid w:val="009B7BD9"/>
    <w:rsid w:val="009C404B"/>
    <w:rsid w:val="009C6FCC"/>
    <w:rsid w:val="009C710C"/>
    <w:rsid w:val="009C78AF"/>
    <w:rsid w:val="009C7DD5"/>
    <w:rsid w:val="009D01FC"/>
    <w:rsid w:val="009D103C"/>
    <w:rsid w:val="009D1E0E"/>
    <w:rsid w:val="009D4500"/>
    <w:rsid w:val="009D48BD"/>
    <w:rsid w:val="009D50D4"/>
    <w:rsid w:val="009D5A1E"/>
    <w:rsid w:val="009D61FC"/>
    <w:rsid w:val="009E1500"/>
    <w:rsid w:val="009E227D"/>
    <w:rsid w:val="009E237C"/>
    <w:rsid w:val="009E5019"/>
    <w:rsid w:val="009E591B"/>
    <w:rsid w:val="009E5F6E"/>
    <w:rsid w:val="009E6228"/>
    <w:rsid w:val="009E62ED"/>
    <w:rsid w:val="009E76F9"/>
    <w:rsid w:val="009F096B"/>
    <w:rsid w:val="009F1072"/>
    <w:rsid w:val="009F2B0F"/>
    <w:rsid w:val="009F2BB6"/>
    <w:rsid w:val="009F7827"/>
    <w:rsid w:val="009F7B48"/>
    <w:rsid w:val="00A01876"/>
    <w:rsid w:val="00A02A97"/>
    <w:rsid w:val="00A02D16"/>
    <w:rsid w:val="00A03E89"/>
    <w:rsid w:val="00A04207"/>
    <w:rsid w:val="00A04F1B"/>
    <w:rsid w:val="00A0501B"/>
    <w:rsid w:val="00A06E9E"/>
    <w:rsid w:val="00A0751A"/>
    <w:rsid w:val="00A07AA6"/>
    <w:rsid w:val="00A07BF6"/>
    <w:rsid w:val="00A109A7"/>
    <w:rsid w:val="00A123DF"/>
    <w:rsid w:val="00A13238"/>
    <w:rsid w:val="00A142EA"/>
    <w:rsid w:val="00A14947"/>
    <w:rsid w:val="00A16A12"/>
    <w:rsid w:val="00A17628"/>
    <w:rsid w:val="00A17A6F"/>
    <w:rsid w:val="00A20C9D"/>
    <w:rsid w:val="00A22C6C"/>
    <w:rsid w:val="00A22F93"/>
    <w:rsid w:val="00A25753"/>
    <w:rsid w:val="00A25CC5"/>
    <w:rsid w:val="00A260D2"/>
    <w:rsid w:val="00A279BC"/>
    <w:rsid w:val="00A310B5"/>
    <w:rsid w:val="00A31915"/>
    <w:rsid w:val="00A319BE"/>
    <w:rsid w:val="00A31F7F"/>
    <w:rsid w:val="00A32A83"/>
    <w:rsid w:val="00A34D37"/>
    <w:rsid w:val="00A34EBD"/>
    <w:rsid w:val="00A36081"/>
    <w:rsid w:val="00A365A2"/>
    <w:rsid w:val="00A368DB"/>
    <w:rsid w:val="00A36CA5"/>
    <w:rsid w:val="00A40AC0"/>
    <w:rsid w:val="00A40D9F"/>
    <w:rsid w:val="00A423AA"/>
    <w:rsid w:val="00A426D1"/>
    <w:rsid w:val="00A43038"/>
    <w:rsid w:val="00A43259"/>
    <w:rsid w:val="00A46978"/>
    <w:rsid w:val="00A50683"/>
    <w:rsid w:val="00A5082E"/>
    <w:rsid w:val="00A53276"/>
    <w:rsid w:val="00A5349C"/>
    <w:rsid w:val="00A53EC6"/>
    <w:rsid w:val="00A55C0F"/>
    <w:rsid w:val="00A56B33"/>
    <w:rsid w:val="00A602BC"/>
    <w:rsid w:val="00A62B6C"/>
    <w:rsid w:val="00A62F69"/>
    <w:rsid w:val="00A633F6"/>
    <w:rsid w:val="00A63870"/>
    <w:rsid w:val="00A63ACC"/>
    <w:rsid w:val="00A63C6B"/>
    <w:rsid w:val="00A63C8D"/>
    <w:rsid w:val="00A65C52"/>
    <w:rsid w:val="00A66A08"/>
    <w:rsid w:val="00A67855"/>
    <w:rsid w:val="00A67972"/>
    <w:rsid w:val="00A707EF"/>
    <w:rsid w:val="00A71D82"/>
    <w:rsid w:val="00A720AA"/>
    <w:rsid w:val="00A73011"/>
    <w:rsid w:val="00A746A9"/>
    <w:rsid w:val="00A749A1"/>
    <w:rsid w:val="00A760E0"/>
    <w:rsid w:val="00A76515"/>
    <w:rsid w:val="00A768AD"/>
    <w:rsid w:val="00A769FD"/>
    <w:rsid w:val="00A76B28"/>
    <w:rsid w:val="00A77305"/>
    <w:rsid w:val="00A801D6"/>
    <w:rsid w:val="00A8084C"/>
    <w:rsid w:val="00A81EC5"/>
    <w:rsid w:val="00A82B35"/>
    <w:rsid w:val="00A82CBA"/>
    <w:rsid w:val="00A82CBB"/>
    <w:rsid w:val="00A83001"/>
    <w:rsid w:val="00A85C57"/>
    <w:rsid w:val="00A86CDD"/>
    <w:rsid w:val="00A86E6B"/>
    <w:rsid w:val="00A8713F"/>
    <w:rsid w:val="00A872D7"/>
    <w:rsid w:val="00A90B4A"/>
    <w:rsid w:val="00A90BA1"/>
    <w:rsid w:val="00A910D6"/>
    <w:rsid w:val="00A91DD3"/>
    <w:rsid w:val="00A93C25"/>
    <w:rsid w:val="00A947F4"/>
    <w:rsid w:val="00A97A9A"/>
    <w:rsid w:val="00AA0671"/>
    <w:rsid w:val="00AA1560"/>
    <w:rsid w:val="00AA2531"/>
    <w:rsid w:val="00AA2ABC"/>
    <w:rsid w:val="00AA3A25"/>
    <w:rsid w:val="00AA3B03"/>
    <w:rsid w:val="00AA415B"/>
    <w:rsid w:val="00AA539F"/>
    <w:rsid w:val="00AA611D"/>
    <w:rsid w:val="00AA68C8"/>
    <w:rsid w:val="00AA6B8F"/>
    <w:rsid w:val="00AA6C5D"/>
    <w:rsid w:val="00AA79BE"/>
    <w:rsid w:val="00AA7D96"/>
    <w:rsid w:val="00AB0B54"/>
    <w:rsid w:val="00AB0DE0"/>
    <w:rsid w:val="00AB19D3"/>
    <w:rsid w:val="00AB1E09"/>
    <w:rsid w:val="00AB2D2F"/>
    <w:rsid w:val="00AB3E39"/>
    <w:rsid w:val="00AB5330"/>
    <w:rsid w:val="00AB60F1"/>
    <w:rsid w:val="00AB61F6"/>
    <w:rsid w:val="00AB68EA"/>
    <w:rsid w:val="00AB7747"/>
    <w:rsid w:val="00AC030F"/>
    <w:rsid w:val="00AC05BC"/>
    <w:rsid w:val="00AC06A2"/>
    <w:rsid w:val="00AC0B97"/>
    <w:rsid w:val="00AC14CE"/>
    <w:rsid w:val="00AC2A56"/>
    <w:rsid w:val="00AC2AD8"/>
    <w:rsid w:val="00AC2BE0"/>
    <w:rsid w:val="00AC39BD"/>
    <w:rsid w:val="00AC3B23"/>
    <w:rsid w:val="00AC5877"/>
    <w:rsid w:val="00AC588B"/>
    <w:rsid w:val="00AC78D8"/>
    <w:rsid w:val="00AC7FBE"/>
    <w:rsid w:val="00AD0339"/>
    <w:rsid w:val="00AD055E"/>
    <w:rsid w:val="00AD1AB4"/>
    <w:rsid w:val="00AD3ACA"/>
    <w:rsid w:val="00AD47A7"/>
    <w:rsid w:val="00AD6574"/>
    <w:rsid w:val="00AD74B1"/>
    <w:rsid w:val="00AE2723"/>
    <w:rsid w:val="00AE2C35"/>
    <w:rsid w:val="00AE47FE"/>
    <w:rsid w:val="00AE4868"/>
    <w:rsid w:val="00AE628B"/>
    <w:rsid w:val="00AE70FF"/>
    <w:rsid w:val="00AF093A"/>
    <w:rsid w:val="00AF0BFB"/>
    <w:rsid w:val="00AF0CBF"/>
    <w:rsid w:val="00AF257F"/>
    <w:rsid w:val="00AF33CF"/>
    <w:rsid w:val="00AF3BA9"/>
    <w:rsid w:val="00AF4D50"/>
    <w:rsid w:val="00AF58A8"/>
    <w:rsid w:val="00AF6179"/>
    <w:rsid w:val="00AF7647"/>
    <w:rsid w:val="00B02071"/>
    <w:rsid w:val="00B02FB4"/>
    <w:rsid w:val="00B03C76"/>
    <w:rsid w:val="00B04700"/>
    <w:rsid w:val="00B061ED"/>
    <w:rsid w:val="00B06C74"/>
    <w:rsid w:val="00B06D5C"/>
    <w:rsid w:val="00B11C70"/>
    <w:rsid w:val="00B1295A"/>
    <w:rsid w:val="00B14611"/>
    <w:rsid w:val="00B14ECB"/>
    <w:rsid w:val="00B17298"/>
    <w:rsid w:val="00B20A45"/>
    <w:rsid w:val="00B21089"/>
    <w:rsid w:val="00B223CF"/>
    <w:rsid w:val="00B22B27"/>
    <w:rsid w:val="00B22C5C"/>
    <w:rsid w:val="00B22E5D"/>
    <w:rsid w:val="00B23D32"/>
    <w:rsid w:val="00B24635"/>
    <w:rsid w:val="00B24859"/>
    <w:rsid w:val="00B24AB6"/>
    <w:rsid w:val="00B24F30"/>
    <w:rsid w:val="00B25DF0"/>
    <w:rsid w:val="00B26AE8"/>
    <w:rsid w:val="00B27388"/>
    <w:rsid w:val="00B2738F"/>
    <w:rsid w:val="00B27549"/>
    <w:rsid w:val="00B27C4D"/>
    <w:rsid w:val="00B319A7"/>
    <w:rsid w:val="00B31ABF"/>
    <w:rsid w:val="00B326D7"/>
    <w:rsid w:val="00B33BE3"/>
    <w:rsid w:val="00B36710"/>
    <w:rsid w:val="00B36B05"/>
    <w:rsid w:val="00B375DD"/>
    <w:rsid w:val="00B401E1"/>
    <w:rsid w:val="00B426E1"/>
    <w:rsid w:val="00B43482"/>
    <w:rsid w:val="00B43ACD"/>
    <w:rsid w:val="00B43DA7"/>
    <w:rsid w:val="00B4415A"/>
    <w:rsid w:val="00B44182"/>
    <w:rsid w:val="00B441F8"/>
    <w:rsid w:val="00B445C3"/>
    <w:rsid w:val="00B450B5"/>
    <w:rsid w:val="00B455DD"/>
    <w:rsid w:val="00B5106A"/>
    <w:rsid w:val="00B5125E"/>
    <w:rsid w:val="00B51D68"/>
    <w:rsid w:val="00B533D9"/>
    <w:rsid w:val="00B533E1"/>
    <w:rsid w:val="00B53B38"/>
    <w:rsid w:val="00B53B5D"/>
    <w:rsid w:val="00B53F9F"/>
    <w:rsid w:val="00B54ED7"/>
    <w:rsid w:val="00B56D19"/>
    <w:rsid w:val="00B6055E"/>
    <w:rsid w:val="00B60962"/>
    <w:rsid w:val="00B60CF5"/>
    <w:rsid w:val="00B6119F"/>
    <w:rsid w:val="00B61CFF"/>
    <w:rsid w:val="00B61FF4"/>
    <w:rsid w:val="00B623CC"/>
    <w:rsid w:val="00B6317D"/>
    <w:rsid w:val="00B6347A"/>
    <w:rsid w:val="00B644E8"/>
    <w:rsid w:val="00B654B9"/>
    <w:rsid w:val="00B65D96"/>
    <w:rsid w:val="00B65E38"/>
    <w:rsid w:val="00B65F1C"/>
    <w:rsid w:val="00B67949"/>
    <w:rsid w:val="00B67F59"/>
    <w:rsid w:val="00B7007C"/>
    <w:rsid w:val="00B72EA8"/>
    <w:rsid w:val="00B73538"/>
    <w:rsid w:val="00B73898"/>
    <w:rsid w:val="00B738E8"/>
    <w:rsid w:val="00B73CCA"/>
    <w:rsid w:val="00B7424B"/>
    <w:rsid w:val="00B74C5D"/>
    <w:rsid w:val="00B7622B"/>
    <w:rsid w:val="00B7723F"/>
    <w:rsid w:val="00B804D6"/>
    <w:rsid w:val="00B80534"/>
    <w:rsid w:val="00B82530"/>
    <w:rsid w:val="00B83F71"/>
    <w:rsid w:val="00B8433C"/>
    <w:rsid w:val="00B84351"/>
    <w:rsid w:val="00B8477B"/>
    <w:rsid w:val="00B84F9C"/>
    <w:rsid w:val="00B87472"/>
    <w:rsid w:val="00B87491"/>
    <w:rsid w:val="00B9093F"/>
    <w:rsid w:val="00B91389"/>
    <w:rsid w:val="00B91DBF"/>
    <w:rsid w:val="00B91EF6"/>
    <w:rsid w:val="00B93ACE"/>
    <w:rsid w:val="00B95D15"/>
    <w:rsid w:val="00B9633A"/>
    <w:rsid w:val="00B977B3"/>
    <w:rsid w:val="00B97C3B"/>
    <w:rsid w:val="00B97D9B"/>
    <w:rsid w:val="00BA076F"/>
    <w:rsid w:val="00BA13DA"/>
    <w:rsid w:val="00BA18DA"/>
    <w:rsid w:val="00BA29E9"/>
    <w:rsid w:val="00BA304A"/>
    <w:rsid w:val="00BA5A61"/>
    <w:rsid w:val="00BA6A3B"/>
    <w:rsid w:val="00BA6E03"/>
    <w:rsid w:val="00BA7142"/>
    <w:rsid w:val="00BB0174"/>
    <w:rsid w:val="00BB2005"/>
    <w:rsid w:val="00BB21B7"/>
    <w:rsid w:val="00BB237C"/>
    <w:rsid w:val="00BB3665"/>
    <w:rsid w:val="00BB41A3"/>
    <w:rsid w:val="00BB4FF1"/>
    <w:rsid w:val="00BB7C87"/>
    <w:rsid w:val="00BC1231"/>
    <w:rsid w:val="00BC30CE"/>
    <w:rsid w:val="00BC32DC"/>
    <w:rsid w:val="00BC3462"/>
    <w:rsid w:val="00BC35B6"/>
    <w:rsid w:val="00BC4724"/>
    <w:rsid w:val="00BC4FEE"/>
    <w:rsid w:val="00BC6D9D"/>
    <w:rsid w:val="00BC70B9"/>
    <w:rsid w:val="00BD13E3"/>
    <w:rsid w:val="00BD1A7C"/>
    <w:rsid w:val="00BD1B51"/>
    <w:rsid w:val="00BD2E62"/>
    <w:rsid w:val="00BD4596"/>
    <w:rsid w:val="00BD4E8C"/>
    <w:rsid w:val="00BD69DA"/>
    <w:rsid w:val="00BD6E42"/>
    <w:rsid w:val="00BD7A77"/>
    <w:rsid w:val="00BD7AED"/>
    <w:rsid w:val="00BE098B"/>
    <w:rsid w:val="00BE0AE1"/>
    <w:rsid w:val="00BE120B"/>
    <w:rsid w:val="00BE1405"/>
    <w:rsid w:val="00BE16AD"/>
    <w:rsid w:val="00BE234B"/>
    <w:rsid w:val="00BE23C0"/>
    <w:rsid w:val="00BE312D"/>
    <w:rsid w:val="00BE3C2F"/>
    <w:rsid w:val="00BE4330"/>
    <w:rsid w:val="00BE46F6"/>
    <w:rsid w:val="00BE610F"/>
    <w:rsid w:val="00BE6C36"/>
    <w:rsid w:val="00BE7414"/>
    <w:rsid w:val="00BF1AC0"/>
    <w:rsid w:val="00BF1C20"/>
    <w:rsid w:val="00BF37C7"/>
    <w:rsid w:val="00BF42FB"/>
    <w:rsid w:val="00BF578A"/>
    <w:rsid w:val="00BF5DC6"/>
    <w:rsid w:val="00BF6603"/>
    <w:rsid w:val="00BF684A"/>
    <w:rsid w:val="00BF73B0"/>
    <w:rsid w:val="00BF79C4"/>
    <w:rsid w:val="00C00113"/>
    <w:rsid w:val="00C0174A"/>
    <w:rsid w:val="00C03BCE"/>
    <w:rsid w:val="00C04330"/>
    <w:rsid w:val="00C04F14"/>
    <w:rsid w:val="00C05EBC"/>
    <w:rsid w:val="00C077FC"/>
    <w:rsid w:val="00C10578"/>
    <w:rsid w:val="00C133EE"/>
    <w:rsid w:val="00C135BC"/>
    <w:rsid w:val="00C13C9B"/>
    <w:rsid w:val="00C13D8B"/>
    <w:rsid w:val="00C15C95"/>
    <w:rsid w:val="00C16EC7"/>
    <w:rsid w:val="00C21566"/>
    <w:rsid w:val="00C21BAA"/>
    <w:rsid w:val="00C22FAC"/>
    <w:rsid w:val="00C2596A"/>
    <w:rsid w:val="00C26C04"/>
    <w:rsid w:val="00C27537"/>
    <w:rsid w:val="00C328FE"/>
    <w:rsid w:val="00C33507"/>
    <w:rsid w:val="00C33805"/>
    <w:rsid w:val="00C33D2A"/>
    <w:rsid w:val="00C34B7C"/>
    <w:rsid w:val="00C35536"/>
    <w:rsid w:val="00C40088"/>
    <w:rsid w:val="00C404BF"/>
    <w:rsid w:val="00C41CB4"/>
    <w:rsid w:val="00C41D21"/>
    <w:rsid w:val="00C4409D"/>
    <w:rsid w:val="00C44E10"/>
    <w:rsid w:val="00C44E72"/>
    <w:rsid w:val="00C45A06"/>
    <w:rsid w:val="00C4778C"/>
    <w:rsid w:val="00C47DE2"/>
    <w:rsid w:val="00C47E5B"/>
    <w:rsid w:val="00C47FAA"/>
    <w:rsid w:val="00C50E0E"/>
    <w:rsid w:val="00C5323C"/>
    <w:rsid w:val="00C53600"/>
    <w:rsid w:val="00C53DE3"/>
    <w:rsid w:val="00C54C98"/>
    <w:rsid w:val="00C55383"/>
    <w:rsid w:val="00C55815"/>
    <w:rsid w:val="00C55B17"/>
    <w:rsid w:val="00C617A6"/>
    <w:rsid w:val="00C61E4B"/>
    <w:rsid w:val="00C62B9E"/>
    <w:rsid w:val="00C62C8C"/>
    <w:rsid w:val="00C6308E"/>
    <w:rsid w:val="00C640DB"/>
    <w:rsid w:val="00C64456"/>
    <w:rsid w:val="00C64BFF"/>
    <w:rsid w:val="00C704E9"/>
    <w:rsid w:val="00C7089A"/>
    <w:rsid w:val="00C70E92"/>
    <w:rsid w:val="00C7309D"/>
    <w:rsid w:val="00C7378E"/>
    <w:rsid w:val="00C7572A"/>
    <w:rsid w:val="00C757CD"/>
    <w:rsid w:val="00C763C9"/>
    <w:rsid w:val="00C80035"/>
    <w:rsid w:val="00C80057"/>
    <w:rsid w:val="00C80897"/>
    <w:rsid w:val="00C82232"/>
    <w:rsid w:val="00C82913"/>
    <w:rsid w:val="00C8484B"/>
    <w:rsid w:val="00C84BA1"/>
    <w:rsid w:val="00C86C79"/>
    <w:rsid w:val="00C86D86"/>
    <w:rsid w:val="00C87A67"/>
    <w:rsid w:val="00C87B45"/>
    <w:rsid w:val="00C87F7C"/>
    <w:rsid w:val="00C93691"/>
    <w:rsid w:val="00C95491"/>
    <w:rsid w:val="00C95C6D"/>
    <w:rsid w:val="00C9725B"/>
    <w:rsid w:val="00C972B1"/>
    <w:rsid w:val="00CA0E3C"/>
    <w:rsid w:val="00CA14E2"/>
    <w:rsid w:val="00CA2CCE"/>
    <w:rsid w:val="00CA43FD"/>
    <w:rsid w:val="00CA5488"/>
    <w:rsid w:val="00CA74B8"/>
    <w:rsid w:val="00CA788F"/>
    <w:rsid w:val="00CA7DAF"/>
    <w:rsid w:val="00CA7EF8"/>
    <w:rsid w:val="00CB1156"/>
    <w:rsid w:val="00CB3C25"/>
    <w:rsid w:val="00CB43C8"/>
    <w:rsid w:val="00CB4DEB"/>
    <w:rsid w:val="00CB69BF"/>
    <w:rsid w:val="00CB71CB"/>
    <w:rsid w:val="00CB770B"/>
    <w:rsid w:val="00CB7C23"/>
    <w:rsid w:val="00CB7D23"/>
    <w:rsid w:val="00CB7E67"/>
    <w:rsid w:val="00CC1993"/>
    <w:rsid w:val="00CC2284"/>
    <w:rsid w:val="00CC3ADC"/>
    <w:rsid w:val="00CC489B"/>
    <w:rsid w:val="00CC5099"/>
    <w:rsid w:val="00CC57A1"/>
    <w:rsid w:val="00CC5946"/>
    <w:rsid w:val="00CC604D"/>
    <w:rsid w:val="00CC6174"/>
    <w:rsid w:val="00CC6547"/>
    <w:rsid w:val="00CC65BF"/>
    <w:rsid w:val="00CD039A"/>
    <w:rsid w:val="00CD1DC6"/>
    <w:rsid w:val="00CD1EF9"/>
    <w:rsid w:val="00CD2647"/>
    <w:rsid w:val="00CD2A8C"/>
    <w:rsid w:val="00CD2BCD"/>
    <w:rsid w:val="00CD3088"/>
    <w:rsid w:val="00CD3527"/>
    <w:rsid w:val="00CD3A4C"/>
    <w:rsid w:val="00CD3B08"/>
    <w:rsid w:val="00CD4848"/>
    <w:rsid w:val="00CD4E43"/>
    <w:rsid w:val="00CD592D"/>
    <w:rsid w:val="00CD5F0E"/>
    <w:rsid w:val="00CD7DE3"/>
    <w:rsid w:val="00CE10E9"/>
    <w:rsid w:val="00CE17B3"/>
    <w:rsid w:val="00CE2054"/>
    <w:rsid w:val="00CE2326"/>
    <w:rsid w:val="00CE2910"/>
    <w:rsid w:val="00CE4580"/>
    <w:rsid w:val="00CE4D6B"/>
    <w:rsid w:val="00CE5254"/>
    <w:rsid w:val="00CE5393"/>
    <w:rsid w:val="00CE5F5A"/>
    <w:rsid w:val="00CE6724"/>
    <w:rsid w:val="00CE68FB"/>
    <w:rsid w:val="00CE6AA5"/>
    <w:rsid w:val="00CE6EAF"/>
    <w:rsid w:val="00CE71E3"/>
    <w:rsid w:val="00CF0556"/>
    <w:rsid w:val="00CF0E51"/>
    <w:rsid w:val="00CF16FA"/>
    <w:rsid w:val="00CF1E3D"/>
    <w:rsid w:val="00CF280B"/>
    <w:rsid w:val="00CF2885"/>
    <w:rsid w:val="00CF36BE"/>
    <w:rsid w:val="00CF47E0"/>
    <w:rsid w:val="00CF5482"/>
    <w:rsid w:val="00CF5EC2"/>
    <w:rsid w:val="00CF5EE7"/>
    <w:rsid w:val="00CF6000"/>
    <w:rsid w:val="00CF6DD0"/>
    <w:rsid w:val="00CF6FE7"/>
    <w:rsid w:val="00D003F3"/>
    <w:rsid w:val="00D005B6"/>
    <w:rsid w:val="00D00765"/>
    <w:rsid w:val="00D00D7E"/>
    <w:rsid w:val="00D01200"/>
    <w:rsid w:val="00D014F4"/>
    <w:rsid w:val="00D029F9"/>
    <w:rsid w:val="00D03334"/>
    <w:rsid w:val="00D0364F"/>
    <w:rsid w:val="00D04618"/>
    <w:rsid w:val="00D04EF6"/>
    <w:rsid w:val="00D05F49"/>
    <w:rsid w:val="00D06834"/>
    <w:rsid w:val="00D07DC6"/>
    <w:rsid w:val="00D159F5"/>
    <w:rsid w:val="00D164F8"/>
    <w:rsid w:val="00D16905"/>
    <w:rsid w:val="00D16EE3"/>
    <w:rsid w:val="00D17180"/>
    <w:rsid w:val="00D17713"/>
    <w:rsid w:val="00D17B2F"/>
    <w:rsid w:val="00D2231B"/>
    <w:rsid w:val="00D2253E"/>
    <w:rsid w:val="00D2345E"/>
    <w:rsid w:val="00D236F5"/>
    <w:rsid w:val="00D239F4"/>
    <w:rsid w:val="00D255AD"/>
    <w:rsid w:val="00D27544"/>
    <w:rsid w:val="00D275D4"/>
    <w:rsid w:val="00D308ED"/>
    <w:rsid w:val="00D30FB0"/>
    <w:rsid w:val="00D31C41"/>
    <w:rsid w:val="00D31DEE"/>
    <w:rsid w:val="00D3218F"/>
    <w:rsid w:val="00D35E50"/>
    <w:rsid w:val="00D36964"/>
    <w:rsid w:val="00D36D86"/>
    <w:rsid w:val="00D36DCE"/>
    <w:rsid w:val="00D36F45"/>
    <w:rsid w:val="00D40AD9"/>
    <w:rsid w:val="00D40E4B"/>
    <w:rsid w:val="00D415CD"/>
    <w:rsid w:val="00D428AA"/>
    <w:rsid w:val="00D42F31"/>
    <w:rsid w:val="00D42FCE"/>
    <w:rsid w:val="00D43053"/>
    <w:rsid w:val="00D43425"/>
    <w:rsid w:val="00D43D10"/>
    <w:rsid w:val="00D44A2B"/>
    <w:rsid w:val="00D45354"/>
    <w:rsid w:val="00D4569D"/>
    <w:rsid w:val="00D45CA6"/>
    <w:rsid w:val="00D47ADD"/>
    <w:rsid w:val="00D50A34"/>
    <w:rsid w:val="00D50DA7"/>
    <w:rsid w:val="00D517DD"/>
    <w:rsid w:val="00D53EFA"/>
    <w:rsid w:val="00D5403F"/>
    <w:rsid w:val="00D54553"/>
    <w:rsid w:val="00D55AD5"/>
    <w:rsid w:val="00D57158"/>
    <w:rsid w:val="00D575D6"/>
    <w:rsid w:val="00D6096C"/>
    <w:rsid w:val="00D60AD2"/>
    <w:rsid w:val="00D610C8"/>
    <w:rsid w:val="00D61E00"/>
    <w:rsid w:val="00D625F2"/>
    <w:rsid w:val="00D625FE"/>
    <w:rsid w:val="00D6279F"/>
    <w:rsid w:val="00D62F8C"/>
    <w:rsid w:val="00D67278"/>
    <w:rsid w:val="00D67492"/>
    <w:rsid w:val="00D675B3"/>
    <w:rsid w:val="00D67862"/>
    <w:rsid w:val="00D70990"/>
    <w:rsid w:val="00D72BB0"/>
    <w:rsid w:val="00D732B4"/>
    <w:rsid w:val="00D7392F"/>
    <w:rsid w:val="00D74091"/>
    <w:rsid w:val="00D7483E"/>
    <w:rsid w:val="00D7496A"/>
    <w:rsid w:val="00D74A37"/>
    <w:rsid w:val="00D75878"/>
    <w:rsid w:val="00D75C0A"/>
    <w:rsid w:val="00D75CA3"/>
    <w:rsid w:val="00D76C1F"/>
    <w:rsid w:val="00D779F4"/>
    <w:rsid w:val="00D804D5"/>
    <w:rsid w:val="00D80ABA"/>
    <w:rsid w:val="00D80BB5"/>
    <w:rsid w:val="00D81DD3"/>
    <w:rsid w:val="00D82A35"/>
    <w:rsid w:val="00D83765"/>
    <w:rsid w:val="00D83D2B"/>
    <w:rsid w:val="00D8573B"/>
    <w:rsid w:val="00D8575B"/>
    <w:rsid w:val="00D85D43"/>
    <w:rsid w:val="00D86C84"/>
    <w:rsid w:val="00D919ED"/>
    <w:rsid w:val="00D91EDB"/>
    <w:rsid w:val="00D924D1"/>
    <w:rsid w:val="00D93B85"/>
    <w:rsid w:val="00D94A7C"/>
    <w:rsid w:val="00D94D5E"/>
    <w:rsid w:val="00D95896"/>
    <w:rsid w:val="00D95DCF"/>
    <w:rsid w:val="00D96686"/>
    <w:rsid w:val="00D970F7"/>
    <w:rsid w:val="00DA0840"/>
    <w:rsid w:val="00DA0CF4"/>
    <w:rsid w:val="00DA351D"/>
    <w:rsid w:val="00DA3DE8"/>
    <w:rsid w:val="00DA515E"/>
    <w:rsid w:val="00DA5393"/>
    <w:rsid w:val="00DA6921"/>
    <w:rsid w:val="00DA7BC7"/>
    <w:rsid w:val="00DB2983"/>
    <w:rsid w:val="00DB37B3"/>
    <w:rsid w:val="00DB4BDF"/>
    <w:rsid w:val="00DB4E7D"/>
    <w:rsid w:val="00DB5A14"/>
    <w:rsid w:val="00DB7479"/>
    <w:rsid w:val="00DB7ACE"/>
    <w:rsid w:val="00DC04C2"/>
    <w:rsid w:val="00DC0BE3"/>
    <w:rsid w:val="00DC0DD1"/>
    <w:rsid w:val="00DC1131"/>
    <w:rsid w:val="00DC1257"/>
    <w:rsid w:val="00DC293C"/>
    <w:rsid w:val="00DC29BF"/>
    <w:rsid w:val="00DC2B5A"/>
    <w:rsid w:val="00DC2DF9"/>
    <w:rsid w:val="00DC3DC0"/>
    <w:rsid w:val="00DC5016"/>
    <w:rsid w:val="00DC5B2B"/>
    <w:rsid w:val="00DC6090"/>
    <w:rsid w:val="00DC7292"/>
    <w:rsid w:val="00DD30B0"/>
    <w:rsid w:val="00DD318D"/>
    <w:rsid w:val="00DD3963"/>
    <w:rsid w:val="00DD4A13"/>
    <w:rsid w:val="00DD5B57"/>
    <w:rsid w:val="00DD5C52"/>
    <w:rsid w:val="00DD71A9"/>
    <w:rsid w:val="00DD79CA"/>
    <w:rsid w:val="00DE02EF"/>
    <w:rsid w:val="00DE5486"/>
    <w:rsid w:val="00DE54F6"/>
    <w:rsid w:val="00DE583B"/>
    <w:rsid w:val="00DE5D5B"/>
    <w:rsid w:val="00DE6803"/>
    <w:rsid w:val="00DE6A13"/>
    <w:rsid w:val="00DE7433"/>
    <w:rsid w:val="00DE7523"/>
    <w:rsid w:val="00DF1AF8"/>
    <w:rsid w:val="00DF2E12"/>
    <w:rsid w:val="00DF332B"/>
    <w:rsid w:val="00DF406A"/>
    <w:rsid w:val="00DF4D11"/>
    <w:rsid w:val="00DF514A"/>
    <w:rsid w:val="00DF57BB"/>
    <w:rsid w:val="00DF6690"/>
    <w:rsid w:val="00DF6804"/>
    <w:rsid w:val="00DF68D1"/>
    <w:rsid w:val="00DF7B81"/>
    <w:rsid w:val="00E0193A"/>
    <w:rsid w:val="00E0208B"/>
    <w:rsid w:val="00E0296A"/>
    <w:rsid w:val="00E02E42"/>
    <w:rsid w:val="00E0358D"/>
    <w:rsid w:val="00E04323"/>
    <w:rsid w:val="00E056F3"/>
    <w:rsid w:val="00E05BFD"/>
    <w:rsid w:val="00E070A2"/>
    <w:rsid w:val="00E07B7C"/>
    <w:rsid w:val="00E07D6C"/>
    <w:rsid w:val="00E11686"/>
    <w:rsid w:val="00E11786"/>
    <w:rsid w:val="00E11BF8"/>
    <w:rsid w:val="00E1242B"/>
    <w:rsid w:val="00E13651"/>
    <w:rsid w:val="00E137A9"/>
    <w:rsid w:val="00E13AC2"/>
    <w:rsid w:val="00E140A1"/>
    <w:rsid w:val="00E141B1"/>
    <w:rsid w:val="00E14A31"/>
    <w:rsid w:val="00E14D08"/>
    <w:rsid w:val="00E152E1"/>
    <w:rsid w:val="00E16323"/>
    <w:rsid w:val="00E16A16"/>
    <w:rsid w:val="00E17386"/>
    <w:rsid w:val="00E20161"/>
    <w:rsid w:val="00E20799"/>
    <w:rsid w:val="00E22460"/>
    <w:rsid w:val="00E23310"/>
    <w:rsid w:val="00E2368D"/>
    <w:rsid w:val="00E23AF8"/>
    <w:rsid w:val="00E2419A"/>
    <w:rsid w:val="00E24C88"/>
    <w:rsid w:val="00E25832"/>
    <w:rsid w:val="00E2656A"/>
    <w:rsid w:val="00E265FB"/>
    <w:rsid w:val="00E26E0A"/>
    <w:rsid w:val="00E26F9C"/>
    <w:rsid w:val="00E27AF1"/>
    <w:rsid w:val="00E27D0D"/>
    <w:rsid w:val="00E318D9"/>
    <w:rsid w:val="00E322FD"/>
    <w:rsid w:val="00E329E3"/>
    <w:rsid w:val="00E332E5"/>
    <w:rsid w:val="00E338AB"/>
    <w:rsid w:val="00E33A05"/>
    <w:rsid w:val="00E34949"/>
    <w:rsid w:val="00E40B14"/>
    <w:rsid w:val="00E40E4F"/>
    <w:rsid w:val="00E410BC"/>
    <w:rsid w:val="00E412D0"/>
    <w:rsid w:val="00E44BFC"/>
    <w:rsid w:val="00E453F2"/>
    <w:rsid w:val="00E4601A"/>
    <w:rsid w:val="00E46B6A"/>
    <w:rsid w:val="00E50143"/>
    <w:rsid w:val="00E501A1"/>
    <w:rsid w:val="00E50F6C"/>
    <w:rsid w:val="00E50FEE"/>
    <w:rsid w:val="00E513AC"/>
    <w:rsid w:val="00E52A8F"/>
    <w:rsid w:val="00E53057"/>
    <w:rsid w:val="00E5404E"/>
    <w:rsid w:val="00E56322"/>
    <w:rsid w:val="00E6048F"/>
    <w:rsid w:val="00E608DB"/>
    <w:rsid w:val="00E60982"/>
    <w:rsid w:val="00E6101F"/>
    <w:rsid w:val="00E6134B"/>
    <w:rsid w:val="00E61431"/>
    <w:rsid w:val="00E62C62"/>
    <w:rsid w:val="00E6352A"/>
    <w:rsid w:val="00E64687"/>
    <w:rsid w:val="00E654C1"/>
    <w:rsid w:val="00E65D97"/>
    <w:rsid w:val="00E66032"/>
    <w:rsid w:val="00E660B1"/>
    <w:rsid w:val="00E66515"/>
    <w:rsid w:val="00E667E0"/>
    <w:rsid w:val="00E678A3"/>
    <w:rsid w:val="00E67A0F"/>
    <w:rsid w:val="00E7084C"/>
    <w:rsid w:val="00E7160D"/>
    <w:rsid w:val="00E718A9"/>
    <w:rsid w:val="00E72A5A"/>
    <w:rsid w:val="00E732A1"/>
    <w:rsid w:val="00E73354"/>
    <w:rsid w:val="00E7448C"/>
    <w:rsid w:val="00E748AE"/>
    <w:rsid w:val="00E76ABE"/>
    <w:rsid w:val="00E80A7F"/>
    <w:rsid w:val="00E80D86"/>
    <w:rsid w:val="00E84094"/>
    <w:rsid w:val="00E8438B"/>
    <w:rsid w:val="00E845E0"/>
    <w:rsid w:val="00E84F02"/>
    <w:rsid w:val="00E87050"/>
    <w:rsid w:val="00E87DDA"/>
    <w:rsid w:val="00E9242D"/>
    <w:rsid w:val="00E924AF"/>
    <w:rsid w:val="00E93539"/>
    <w:rsid w:val="00E94E63"/>
    <w:rsid w:val="00E97141"/>
    <w:rsid w:val="00E974AC"/>
    <w:rsid w:val="00E97DDA"/>
    <w:rsid w:val="00EA03AF"/>
    <w:rsid w:val="00EA0DB5"/>
    <w:rsid w:val="00EA1647"/>
    <w:rsid w:val="00EA19E9"/>
    <w:rsid w:val="00EA1B2F"/>
    <w:rsid w:val="00EA27A9"/>
    <w:rsid w:val="00EA468E"/>
    <w:rsid w:val="00EA531A"/>
    <w:rsid w:val="00EA5610"/>
    <w:rsid w:val="00EA6481"/>
    <w:rsid w:val="00EA6B38"/>
    <w:rsid w:val="00EA6BCA"/>
    <w:rsid w:val="00EA70AB"/>
    <w:rsid w:val="00EA7B73"/>
    <w:rsid w:val="00EB038C"/>
    <w:rsid w:val="00EB2242"/>
    <w:rsid w:val="00EB294D"/>
    <w:rsid w:val="00EB2BE6"/>
    <w:rsid w:val="00EB2F63"/>
    <w:rsid w:val="00EB3010"/>
    <w:rsid w:val="00EB3D67"/>
    <w:rsid w:val="00EB5255"/>
    <w:rsid w:val="00EB5C47"/>
    <w:rsid w:val="00EB78E8"/>
    <w:rsid w:val="00EC4CF7"/>
    <w:rsid w:val="00EC4D35"/>
    <w:rsid w:val="00EC58C4"/>
    <w:rsid w:val="00EC5B07"/>
    <w:rsid w:val="00EC5F25"/>
    <w:rsid w:val="00EC71E7"/>
    <w:rsid w:val="00EC7BEC"/>
    <w:rsid w:val="00ED020B"/>
    <w:rsid w:val="00ED0639"/>
    <w:rsid w:val="00ED1A95"/>
    <w:rsid w:val="00ED1D5F"/>
    <w:rsid w:val="00ED2723"/>
    <w:rsid w:val="00ED528B"/>
    <w:rsid w:val="00ED60E7"/>
    <w:rsid w:val="00ED69A7"/>
    <w:rsid w:val="00EE0394"/>
    <w:rsid w:val="00EE1A58"/>
    <w:rsid w:val="00EE1F5C"/>
    <w:rsid w:val="00EE20DB"/>
    <w:rsid w:val="00EE22D0"/>
    <w:rsid w:val="00EE430A"/>
    <w:rsid w:val="00EE5BE4"/>
    <w:rsid w:val="00EE63CB"/>
    <w:rsid w:val="00EF1658"/>
    <w:rsid w:val="00EF4755"/>
    <w:rsid w:val="00EF7135"/>
    <w:rsid w:val="00F00474"/>
    <w:rsid w:val="00F01153"/>
    <w:rsid w:val="00F02485"/>
    <w:rsid w:val="00F027DB"/>
    <w:rsid w:val="00F02BA1"/>
    <w:rsid w:val="00F03018"/>
    <w:rsid w:val="00F03556"/>
    <w:rsid w:val="00F05520"/>
    <w:rsid w:val="00F05DBB"/>
    <w:rsid w:val="00F075FD"/>
    <w:rsid w:val="00F077E1"/>
    <w:rsid w:val="00F10B08"/>
    <w:rsid w:val="00F11F38"/>
    <w:rsid w:val="00F121F1"/>
    <w:rsid w:val="00F131AE"/>
    <w:rsid w:val="00F13923"/>
    <w:rsid w:val="00F13DAC"/>
    <w:rsid w:val="00F14A7A"/>
    <w:rsid w:val="00F14EF8"/>
    <w:rsid w:val="00F16EE5"/>
    <w:rsid w:val="00F172F2"/>
    <w:rsid w:val="00F17671"/>
    <w:rsid w:val="00F210DF"/>
    <w:rsid w:val="00F22985"/>
    <w:rsid w:val="00F230AB"/>
    <w:rsid w:val="00F2426B"/>
    <w:rsid w:val="00F25C49"/>
    <w:rsid w:val="00F25E91"/>
    <w:rsid w:val="00F260CA"/>
    <w:rsid w:val="00F308A2"/>
    <w:rsid w:val="00F31D1B"/>
    <w:rsid w:val="00F32AC9"/>
    <w:rsid w:val="00F32B7D"/>
    <w:rsid w:val="00F3383E"/>
    <w:rsid w:val="00F33C44"/>
    <w:rsid w:val="00F33CB0"/>
    <w:rsid w:val="00F34DED"/>
    <w:rsid w:val="00F35EFF"/>
    <w:rsid w:val="00F374A5"/>
    <w:rsid w:val="00F37FD2"/>
    <w:rsid w:val="00F4031C"/>
    <w:rsid w:val="00F4234D"/>
    <w:rsid w:val="00F436A9"/>
    <w:rsid w:val="00F44EB8"/>
    <w:rsid w:val="00F46530"/>
    <w:rsid w:val="00F465A7"/>
    <w:rsid w:val="00F50B7C"/>
    <w:rsid w:val="00F50FBF"/>
    <w:rsid w:val="00F510C8"/>
    <w:rsid w:val="00F53DDC"/>
    <w:rsid w:val="00F54135"/>
    <w:rsid w:val="00F54BBD"/>
    <w:rsid w:val="00F550E6"/>
    <w:rsid w:val="00F55F20"/>
    <w:rsid w:val="00F57E8B"/>
    <w:rsid w:val="00F604FD"/>
    <w:rsid w:val="00F623BC"/>
    <w:rsid w:val="00F625B2"/>
    <w:rsid w:val="00F63EB8"/>
    <w:rsid w:val="00F64F3F"/>
    <w:rsid w:val="00F65475"/>
    <w:rsid w:val="00F65780"/>
    <w:rsid w:val="00F662BD"/>
    <w:rsid w:val="00F678D0"/>
    <w:rsid w:val="00F70F6E"/>
    <w:rsid w:val="00F73F25"/>
    <w:rsid w:val="00F74345"/>
    <w:rsid w:val="00F74E7D"/>
    <w:rsid w:val="00F76628"/>
    <w:rsid w:val="00F76A9B"/>
    <w:rsid w:val="00F77FAD"/>
    <w:rsid w:val="00F80A0A"/>
    <w:rsid w:val="00F815C2"/>
    <w:rsid w:val="00F82B19"/>
    <w:rsid w:val="00F85622"/>
    <w:rsid w:val="00F861E9"/>
    <w:rsid w:val="00F86E69"/>
    <w:rsid w:val="00F87B84"/>
    <w:rsid w:val="00F901FB"/>
    <w:rsid w:val="00F90237"/>
    <w:rsid w:val="00F9059B"/>
    <w:rsid w:val="00F9212D"/>
    <w:rsid w:val="00F92D0E"/>
    <w:rsid w:val="00F946D4"/>
    <w:rsid w:val="00F95C8D"/>
    <w:rsid w:val="00F96595"/>
    <w:rsid w:val="00F965DA"/>
    <w:rsid w:val="00F97978"/>
    <w:rsid w:val="00F97A99"/>
    <w:rsid w:val="00FA04F5"/>
    <w:rsid w:val="00FA18A0"/>
    <w:rsid w:val="00FA1E24"/>
    <w:rsid w:val="00FA27B3"/>
    <w:rsid w:val="00FA33BB"/>
    <w:rsid w:val="00FA406A"/>
    <w:rsid w:val="00FA5428"/>
    <w:rsid w:val="00FA6686"/>
    <w:rsid w:val="00FA6C08"/>
    <w:rsid w:val="00FA71CD"/>
    <w:rsid w:val="00FA71F9"/>
    <w:rsid w:val="00FA78D2"/>
    <w:rsid w:val="00FB0865"/>
    <w:rsid w:val="00FB13A1"/>
    <w:rsid w:val="00FB1AE4"/>
    <w:rsid w:val="00FB37DE"/>
    <w:rsid w:val="00FB4C7F"/>
    <w:rsid w:val="00FB4EE5"/>
    <w:rsid w:val="00FB503A"/>
    <w:rsid w:val="00FB516C"/>
    <w:rsid w:val="00FB6007"/>
    <w:rsid w:val="00FC04A6"/>
    <w:rsid w:val="00FC127A"/>
    <w:rsid w:val="00FC15A9"/>
    <w:rsid w:val="00FC1CCF"/>
    <w:rsid w:val="00FC3403"/>
    <w:rsid w:val="00FC3422"/>
    <w:rsid w:val="00FC56CD"/>
    <w:rsid w:val="00FC71CE"/>
    <w:rsid w:val="00FD0187"/>
    <w:rsid w:val="00FD0236"/>
    <w:rsid w:val="00FD0648"/>
    <w:rsid w:val="00FD1127"/>
    <w:rsid w:val="00FD1470"/>
    <w:rsid w:val="00FD18F4"/>
    <w:rsid w:val="00FD2690"/>
    <w:rsid w:val="00FD3755"/>
    <w:rsid w:val="00FD3B3C"/>
    <w:rsid w:val="00FD47B9"/>
    <w:rsid w:val="00FD4E7B"/>
    <w:rsid w:val="00FD54DB"/>
    <w:rsid w:val="00FD5921"/>
    <w:rsid w:val="00FD619F"/>
    <w:rsid w:val="00FD6C72"/>
    <w:rsid w:val="00FD6EE6"/>
    <w:rsid w:val="00FD77D2"/>
    <w:rsid w:val="00FE11B3"/>
    <w:rsid w:val="00FE2C16"/>
    <w:rsid w:val="00FE4205"/>
    <w:rsid w:val="00FE52CE"/>
    <w:rsid w:val="00FE75DD"/>
    <w:rsid w:val="00FE7EBE"/>
    <w:rsid w:val="00FF27F1"/>
    <w:rsid w:val="00FF3266"/>
    <w:rsid w:val="00FF3D2C"/>
    <w:rsid w:val="00FF3DEB"/>
    <w:rsid w:val="00FF4B61"/>
    <w:rsid w:val="01290F7E"/>
    <w:rsid w:val="013019FE"/>
    <w:rsid w:val="01345E86"/>
    <w:rsid w:val="01457570"/>
    <w:rsid w:val="015966BD"/>
    <w:rsid w:val="015C519F"/>
    <w:rsid w:val="015D1E09"/>
    <w:rsid w:val="016519C1"/>
    <w:rsid w:val="016F329F"/>
    <w:rsid w:val="01703C91"/>
    <w:rsid w:val="017B65FA"/>
    <w:rsid w:val="01A776D0"/>
    <w:rsid w:val="01AF0051"/>
    <w:rsid w:val="01B739DD"/>
    <w:rsid w:val="01BA61B0"/>
    <w:rsid w:val="01CC50FF"/>
    <w:rsid w:val="01EB523A"/>
    <w:rsid w:val="01FD42EF"/>
    <w:rsid w:val="020B0723"/>
    <w:rsid w:val="02104022"/>
    <w:rsid w:val="02144BFA"/>
    <w:rsid w:val="0220040D"/>
    <w:rsid w:val="02284DF1"/>
    <w:rsid w:val="0237201F"/>
    <w:rsid w:val="02445A7A"/>
    <w:rsid w:val="02697903"/>
    <w:rsid w:val="02797412"/>
    <w:rsid w:val="02840131"/>
    <w:rsid w:val="02877152"/>
    <w:rsid w:val="028B18FB"/>
    <w:rsid w:val="028D5E12"/>
    <w:rsid w:val="02B80216"/>
    <w:rsid w:val="02B87B79"/>
    <w:rsid w:val="02C1531D"/>
    <w:rsid w:val="02C47954"/>
    <w:rsid w:val="02C668E8"/>
    <w:rsid w:val="02EA1281"/>
    <w:rsid w:val="02F23728"/>
    <w:rsid w:val="02F96569"/>
    <w:rsid w:val="02FE20CD"/>
    <w:rsid w:val="036D4AF5"/>
    <w:rsid w:val="038E05E4"/>
    <w:rsid w:val="03B629A7"/>
    <w:rsid w:val="03C70908"/>
    <w:rsid w:val="03CF2E94"/>
    <w:rsid w:val="03CF52EB"/>
    <w:rsid w:val="03D75EEE"/>
    <w:rsid w:val="03E70DB3"/>
    <w:rsid w:val="03EA7B21"/>
    <w:rsid w:val="03EE3EEF"/>
    <w:rsid w:val="03F35CDF"/>
    <w:rsid w:val="03F82211"/>
    <w:rsid w:val="03FB03BA"/>
    <w:rsid w:val="04095D13"/>
    <w:rsid w:val="04153BC5"/>
    <w:rsid w:val="04291E6C"/>
    <w:rsid w:val="04477832"/>
    <w:rsid w:val="04942962"/>
    <w:rsid w:val="04951CB8"/>
    <w:rsid w:val="04974F86"/>
    <w:rsid w:val="049A3FBC"/>
    <w:rsid w:val="04A967B2"/>
    <w:rsid w:val="04AE18D1"/>
    <w:rsid w:val="04CE5ACF"/>
    <w:rsid w:val="04F24628"/>
    <w:rsid w:val="04FC007E"/>
    <w:rsid w:val="050547A8"/>
    <w:rsid w:val="05091CA5"/>
    <w:rsid w:val="05320E89"/>
    <w:rsid w:val="05517F6B"/>
    <w:rsid w:val="0569336D"/>
    <w:rsid w:val="05762969"/>
    <w:rsid w:val="057C4AED"/>
    <w:rsid w:val="05B1651E"/>
    <w:rsid w:val="05B316B3"/>
    <w:rsid w:val="05B437EC"/>
    <w:rsid w:val="05B922DB"/>
    <w:rsid w:val="05BE699B"/>
    <w:rsid w:val="05BE7C51"/>
    <w:rsid w:val="05F17DCE"/>
    <w:rsid w:val="05F83EAE"/>
    <w:rsid w:val="062B0C6F"/>
    <w:rsid w:val="063E7D85"/>
    <w:rsid w:val="064815A2"/>
    <w:rsid w:val="0649045C"/>
    <w:rsid w:val="0671767C"/>
    <w:rsid w:val="06824DC3"/>
    <w:rsid w:val="06952ADA"/>
    <w:rsid w:val="069B0646"/>
    <w:rsid w:val="06A83CF9"/>
    <w:rsid w:val="06F44178"/>
    <w:rsid w:val="06FA0280"/>
    <w:rsid w:val="070E62E0"/>
    <w:rsid w:val="071A68E6"/>
    <w:rsid w:val="071C1AB9"/>
    <w:rsid w:val="07225256"/>
    <w:rsid w:val="07277E4A"/>
    <w:rsid w:val="07293490"/>
    <w:rsid w:val="07293586"/>
    <w:rsid w:val="07295285"/>
    <w:rsid w:val="072C42D2"/>
    <w:rsid w:val="072E19D4"/>
    <w:rsid w:val="07307855"/>
    <w:rsid w:val="074C4807"/>
    <w:rsid w:val="0759191E"/>
    <w:rsid w:val="07636392"/>
    <w:rsid w:val="0765331C"/>
    <w:rsid w:val="07770C56"/>
    <w:rsid w:val="077D4FD6"/>
    <w:rsid w:val="077D6E6F"/>
    <w:rsid w:val="07846919"/>
    <w:rsid w:val="07D947FF"/>
    <w:rsid w:val="07E07279"/>
    <w:rsid w:val="07E13D6B"/>
    <w:rsid w:val="07F97307"/>
    <w:rsid w:val="081232CB"/>
    <w:rsid w:val="081B727D"/>
    <w:rsid w:val="08242FA8"/>
    <w:rsid w:val="083C5603"/>
    <w:rsid w:val="085B5925"/>
    <w:rsid w:val="08A076B7"/>
    <w:rsid w:val="08A34DB8"/>
    <w:rsid w:val="08B26C6E"/>
    <w:rsid w:val="08E12A4A"/>
    <w:rsid w:val="08F0070A"/>
    <w:rsid w:val="0904195A"/>
    <w:rsid w:val="091B505B"/>
    <w:rsid w:val="092217DD"/>
    <w:rsid w:val="09263455"/>
    <w:rsid w:val="093A7294"/>
    <w:rsid w:val="09570789"/>
    <w:rsid w:val="095D32ED"/>
    <w:rsid w:val="096C6A43"/>
    <w:rsid w:val="09734E97"/>
    <w:rsid w:val="097B1C65"/>
    <w:rsid w:val="098F7F23"/>
    <w:rsid w:val="099079F2"/>
    <w:rsid w:val="099C5139"/>
    <w:rsid w:val="09C92F7C"/>
    <w:rsid w:val="09D234A9"/>
    <w:rsid w:val="09E46601"/>
    <w:rsid w:val="09FB3625"/>
    <w:rsid w:val="0A0A17C0"/>
    <w:rsid w:val="0A0C438A"/>
    <w:rsid w:val="0A102D91"/>
    <w:rsid w:val="0A263993"/>
    <w:rsid w:val="0A2D3AC2"/>
    <w:rsid w:val="0A576A52"/>
    <w:rsid w:val="0A5E20C2"/>
    <w:rsid w:val="0A5E508E"/>
    <w:rsid w:val="0A71345C"/>
    <w:rsid w:val="0A8607D1"/>
    <w:rsid w:val="0AA755DF"/>
    <w:rsid w:val="0AB319EF"/>
    <w:rsid w:val="0B093D05"/>
    <w:rsid w:val="0B0F299D"/>
    <w:rsid w:val="0B120D44"/>
    <w:rsid w:val="0B246449"/>
    <w:rsid w:val="0B264AD7"/>
    <w:rsid w:val="0B32217A"/>
    <w:rsid w:val="0B386076"/>
    <w:rsid w:val="0B3C6925"/>
    <w:rsid w:val="0B772A1C"/>
    <w:rsid w:val="0B891F50"/>
    <w:rsid w:val="0BA92DF2"/>
    <w:rsid w:val="0BB04A3B"/>
    <w:rsid w:val="0BB304A6"/>
    <w:rsid w:val="0BB86E60"/>
    <w:rsid w:val="0BD27BF6"/>
    <w:rsid w:val="0BD30473"/>
    <w:rsid w:val="0BDB6711"/>
    <w:rsid w:val="0BE61D6A"/>
    <w:rsid w:val="0C034AB2"/>
    <w:rsid w:val="0C0E45F0"/>
    <w:rsid w:val="0C167C7A"/>
    <w:rsid w:val="0C190BE7"/>
    <w:rsid w:val="0C370197"/>
    <w:rsid w:val="0C3B3C7D"/>
    <w:rsid w:val="0C400913"/>
    <w:rsid w:val="0C497BBE"/>
    <w:rsid w:val="0C4A0AB2"/>
    <w:rsid w:val="0C4E7DBD"/>
    <w:rsid w:val="0C5D4B54"/>
    <w:rsid w:val="0C656D19"/>
    <w:rsid w:val="0C675D24"/>
    <w:rsid w:val="0C8032CB"/>
    <w:rsid w:val="0C89218D"/>
    <w:rsid w:val="0C900B4E"/>
    <w:rsid w:val="0C93502E"/>
    <w:rsid w:val="0C9926B7"/>
    <w:rsid w:val="0C9B4D23"/>
    <w:rsid w:val="0CA02B1A"/>
    <w:rsid w:val="0CAA4C53"/>
    <w:rsid w:val="0CAB2EAE"/>
    <w:rsid w:val="0CAD145B"/>
    <w:rsid w:val="0CBF0DB1"/>
    <w:rsid w:val="0CC156F5"/>
    <w:rsid w:val="0CCE4F4E"/>
    <w:rsid w:val="0CF96E8C"/>
    <w:rsid w:val="0D134683"/>
    <w:rsid w:val="0D205F17"/>
    <w:rsid w:val="0D223618"/>
    <w:rsid w:val="0D273323"/>
    <w:rsid w:val="0D2E12A3"/>
    <w:rsid w:val="0D492D50"/>
    <w:rsid w:val="0D4A5DEB"/>
    <w:rsid w:val="0D583AF2"/>
    <w:rsid w:val="0D6053D3"/>
    <w:rsid w:val="0D621C7D"/>
    <w:rsid w:val="0D94678B"/>
    <w:rsid w:val="0DD002B9"/>
    <w:rsid w:val="0DDD7C9F"/>
    <w:rsid w:val="0DE87C01"/>
    <w:rsid w:val="0DE97FB1"/>
    <w:rsid w:val="0DF90DB1"/>
    <w:rsid w:val="0E4A09D7"/>
    <w:rsid w:val="0E5C312E"/>
    <w:rsid w:val="0E624F72"/>
    <w:rsid w:val="0E73034D"/>
    <w:rsid w:val="0E745543"/>
    <w:rsid w:val="0E813B8A"/>
    <w:rsid w:val="0E844943"/>
    <w:rsid w:val="0E956D7D"/>
    <w:rsid w:val="0EA0190B"/>
    <w:rsid w:val="0EA53794"/>
    <w:rsid w:val="0EA53D44"/>
    <w:rsid w:val="0EB17B3B"/>
    <w:rsid w:val="0ECD7E9F"/>
    <w:rsid w:val="0EDD52F8"/>
    <w:rsid w:val="0EF30F61"/>
    <w:rsid w:val="0EF34EC6"/>
    <w:rsid w:val="0F037869"/>
    <w:rsid w:val="0F06597C"/>
    <w:rsid w:val="0F0A34B9"/>
    <w:rsid w:val="0F13775A"/>
    <w:rsid w:val="0F2F36F8"/>
    <w:rsid w:val="0F4920A4"/>
    <w:rsid w:val="0F56581C"/>
    <w:rsid w:val="0F5F45FE"/>
    <w:rsid w:val="0F721BE3"/>
    <w:rsid w:val="0F983DF9"/>
    <w:rsid w:val="0F9A112B"/>
    <w:rsid w:val="0FA25B0C"/>
    <w:rsid w:val="0FD61CDB"/>
    <w:rsid w:val="0FE61AEC"/>
    <w:rsid w:val="0FED6E14"/>
    <w:rsid w:val="0FF259B5"/>
    <w:rsid w:val="10022AD1"/>
    <w:rsid w:val="102E1B18"/>
    <w:rsid w:val="10381E5C"/>
    <w:rsid w:val="104904CB"/>
    <w:rsid w:val="104963C3"/>
    <w:rsid w:val="104F3F68"/>
    <w:rsid w:val="10514AD4"/>
    <w:rsid w:val="105349F0"/>
    <w:rsid w:val="106D2F64"/>
    <w:rsid w:val="106D43EE"/>
    <w:rsid w:val="107371C6"/>
    <w:rsid w:val="107E0CD6"/>
    <w:rsid w:val="109B3BE7"/>
    <w:rsid w:val="10A32F80"/>
    <w:rsid w:val="10B63710"/>
    <w:rsid w:val="10C45D0D"/>
    <w:rsid w:val="10E31E45"/>
    <w:rsid w:val="10F10820"/>
    <w:rsid w:val="10FE14EA"/>
    <w:rsid w:val="11044578"/>
    <w:rsid w:val="110541C7"/>
    <w:rsid w:val="110C6294"/>
    <w:rsid w:val="111B419D"/>
    <w:rsid w:val="111C2F7A"/>
    <w:rsid w:val="11405FA6"/>
    <w:rsid w:val="11427629"/>
    <w:rsid w:val="115A6045"/>
    <w:rsid w:val="115F7210"/>
    <w:rsid w:val="116052C9"/>
    <w:rsid w:val="11665CA1"/>
    <w:rsid w:val="1168681B"/>
    <w:rsid w:val="117363A7"/>
    <w:rsid w:val="117417AC"/>
    <w:rsid w:val="117E765F"/>
    <w:rsid w:val="118C2F9A"/>
    <w:rsid w:val="11A548BE"/>
    <w:rsid w:val="11AE1162"/>
    <w:rsid w:val="11CC1DC3"/>
    <w:rsid w:val="11D2322E"/>
    <w:rsid w:val="11DB6B5A"/>
    <w:rsid w:val="122D652B"/>
    <w:rsid w:val="12385904"/>
    <w:rsid w:val="123C09DB"/>
    <w:rsid w:val="12591626"/>
    <w:rsid w:val="125E1331"/>
    <w:rsid w:val="1265624A"/>
    <w:rsid w:val="12665FAA"/>
    <w:rsid w:val="128B4FFF"/>
    <w:rsid w:val="12910C6D"/>
    <w:rsid w:val="1295180B"/>
    <w:rsid w:val="1298498E"/>
    <w:rsid w:val="12A3059B"/>
    <w:rsid w:val="12A762DD"/>
    <w:rsid w:val="12C86253"/>
    <w:rsid w:val="12D37DA7"/>
    <w:rsid w:val="12EB6997"/>
    <w:rsid w:val="12EE3985"/>
    <w:rsid w:val="1307597A"/>
    <w:rsid w:val="131D3BA4"/>
    <w:rsid w:val="1345556B"/>
    <w:rsid w:val="13511BEB"/>
    <w:rsid w:val="13542B43"/>
    <w:rsid w:val="13836D3C"/>
    <w:rsid w:val="138E6C1C"/>
    <w:rsid w:val="13951726"/>
    <w:rsid w:val="13983E78"/>
    <w:rsid w:val="13AA0FE7"/>
    <w:rsid w:val="13C80904"/>
    <w:rsid w:val="13EF2FD5"/>
    <w:rsid w:val="13F310AE"/>
    <w:rsid w:val="14056864"/>
    <w:rsid w:val="143321B1"/>
    <w:rsid w:val="14351311"/>
    <w:rsid w:val="14396509"/>
    <w:rsid w:val="144E07DC"/>
    <w:rsid w:val="14685F77"/>
    <w:rsid w:val="14863CD0"/>
    <w:rsid w:val="14A16D5C"/>
    <w:rsid w:val="14A4740A"/>
    <w:rsid w:val="14C00C13"/>
    <w:rsid w:val="14C31873"/>
    <w:rsid w:val="14D15F4A"/>
    <w:rsid w:val="14DD2C3C"/>
    <w:rsid w:val="14FD72A2"/>
    <w:rsid w:val="152A7356"/>
    <w:rsid w:val="15311E8E"/>
    <w:rsid w:val="15370350"/>
    <w:rsid w:val="158457C7"/>
    <w:rsid w:val="15A308B2"/>
    <w:rsid w:val="15A44130"/>
    <w:rsid w:val="15AA63A9"/>
    <w:rsid w:val="15B74BBA"/>
    <w:rsid w:val="15C26F8A"/>
    <w:rsid w:val="15F531EF"/>
    <w:rsid w:val="15FD5650"/>
    <w:rsid w:val="16087E1D"/>
    <w:rsid w:val="162B4B2F"/>
    <w:rsid w:val="1638724C"/>
    <w:rsid w:val="163E1565"/>
    <w:rsid w:val="16516CA8"/>
    <w:rsid w:val="16541AE6"/>
    <w:rsid w:val="166C0B57"/>
    <w:rsid w:val="16705666"/>
    <w:rsid w:val="16861701"/>
    <w:rsid w:val="16985F3D"/>
    <w:rsid w:val="16D056D6"/>
    <w:rsid w:val="16D47282"/>
    <w:rsid w:val="16E3203A"/>
    <w:rsid w:val="16E94689"/>
    <w:rsid w:val="16F969DB"/>
    <w:rsid w:val="172F11C2"/>
    <w:rsid w:val="173B6FF4"/>
    <w:rsid w:val="1745083A"/>
    <w:rsid w:val="176432ED"/>
    <w:rsid w:val="17701D14"/>
    <w:rsid w:val="17735226"/>
    <w:rsid w:val="178070FD"/>
    <w:rsid w:val="17823A9D"/>
    <w:rsid w:val="178523CD"/>
    <w:rsid w:val="178A3AD7"/>
    <w:rsid w:val="17A93DE2"/>
    <w:rsid w:val="17AE3C6A"/>
    <w:rsid w:val="17CB1D98"/>
    <w:rsid w:val="18037974"/>
    <w:rsid w:val="1811250D"/>
    <w:rsid w:val="182A4EC1"/>
    <w:rsid w:val="18485E69"/>
    <w:rsid w:val="18542BF6"/>
    <w:rsid w:val="186C7681"/>
    <w:rsid w:val="18777CBA"/>
    <w:rsid w:val="18811E6E"/>
    <w:rsid w:val="189204DC"/>
    <w:rsid w:val="189F624C"/>
    <w:rsid w:val="18AC2843"/>
    <w:rsid w:val="18B21538"/>
    <w:rsid w:val="18C43019"/>
    <w:rsid w:val="18D86A52"/>
    <w:rsid w:val="18DD095C"/>
    <w:rsid w:val="190000E5"/>
    <w:rsid w:val="19121FD6"/>
    <w:rsid w:val="191B27B5"/>
    <w:rsid w:val="192A108A"/>
    <w:rsid w:val="19305A9C"/>
    <w:rsid w:val="19516FA3"/>
    <w:rsid w:val="196E2E4F"/>
    <w:rsid w:val="19932742"/>
    <w:rsid w:val="199926F8"/>
    <w:rsid w:val="19AF3CC9"/>
    <w:rsid w:val="19B72156"/>
    <w:rsid w:val="19B95D40"/>
    <w:rsid w:val="19BF56CB"/>
    <w:rsid w:val="19D56E72"/>
    <w:rsid w:val="19D652F0"/>
    <w:rsid w:val="19DC30E5"/>
    <w:rsid w:val="1A030941"/>
    <w:rsid w:val="1A0A0EFF"/>
    <w:rsid w:val="1A1C66C0"/>
    <w:rsid w:val="1A2217F6"/>
    <w:rsid w:val="1A2D5CFF"/>
    <w:rsid w:val="1A307936"/>
    <w:rsid w:val="1A395395"/>
    <w:rsid w:val="1A422421"/>
    <w:rsid w:val="1A42393B"/>
    <w:rsid w:val="1A47212C"/>
    <w:rsid w:val="1A4C776A"/>
    <w:rsid w:val="1A522FEA"/>
    <w:rsid w:val="1A576014"/>
    <w:rsid w:val="1A6F6ADC"/>
    <w:rsid w:val="1A7107B4"/>
    <w:rsid w:val="1A766595"/>
    <w:rsid w:val="1A9F5425"/>
    <w:rsid w:val="1AAD45DE"/>
    <w:rsid w:val="1ABB4669"/>
    <w:rsid w:val="1ACA396A"/>
    <w:rsid w:val="1AD35469"/>
    <w:rsid w:val="1AD9749D"/>
    <w:rsid w:val="1AED589C"/>
    <w:rsid w:val="1AEF1F43"/>
    <w:rsid w:val="1AFD2B54"/>
    <w:rsid w:val="1B01155A"/>
    <w:rsid w:val="1B0309EF"/>
    <w:rsid w:val="1B046F80"/>
    <w:rsid w:val="1B1D0E8B"/>
    <w:rsid w:val="1B283D33"/>
    <w:rsid w:val="1B2D0FF9"/>
    <w:rsid w:val="1B3267B5"/>
    <w:rsid w:val="1B342ABE"/>
    <w:rsid w:val="1B40161D"/>
    <w:rsid w:val="1B441859"/>
    <w:rsid w:val="1B64352B"/>
    <w:rsid w:val="1B6606B1"/>
    <w:rsid w:val="1B682203"/>
    <w:rsid w:val="1B7005D5"/>
    <w:rsid w:val="1B7D4727"/>
    <w:rsid w:val="1B8D39B3"/>
    <w:rsid w:val="1B95298C"/>
    <w:rsid w:val="1BA07254"/>
    <w:rsid w:val="1BDA123E"/>
    <w:rsid w:val="1BE340FE"/>
    <w:rsid w:val="1C0458AF"/>
    <w:rsid w:val="1C093B64"/>
    <w:rsid w:val="1C395ACC"/>
    <w:rsid w:val="1C3D6EC1"/>
    <w:rsid w:val="1C427968"/>
    <w:rsid w:val="1C4A1ECF"/>
    <w:rsid w:val="1C4F0BD8"/>
    <w:rsid w:val="1C56042C"/>
    <w:rsid w:val="1C5E7925"/>
    <w:rsid w:val="1C8B7FD1"/>
    <w:rsid w:val="1CAD0E8F"/>
    <w:rsid w:val="1CE818CE"/>
    <w:rsid w:val="1CFD070F"/>
    <w:rsid w:val="1D0032F0"/>
    <w:rsid w:val="1D035828"/>
    <w:rsid w:val="1D170C45"/>
    <w:rsid w:val="1D281E2F"/>
    <w:rsid w:val="1D3614FA"/>
    <w:rsid w:val="1D573FDF"/>
    <w:rsid w:val="1D5907B5"/>
    <w:rsid w:val="1D5B5EB7"/>
    <w:rsid w:val="1D5D57EA"/>
    <w:rsid w:val="1D5F6196"/>
    <w:rsid w:val="1D6132A5"/>
    <w:rsid w:val="1D795467"/>
    <w:rsid w:val="1D855C9C"/>
    <w:rsid w:val="1D8E56D5"/>
    <w:rsid w:val="1DA17DCD"/>
    <w:rsid w:val="1DA80227"/>
    <w:rsid w:val="1DB84052"/>
    <w:rsid w:val="1E112162"/>
    <w:rsid w:val="1E171E3D"/>
    <w:rsid w:val="1E285789"/>
    <w:rsid w:val="1E2C3B3A"/>
    <w:rsid w:val="1E34479D"/>
    <w:rsid w:val="1E3B17B3"/>
    <w:rsid w:val="1E4569AA"/>
    <w:rsid w:val="1E5F66F0"/>
    <w:rsid w:val="1E707201"/>
    <w:rsid w:val="1E7A43DA"/>
    <w:rsid w:val="1EA34D2C"/>
    <w:rsid w:val="1EAC07D7"/>
    <w:rsid w:val="1EAF0D67"/>
    <w:rsid w:val="1EBD007C"/>
    <w:rsid w:val="1EC93137"/>
    <w:rsid w:val="1ECB5B06"/>
    <w:rsid w:val="1EE47B84"/>
    <w:rsid w:val="1EF5217E"/>
    <w:rsid w:val="1EFD0E66"/>
    <w:rsid w:val="1F0029C1"/>
    <w:rsid w:val="1F011A6A"/>
    <w:rsid w:val="1F0B6FE8"/>
    <w:rsid w:val="1F160FD9"/>
    <w:rsid w:val="1F262338"/>
    <w:rsid w:val="1F3802BD"/>
    <w:rsid w:val="1F5C145A"/>
    <w:rsid w:val="1F62660C"/>
    <w:rsid w:val="1F6E461D"/>
    <w:rsid w:val="1F7C71B6"/>
    <w:rsid w:val="1F9574BD"/>
    <w:rsid w:val="1FAF670B"/>
    <w:rsid w:val="1FBB39F8"/>
    <w:rsid w:val="1FBC219E"/>
    <w:rsid w:val="1FC04427"/>
    <w:rsid w:val="1FD60202"/>
    <w:rsid w:val="1FD62D47"/>
    <w:rsid w:val="1FD66C0A"/>
    <w:rsid w:val="1FD955FC"/>
    <w:rsid w:val="1FDB71CF"/>
    <w:rsid w:val="1FE7539E"/>
    <w:rsid w:val="1FED5FF1"/>
    <w:rsid w:val="1FED61F0"/>
    <w:rsid w:val="1FFE6C01"/>
    <w:rsid w:val="20053897"/>
    <w:rsid w:val="2008261D"/>
    <w:rsid w:val="201A2537"/>
    <w:rsid w:val="202530D4"/>
    <w:rsid w:val="20253BCA"/>
    <w:rsid w:val="20266E78"/>
    <w:rsid w:val="202C7E22"/>
    <w:rsid w:val="20446348"/>
    <w:rsid w:val="20671BE0"/>
    <w:rsid w:val="20694611"/>
    <w:rsid w:val="2073774E"/>
    <w:rsid w:val="20752C51"/>
    <w:rsid w:val="20851C42"/>
    <w:rsid w:val="209459C7"/>
    <w:rsid w:val="20963CB8"/>
    <w:rsid w:val="209854B7"/>
    <w:rsid w:val="20A55D8E"/>
    <w:rsid w:val="20A81A1B"/>
    <w:rsid w:val="20B07FB6"/>
    <w:rsid w:val="20B646FB"/>
    <w:rsid w:val="20DD736E"/>
    <w:rsid w:val="21076C7F"/>
    <w:rsid w:val="212356A4"/>
    <w:rsid w:val="2124624A"/>
    <w:rsid w:val="213B74B1"/>
    <w:rsid w:val="215A2310"/>
    <w:rsid w:val="216E2588"/>
    <w:rsid w:val="219E64DE"/>
    <w:rsid w:val="21A57AC0"/>
    <w:rsid w:val="21AB2FC8"/>
    <w:rsid w:val="21BA2BFA"/>
    <w:rsid w:val="21DE318A"/>
    <w:rsid w:val="21E64459"/>
    <w:rsid w:val="21EF5B80"/>
    <w:rsid w:val="21F87D52"/>
    <w:rsid w:val="21F975DA"/>
    <w:rsid w:val="222260A9"/>
    <w:rsid w:val="2226395D"/>
    <w:rsid w:val="22293867"/>
    <w:rsid w:val="22395DB5"/>
    <w:rsid w:val="223E791B"/>
    <w:rsid w:val="22424A6B"/>
    <w:rsid w:val="22576990"/>
    <w:rsid w:val="22587543"/>
    <w:rsid w:val="2278111D"/>
    <w:rsid w:val="228B74EB"/>
    <w:rsid w:val="228D2F22"/>
    <w:rsid w:val="22AD24F0"/>
    <w:rsid w:val="22B6537E"/>
    <w:rsid w:val="22D0502F"/>
    <w:rsid w:val="22F47480"/>
    <w:rsid w:val="23077707"/>
    <w:rsid w:val="230F7587"/>
    <w:rsid w:val="237C4C1C"/>
    <w:rsid w:val="2380513A"/>
    <w:rsid w:val="23922691"/>
    <w:rsid w:val="239D4B92"/>
    <w:rsid w:val="23B450F1"/>
    <w:rsid w:val="23DE1C48"/>
    <w:rsid w:val="23DF71A9"/>
    <w:rsid w:val="23E869F5"/>
    <w:rsid w:val="23FF441C"/>
    <w:rsid w:val="240210CD"/>
    <w:rsid w:val="240C6FB5"/>
    <w:rsid w:val="241A1C50"/>
    <w:rsid w:val="241B2AE8"/>
    <w:rsid w:val="241F2752"/>
    <w:rsid w:val="242E699D"/>
    <w:rsid w:val="243313F3"/>
    <w:rsid w:val="2440662A"/>
    <w:rsid w:val="24440FB9"/>
    <w:rsid w:val="24502015"/>
    <w:rsid w:val="24533EA6"/>
    <w:rsid w:val="245B6D34"/>
    <w:rsid w:val="246C3AAC"/>
    <w:rsid w:val="246E7A5D"/>
    <w:rsid w:val="247B3B84"/>
    <w:rsid w:val="247C07C7"/>
    <w:rsid w:val="248153E0"/>
    <w:rsid w:val="24871519"/>
    <w:rsid w:val="24BF09F7"/>
    <w:rsid w:val="24D93FBB"/>
    <w:rsid w:val="24DB0907"/>
    <w:rsid w:val="24E02810"/>
    <w:rsid w:val="24F61130"/>
    <w:rsid w:val="24F76BB2"/>
    <w:rsid w:val="25250879"/>
    <w:rsid w:val="252D53FE"/>
    <w:rsid w:val="25362747"/>
    <w:rsid w:val="253D18A5"/>
    <w:rsid w:val="254822CC"/>
    <w:rsid w:val="2549505A"/>
    <w:rsid w:val="255D1DDA"/>
    <w:rsid w:val="255E2195"/>
    <w:rsid w:val="259B652B"/>
    <w:rsid w:val="259D7DED"/>
    <w:rsid w:val="25EC2D81"/>
    <w:rsid w:val="25F73764"/>
    <w:rsid w:val="25FB1ECD"/>
    <w:rsid w:val="260F6C7E"/>
    <w:rsid w:val="261C0F13"/>
    <w:rsid w:val="264B578B"/>
    <w:rsid w:val="26551754"/>
    <w:rsid w:val="2671650A"/>
    <w:rsid w:val="267270A9"/>
    <w:rsid w:val="2678382B"/>
    <w:rsid w:val="267B4A41"/>
    <w:rsid w:val="26830430"/>
    <w:rsid w:val="26B02E2F"/>
    <w:rsid w:val="26BB3C91"/>
    <w:rsid w:val="26C6062E"/>
    <w:rsid w:val="26D0702D"/>
    <w:rsid w:val="26E23619"/>
    <w:rsid w:val="26F64CE5"/>
    <w:rsid w:val="26FF6F87"/>
    <w:rsid w:val="27091EC5"/>
    <w:rsid w:val="270B661D"/>
    <w:rsid w:val="27312FD9"/>
    <w:rsid w:val="27343A60"/>
    <w:rsid w:val="27472333"/>
    <w:rsid w:val="2768129A"/>
    <w:rsid w:val="277057A2"/>
    <w:rsid w:val="277A0E4F"/>
    <w:rsid w:val="277B07A1"/>
    <w:rsid w:val="277B1EA4"/>
    <w:rsid w:val="2784659A"/>
    <w:rsid w:val="27921BA8"/>
    <w:rsid w:val="27BB1A8B"/>
    <w:rsid w:val="27BC5F2F"/>
    <w:rsid w:val="27E54AE3"/>
    <w:rsid w:val="27FF492C"/>
    <w:rsid w:val="281C077C"/>
    <w:rsid w:val="28A45D52"/>
    <w:rsid w:val="28A83AC0"/>
    <w:rsid w:val="28DC648B"/>
    <w:rsid w:val="28EC2844"/>
    <w:rsid w:val="28F72945"/>
    <w:rsid w:val="28F73C2B"/>
    <w:rsid w:val="28FB2A87"/>
    <w:rsid w:val="29051314"/>
    <w:rsid w:val="291D6BE2"/>
    <w:rsid w:val="29206EB8"/>
    <w:rsid w:val="2940049A"/>
    <w:rsid w:val="294E3354"/>
    <w:rsid w:val="29595666"/>
    <w:rsid w:val="295B4BE8"/>
    <w:rsid w:val="29874881"/>
    <w:rsid w:val="298F3DBD"/>
    <w:rsid w:val="299E0B55"/>
    <w:rsid w:val="29B82E24"/>
    <w:rsid w:val="29D11A3A"/>
    <w:rsid w:val="29E06159"/>
    <w:rsid w:val="29E11C7D"/>
    <w:rsid w:val="29E325E0"/>
    <w:rsid w:val="29E928DF"/>
    <w:rsid w:val="29EE0546"/>
    <w:rsid w:val="29FA4AED"/>
    <w:rsid w:val="2A167FFE"/>
    <w:rsid w:val="2A1A5F20"/>
    <w:rsid w:val="2A3176C5"/>
    <w:rsid w:val="2A452503"/>
    <w:rsid w:val="2A5749D8"/>
    <w:rsid w:val="2A600C13"/>
    <w:rsid w:val="2A6173A1"/>
    <w:rsid w:val="2A7D1DE5"/>
    <w:rsid w:val="2A811076"/>
    <w:rsid w:val="2A8F64A0"/>
    <w:rsid w:val="2AAB580F"/>
    <w:rsid w:val="2AC24382"/>
    <w:rsid w:val="2ADE7F6A"/>
    <w:rsid w:val="2AE62171"/>
    <w:rsid w:val="2AE710C1"/>
    <w:rsid w:val="2AEC499C"/>
    <w:rsid w:val="2AF3387C"/>
    <w:rsid w:val="2AF35516"/>
    <w:rsid w:val="2B04391F"/>
    <w:rsid w:val="2B136138"/>
    <w:rsid w:val="2B305A68"/>
    <w:rsid w:val="2B342280"/>
    <w:rsid w:val="2B345DDC"/>
    <w:rsid w:val="2B4C3DC1"/>
    <w:rsid w:val="2B644668"/>
    <w:rsid w:val="2B7938DE"/>
    <w:rsid w:val="2B795EE5"/>
    <w:rsid w:val="2B9054BC"/>
    <w:rsid w:val="2BA705F6"/>
    <w:rsid w:val="2BA936A8"/>
    <w:rsid w:val="2BBB64FD"/>
    <w:rsid w:val="2C0931CD"/>
    <w:rsid w:val="2C0F5CC8"/>
    <w:rsid w:val="2C111E79"/>
    <w:rsid w:val="2C1A3467"/>
    <w:rsid w:val="2C2417F8"/>
    <w:rsid w:val="2C27277D"/>
    <w:rsid w:val="2C315A5A"/>
    <w:rsid w:val="2C3D4920"/>
    <w:rsid w:val="2C414C55"/>
    <w:rsid w:val="2C41535E"/>
    <w:rsid w:val="2C4B1C25"/>
    <w:rsid w:val="2C4D1EF5"/>
    <w:rsid w:val="2C673566"/>
    <w:rsid w:val="2C8D59A4"/>
    <w:rsid w:val="2C9635CA"/>
    <w:rsid w:val="2C983D35"/>
    <w:rsid w:val="2C99575D"/>
    <w:rsid w:val="2CAF20CB"/>
    <w:rsid w:val="2CBC077F"/>
    <w:rsid w:val="2CC74884"/>
    <w:rsid w:val="2CD64E9F"/>
    <w:rsid w:val="2CDE44AA"/>
    <w:rsid w:val="2CF27CFD"/>
    <w:rsid w:val="2CF473B1"/>
    <w:rsid w:val="2D0F4C79"/>
    <w:rsid w:val="2D2725AF"/>
    <w:rsid w:val="2D2A11A3"/>
    <w:rsid w:val="2D376058"/>
    <w:rsid w:val="2D485E27"/>
    <w:rsid w:val="2D4E3864"/>
    <w:rsid w:val="2D546C0A"/>
    <w:rsid w:val="2D636E4D"/>
    <w:rsid w:val="2D9E56F5"/>
    <w:rsid w:val="2DC82312"/>
    <w:rsid w:val="2DCD58F0"/>
    <w:rsid w:val="2DF43FF2"/>
    <w:rsid w:val="2DF56335"/>
    <w:rsid w:val="2E296A4A"/>
    <w:rsid w:val="2E2A34C6"/>
    <w:rsid w:val="2E3A0EE3"/>
    <w:rsid w:val="2E5856A4"/>
    <w:rsid w:val="2E5B5316"/>
    <w:rsid w:val="2E65302C"/>
    <w:rsid w:val="2E667F96"/>
    <w:rsid w:val="2E6F4365"/>
    <w:rsid w:val="2E7436F1"/>
    <w:rsid w:val="2E775838"/>
    <w:rsid w:val="2E8226AB"/>
    <w:rsid w:val="2E871D01"/>
    <w:rsid w:val="2E8C7362"/>
    <w:rsid w:val="2E905A1F"/>
    <w:rsid w:val="2E932876"/>
    <w:rsid w:val="2E9D3186"/>
    <w:rsid w:val="2EA06F96"/>
    <w:rsid w:val="2EA51EC2"/>
    <w:rsid w:val="2F417517"/>
    <w:rsid w:val="2F475957"/>
    <w:rsid w:val="2F6724F9"/>
    <w:rsid w:val="2F6F1AD9"/>
    <w:rsid w:val="2F7D2448"/>
    <w:rsid w:val="2F841681"/>
    <w:rsid w:val="2F911A4F"/>
    <w:rsid w:val="2FD065E6"/>
    <w:rsid w:val="2FD95079"/>
    <w:rsid w:val="2FD96870"/>
    <w:rsid w:val="2FEA73B1"/>
    <w:rsid w:val="2FEE50B1"/>
    <w:rsid w:val="2FF12AC8"/>
    <w:rsid w:val="2FFE78CA"/>
    <w:rsid w:val="30161F54"/>
    <w:rsid w:val="30580BC9"/>
    <w:rsid w:val="305A4537"/>
    <w:rsid w:val="305F666A"/>
    <w:rsid w:val="30705535"/>
    <w:rsid w:val="30837B23"/>
    <w:rsid w:val="30871DAD"/>
    <w:rsid w:val="30876C34"/>
    <w:rsid w:val="308F6301"/>
    <w:rsid w:val="309410C2"/>
    <w:rsid w:val="30DD6F16"/>
    <w:rsid w:val="30E40BB4"/>
    <w:rsid w:val="311E2ED7"/>
    <w:rsid w:val="31230DCD"/>
    <w:rsid w:val="312A63C1"/>
    <w:rsid w:val="313B17DF"/>
    <w:rsid w:val="313F4FAA"/>
    <w:rsid w:val="31445AD6"/>
    <w:rsid w:val="314E0AC9"/>
    <w:rsid w:val="315619EE"/>
    <w:rsid w:val="315A4008"/>
    <w:rsid w:val="315B0065"/>
    <w:rsid w:val="315C449C"/>
    <w:rsid w:val="315C5288"/>
    <w:rsid w:val="315E0690"/>
    <w:rsid w:val="316A07AA"/>
    <w:rsid w:val="316B4522"/>
    <w:rsid w:val="31A50E59"/>
    <w:rsid w:val="31B54A1D"/>
    <w:rsid w:val="31B82709"/>
    <w:rsid w:val="31B955E7"/>
    <w:rsid w:val="31BF4BBD"/>
    <w:rsid w:val="31C20241"/>
    <w:rsid w:val="31D05482"/>
    <w:rsid w:val="31DB7FCE"/>
    <w:rsid w:val="31E16255"/>
    <w:rsid w:val="31E72C6D"/>
    <w:rsid w:val="31EA3BF2"/>
    <w:rsid w:val="320377B7"/>
    <w:rsid w:val="320F2B2D"/>
    <w:rsid w:val="321118B3"/>
    <w:rsid w:val="323668DE"/>
    <w:rsid w:val="32400B34"/>
    <w:rsid w:val="32460A89"/>
    <w:rsid w:val="324E0756"/>
    <w:rsid w:val="32506E1A"/>
    <w:rsid w:val="329E6876"/>
    <w:rsid w:val="32A468A4"/>
    <w:rsid w:val="32AB4532"/>
    <w:rsid w:val="32C20171"/>
    <w:rsid w:val="32C60A07"/>
    <w:rsid w:val="32CA6AE3"/>
    <w:rsid w:val="32E72810"/>
    <w:rsid w:val="32E97DF4"/>
    <w:rsid w:val="32EA1597"/>
    <w:rsid w:val="32EC6C74"/>
    <w:rsid w:val="32F41B78"/>
    <w:rsid w:val="33067842"/>
    <w:rsid w:val="33090CF2"/>
    <w:rsid w:val="330D3AE3"/>
    <w:rsid w:val="330E1609"/>
    <w:rsid w:val="33133734"/>
    <w:rsid w:val="331B2F73"/>
    <w:rsid w:val="33236873"/>
    <w:rsid w:val="333015F2"/>
    <w:rsid w:val="33327797"/>
    <w:rsid w:val="333B4ADD"/>
    <w:rsid w:val="334B6320"/>
    <w:rsid w:val="335D3AD4"/>
    <w:rsid w:val="33634D15"/>
    <w:rsid w:val="336765E2"/>
    <w:rsid w:val="33843993"/>
    <w:rsid w:val="338B2904"/>
    <w:rsid w:val="33A154C2"/>
    <w:rsid w:val="33BF1ED6"/>
    <w:rsid w:val="33C24A6B"/>
    <w:rsid w:val="33CF6FEA"/>
    <w:rsid w:val="33D934D4"/>
    <w:rsid w:val="33EC194A"/>
    <w:rsid w:val="33F94067"/>
    <w:rsid w:val="33FE2F6A"/>
    <w:rsid w:val="34041AAA"/>
    <w:rsid w:val="340E07E5"/>
    <w:rsid w:val="34235BF7"/>
    <w:rsid w:val="34270BD4"/>
    <w:rsid w:val="342D02EB"/>
    <w:rsid w:val="343018AE"/>
    <w:rsid w:val="34313801"/>
    <w:rsid w:val="34591F09"/>
    <w:rsid w:val="34802932"/>
    <w:rsid w:val="348E2A01"/>
    <w:rsid w:val="349802E4"/>
    <w:rsid w:val="34A118FF"/>
    <w:rsid w:val="34B44085"/>
    <w:rsid w:val="34B9050D"/>
    <w:rsid w:val="34BF0701"/>
    <w:rsid w:val="35103416"/>
    <w:rsid w:val="351849C1"/>
    <w:rsid w:val="352246B9"/>
    <w:rsid w:val="3532088C"/>
    <w:rsid w:val="35322648"/>
    <w:rsid w:val="353436DA"/>
    <w:rsid w:val="356D12B5"/>
    <w:rsid w:val="358675F0"/>
    <w:rsid w:val="358C5FA8"/>
    <w:rsid w:val="359C6892"/>
    <w:rsid w:val="35C07A3B"/>
    <w:rsid w:val="35C15DF1"/>
    <w:rsid w:val="36074A7F"/>
    <w:rsid w:val="36167D43"/>
    <w:rsid w:val="362130D5"/>
    <w:rsid w:val="3626310D"/>
    <w:rsid w:val="363403D8"/>
    <w:rsid w:val="36381C83"/>
    <w:rsid w:val="365537B1"/>
    <w:rsid w:val="366B3644"/>
    <w:rsid w:val="36714388"/>
    <w:rsid w:val="36923549"/>
    <w:rsid w:val="3698771E"/>
    <w:rsid w:val="36B75FBF"/>
    <w:rsid w:val="36BD0C45"/>
    <w:rsid w:val="36BD312A"/>
    <w:rsid w:val="36CA3770"/>
    <w:rsid w:val="36CE59FA"/>
    <w:rsid w:val="36E71228"/>
    <w:rsid w:val="36F36FB0"/>
    <w:rsid w:val="371E0C7C"/>
    <w:rsid w:val="372907BF"/>
    <w:rsid w:val="37343AB4"/>
    <w:rsid w:val="37356BDB"/>
    <w:rsid w:val="37416C2F"/>
    <w:rsid w:val="375505F7"/>
    <w:rsid w:val="3763390A"/>
    <w:rsid w:val="3764396F"/>
    <w:rsid w:val="37973746"/>
    <w:rsid w:val="37B00EE0"/>
    <w:rsid w:val="37CE1367"/>
    <w:rsid w:val="37E00298"/>
    <w:rsid w:val="37F02C0D"/>
    <w:rsid w:val="37F66761"/>
    <w:rsid w:val="381E081F"/>
    <w:rsid w:val="38337C53"/>
    <w:rsid w:val="383B234D"/>
    <w:rsid w:val="38530451"/>
    <w:rsid w:val="38812774"/>
    <w:rsid w:val="38957CFC"/>
    <w:rsid w:val="389D1465"/>
    <w:rsid w:val="389F78EA"/>
    <w:rsid w:val="38B302F9"/>
    <w:rsid w:val="38CA53B1"/>
    <w:rsid w:val="38E03C45"/>
    <w:rsid w:val="38E4489E"/>
    <w:rsid w:val="38F117B0"/>
    <w:rsid w:val="38F12CD3"/>
    <w:rsid w:val="38F94775"/>
    <w:rsid w:val="390C597A"/>
    <w:rsid w:val="390F1C37"/>
    <w:rsid w:val="39202096"/>
    <w:rsid w:val="392971ED"/>
    <w:rsid w:val="392A015A"/>
    <w:rsid w:val="39325651"/>
    <w:rsid w:val="396B62C2"/>
    <w:rsid w:val="39755F3E"/>
    <w:rsid w:val="397A17A6"/>
    <w:rsid w:val="398E6420"/>
    <w:rsid w:val="39A647E2"/>
    <w:rsid w:val="39B61AE2"/>
    <w:rsid w:val="39D2513E"/>
    <w:rsid w:val="3A1741DD"/>
    <w:rsid w:val="3A2434F2"/>
    <w:rsid w:val="3A585F37"/>
    <w:rsid w:val="3A6F1439"/>
    <w:rsid w:val="3A825A8A"/>
    <w:rsid w:val="3A872856"/>
    <w:rsid w:val="3A95732C"/>
    <w:rsid w:val="3A963548"/>
    <w:rsid w:val="3A987C2E"/>
    <w:rsid w:val="3AB24F6F"/>
    <w:rsid w:val="3AB94550"/>
    <w:rsid w:val="3ABD482B"/>
    <w:rsid w:val="3AC22B0F"/>
    <w:rsid w:val="3AD65514"/>
    <w:rsid w:val="3ADD40FA"/>
    <w:rsid w:val="3AE82F46"/>
    <w:rsid w:val="3AEA4709"/>
    <w:rsid w:val="3B027CA5"/>
    <w:rsid w:val="3B15087C"/>
    <w:rsid w:val="3B2A61EB"/>
    <w:rsid w:val="3B2C5D5D"/>
    <w:rsid w:val="3B366832"/>
    <w:rsid w:val="3B3763D1"/>
    <w:rsid w:val="3B5073DC"/>
    <w:rsid w:val="3B533783"/>
    <w:rsid w:val="3B557A7B"/>
    <w:rsid w:val="3B6359DF"/>
    <w:rsid w:val="3B661580"/>
    <w:rsid w:val="3B7663F4"/>
    <w:rsid w:val="3B89083B"/>
    <w:rsid w:val="3B8F4B46"/>
    <w:rsid w:val="3B9C3FD8"/>
    <w:rsid w:val="3BB15367"/>
    <w:rsid w:val="3BD217B0"/>
    <w:rsid w:val="3BE63CCF"/>
    <w:rsid w:val="3BF10464"/>
    <w:rsid w:val="3C065C06"/>
    <w:rsid w:val="3C1001A0"/>
    <w:rsid w:val="3C2F6E1E"/>
    <w:rsid w:val="3C401637"/>
    <w:rsid w:val="3C435CF6"/>
    <w:rsid w:val="3C4F64BA"/>
    <w:rsid w:val="3C5A3F76"/>
    <w:rsid w:val="3C722C08"/>
    <w:rsid w:val="3C88242C"/>
    <w:rsid w:val="3CAD511A"/>
    <w:rsid w:val="3CDA245A"/>
    <w:rsid w:val="3CDE029E"/>
    <w:rsid w:val="3CED5F04"/>
    <w:rsid w:val="3CFC071D"/>
    <w:rsid w:val="3D1E06B7"/>
    <w:rsid w:val="3D5F318D"/>
    <w:rsid w:val="3D677DCC"/>
    <w:rsid w:val="3DAC3EF8"/>
    <w:rsid w:val="3DB50FFF"/>
    <w:rsid w:val="3DBF33B1"/>
    <w:rsid w:val="3DCA0AD6"/>
    <w:rsid w:val="3DCC6A35"/>
    <w:rsid w:val="3DE03BA2"/>
    <w:rsid w:val="3E004AC7"/>
    <w:rsid w:val="3E1D4077"/>
    <w:rsid w:val="3E1F7407"/>
    <w:rsid w:val="3E572F58"/>
    <w:rsid w:val="3E6B3E4A"/>
    <w:rsid w:val="3E75253C"/>
    <w:rsid w:val="3E762CC4"/>
    <w:rsid w:val="3E855C22"/>
    <w:rsid w:val="3EB3456B"/>
    <w:rsid w:val="3EBC7CA4"/>
    <w:rsid w:val="3EDA0523"/>
    <w:rsid w:val="3F0044FB"/>
    <w:rsid w:val="3F225EA4"/>
    <w:rsid w:val="3F29070F"/>
    <w:rsid w:val="3F2C3542"/>
    <w:rsid w:val="3F424E33"/>
    <w:rsid w:val="3F516B05"/>
    <w:rsid w:val="3F5F3DDE"/>
    <w:rsid w:val="3F8B3C55"/>
    <w:rsid w:val="3F9539B0"/>
    <w:rsid w:val="3FC624D0"/>
    <w:rsid w:val="3FC90D31"/>
    <w:rsid w:val="3FE00B94"/>
    <w:rsid w:val="40063D93"/>
    <w:rsid w:val="400D3374"/>
    <w:rsid w:val="40117393"/>
    <w:rsid w:val="402C3DD7"/>
    <w:rsid w:val="403321CE"/>
    <w:rsid w:val="404A784A"/>
    <w:rsid w:val="405535BA"/>
    <w:rsid w:val="405D597D"/>
    <w:rsid w:val="407A6407"/>
    <w:rsid w:val="407C6ACC"/>
    <w:rsid w:val="407D4AC1"/>
    <w:rsid w:val="4081341A"/>
    <w:rsid w:val="409B67FC"/>
    <w:rsid w:val="40AC3676"/>
    <w:rsid w:val="40C617F2"/>
    <w:rsid w:val="40DD508F"/>
    <w:rsid w:val="40E057C7"/>
    <w:rsid w:val="40E25615"/>
    <w:rsid w:val="40F24318"/>
    <w:rsid w:val="411F7EE8"/>
    <w:rsid w:val="41205969"/>
    <w:rsid w:val="41230975"/>
    <w:rsid w:val="41270465"/>
    <w:rsid w:val="413476B4"/>
    <w:rsid w:val="41384420"/>
    <w:rsid w:val="41391D74"/>
    <w:rsid w:val="41405083"/>
    <w:rsid w:val="41407604"/>
    <w:rsid w:val="414E5C77"/>
    <w:rsid w:val="41527CEC"/>
    <w:rsid w:val="415870C9"/>
    <w:rsid w:val="41766CF7"/>
    <w:rsid w:val="41A86B47"/>
    <w:rsid w:val="41DE650C"/>
    <w:rsid w:val="41EA1493"/>
    <w:rsid w:val="41F53BB4"/>
    <w:rsid w:val="41F86C86"/>
    <w:rsid w:val="41FA784B"/>
    <w:rsid w:val="41FC07CF"/>
    <w:rsid w:val="41FF2747"/>
    <w:rsid w:val="4200449D"/>
    <w:rsid w:val="420C1409"/>
    <w:rsid w:val="42162D73"/>
    <w:rsid w:val="42332E3A"/>
    <w:rsid w:val="423A3BCC"/>
    <w:rsid w:val="42455BAB"/>
    <w:rsid w:val="424E57D2"/>
    <w:rsid w:val="4252155E"/>
    <w:rsid w:val="42555DEB"/>
    <w:rsid w:val="42644DA1"/>
    <w:rsid w:val="426F0BBC"/>
    <w:rsid w:val="42776DA7"/>
    <w:rsid w:val="42786A9F"/>
    <w:rsid w:val="42B26C49"/>
    <w:rsid w:val="42F500EF"/>
    <w:rsid w:val="430A3B9B"/>
    <w:rsid w:val="43122A4F"/>
    <w:rsid w:val="431B0057"/>
    <w:rsid w:val="4320516C"/>
    <w:rsid w:val="433A6FE6"/>
    <w:rsid w:val="4346348F"/>
    <w:rsid w:val="43480868"/>
    <w:rsid w:val="4350713C"/>
    <w:rsid w:val="43593956"/>
    <w:rsid w:val="435C13ED"/>
    <w:rsid w:val="436653E0"/>
    <w:rsid w:val="438E24DF"/>
    <w:rsid w:val="439353EE"/>
    <w:rsid w:val="43954ADB"/>
    <w:rsid w:val="43996CCD"/>
    <w:rsid w:val="43A7408E"/>
    <w:rsid w:val="43A800ED"/>
    <w:rsid w:val="43AA4ECA"/>
    <w:rsid w:val="43AF029E"/>
    <w:rsid w:val="43AF13F7"/>
    <w:rsid w:val="43BB30E7"/>
    <w:rsid w:val="43C4431A"/>
    <w:rsid w:val="43D50347"/>
    <w:rsid w:val="43D53F20"/>
    <w:rsid w:val="43FD36FF"/>
    <w:rsid w:val="440B273C"/>
    <w:rsid w:val="44354C16"/>
    <w:rsid w:val="44557097"/>
    <w:rsid w:val="445C221E"/>
    <w:rsid w:val="44704392"/>
    <w:rsid w:val="44724C8C"/>
    <w:rsid w:val="448801BF"/>
    <w:rsid w:val="44963826"/>
    <w:rsid w:val="44B951CC"/>
    <w:rsid w:val="44BD0353"/>
    <w:rsid w:val="44CD14E0"/>
    <w:rsid w:val="44D514E6"/>
    <w:rsid w:val="44D65A78"/>
    <w:rsid w:val="44EC561F"/>
    <w:rsid w:val="44ED16B1"/>
    <w:rsid w:val="44F20B0B"/>
    <w:rsid w:val="450F386A"/>
    <w:rsid w:val="45154265"/>
    <w:rsid w:val="452C3E8A"/>
    <w:rsid w:val="452E5F4C"/>
    <w:rsid w:val="454D3BBD"/>
    <w:rsid w:val="45531203"/>
    <w:rsid w:val="455A53D0"/>
    <w:rsid w:val="45612018"/>
    <w:rsid w:val="457277D5"/>
    <w:rsid w:val="457F1EF2"/>
    <w:rsid w:val="458946E9"/>
    <w:rsid w:val="45A47C0E"/>
    <w:rsid w:val="45A63B54"/>
    <w:rsid w:val="45CA13BF"/>
    <w:rsid w:val="45CC5137"/>
    <w:rsid w:val="45CF4B8D"/>
    <w:rsid w:val="45D668A1"/>
    <w:rsid w:val="45F64FB0"/>
    <w:rsid w:val="45F97A71"/>
    <w:rsid w:val="46097E70"/>
    <w:rsid w:val="46190610"/>
    <w:rsid w:val="46267925"/>
    <w:rsid w:val="464858DB"/>
    <w:rsid w:val="46577FD6"/>
    <w:rsid w:val="465B3794"/>
    <w:rsid w:val="467D3E56"/>
    <w:rsid w:val="46A26A54"/>
    <w:rsid w:val="46C93D6D"/>
    <w:rsid w:val="46D955A7"/>
    <w:rsid w:val="46DE6303"/>
    <w:rsid w:val="46F25D23"/>
    <w:rsid w:val="46F34AA6"/>
    <w:rsid w:val="47133957"/>
    <w:rsid w:val="472D26D6"/>
    <w:rsid w:val="472D60AA"/>
    <w:rsid w:val="47424F30"/>
    <w:rsid w:val="475606E5"/>
    <w:rsid w:val="477B799F"/>
    <w:rsid w:val="477E5958"/>
    <w:rsid w:val="47900F5E"/>
    <w:rsid w:val="479D620D"/>
    <w:rsid w:val="47A07E0C"/>
    <w:rsid w:val="47A704E7"/>
    <w:rsid w:val="47A918D6"/>
    <w:rsid w:val="47DB57AF"/>
    <w:rsid w:val="47E4620E"/>
    <w:rsid w:val="47F40738"/>
    <w:rsid w:val="48007A58"/>
    <w:rsid w:val="482A25E9"/>
    <w:rsid w:val="482C6361"/>
    <w:rsid w:val="482E032B"/>
    <w:rsid w:val="484D60A0"/>
    <w:rsid w:val="48526A87"/>
    <w:rsid w:val="485B1D80"/>
    <w:rsid w:val="4870272E"/>
    <w:rsid w:val="487675DC"/>
    <w:rsid w:val="48A04659"/>
    <w:rsid w:val="48B5599E"/>
    <w:rsid w:val="48BA396D"/>
    <w:rsid w:val="48BC3F97"/>
    <w:rsid w:val="48BF71D5"/>
    <w:rsid w:val="48C43A71"/>
    <w:rsid w:val="490C246A"/>
    <w:rsid w:val="4910286C"/>
    <w:rsid w:val="491D5404"/>
    <w:rsid w:val="49267254"/>
    <w:rsid w:val="493E459E"/>
    <w:rsid w:val="494D4F4F"/>
    <w:rsid w:val="49555444"/>
    <w:rsid w:val="49633EDA"/>
    <w:rsid w:val="49956188"/>
    <w:rsid w:val="49A62143"/>
    <w:rsid w:val="49AB04EC"/>
    <w:rsid w:val="49C66341"/>
    <w:rsid w:val="49D00F6E"/>
    <w:rsid w:val="49DC7715"/>
    <w:rsid w:val="49F36816"/>
    <w:rsid w:val="4A023139"/>
    <w:rsid w:val="4A041E7F"/>
    <w:rsid w:val="4A0C170B"/>
    <w:rsid w:val="4A3B2289"/>
    <w:rsid w:val="4A6E3AAD"/>
    <w:rsid w:val="4A7021F9"/>
    <w:rsid w:val="4A7B576F"/>
    <w:rsid w:val="4A851D59"/>
    <w:rsid w:val="4AA46683"/>
    <w:rsid w:val="4ABA40F8"/>
    <w:rsid w:val="4ABD14F2"/>
    <w:rsid w:val="4AD00765"/>
    <w:rsid w:val="4AE02AE7"/>
    <w:rsid w:val="4AE7444A"/>
    <w:rsid w:val="4AE9287D"/>
    <w:rsid w:val="4AF561A9"/>
    <w:rsid w:val="4AF652E6"/>
    <w:rsid w:val="4B2A25D2"/>
    <w:rsid w:val="4B3317B5"/>
    <w:rsid w:val="4B58121B"/>
    <w:rsid w:val="4B647BC0"/>
    <w:rsid w:val="4B7764DD"/>
    <w:rsid w:val="4B873A84"/>
    <w:rsid w:val="4B9A0228"/>
    <w:rsid w:val="4B9B5A6A"/>
    <w:rsid w:val="4BC6087B"/>
    <w:rsid w:val="4BD94EF1"/>
    <w:rsid w:val="4BF51480"/>
    <w:rsid w:val="4C012BBE"/>
    <w:rsid w:val="4C0A0767"/>
    <w:rsid w:val="4C205E0D"/>
    <w:rsid w:val="4C326C11"/>
    <w:rsid w:val="4C4A0649"/>
    <w:rsid w:val="4C4F250A"/>
    <w:rsid w:val="4C4F472E"/>
    <w:rsid w:val="4C501A44"/>
    <w:rsid w:val="4C574071"/>
    <w:rsid w:val="4C5D7084"/>
    <w:rsid w:val="4C5F67DB"/>
    <w:rsid w:val="4C7E5ECA"/>
    <w:rsid w:val="4C806C7C"/>
    <w:rsid w:val="4C876AA5"/>
    <w:rsid w:val="4C891FD4"/>
    <w:rsid w:val="4C9B1D07"/>
    <w:rsid w:val="4CB12D62"/>
    <w:rsid w:val="4CBA59EE"/>
    <w:rsid w:val="4CC4300C"/>
    <w:rsid w:val="4CD62D3F"/>
    <w:rsid w:val="4CD76ADB"/>
    <w:rsid w:val="4CE51F37"/>
    <w:rsid w:val="4CEA2FF8"/>
    <w:rsid w:val="4CF77C53"/>
    <w:rsid w:val="4D0E00FB"/>
    <w:rsid w:val="4D176606"/>
    <w:rsid w:val="4D1D44CA"/>
    <w:rsid w:val="4D2C295F"/>
    <w:rsid w:val="4D302450"/>
    <w:rsid w:val="4D362C4A"/>
    <w:rsid w:val="4D4D31C6"/>
    <w:rsid w:val="4D7B2CEB"/>
    <w:rsid w:val="4D901140"/>
    <w:rsid w:val="4DC45D61"/>
    <w:rsid w:val="4DCB0F30"/>
    <w:rsid w:val="4DDC6134"/>
    <w:rsid w:val="4DEC4FB0"/>
    <w:rsid w:val="4E075D8A"/>
    <w:rsid w:val="4E096817"/>
    <w:rsid w:val="4E281379"/>
    <w:rsid w:val="4E3466A4"/>
    <w:rsid w:val="4E4117DC"/>
    <w:rsid w:val="4E4B06CB"/>
    <w:rsid w:val="4E501F6D"/>
    <w:rsid w:val="4E553DD5"/>
    <w:rsid w:val="4E81775A"/>
    <w:rsid w:val="4EAA72A2"/>
    <w:rsid w:val="4EB270FD"/>
    <w:rsid w:val="4EB6309E"/>
    <w:rsid w:val="4EC00FAD"/>
    <w:rsid w:val="4EC25023"/>
    <w:rsid w:val="4EE6167D"/>
    <w:rsid w:val="4EF946C9"/>
    <w:rsid w:val="4F362701"/>
    <w:rsid w:val="4F37303C"/>
    <w:rsid w:val="4F3D6422"/>
    <w:rsid w:val="4F5819BC"/>
    <w:rsid w:val="4F5D1942"/>
    <w:rsid w:val="4F650879"/>
    <w:rsid w:val="4F721912"/>
    <w:rsid w:val="4F7A4D25"/>
    <w:rsid w:val="4F9843DC"/>
    <w:rsid w:val="4F9A0054"/>
    <w:rsid w:val="4FA829A2"/>
    <w:rsid w:val="4FA904C1"/>
    <w:rsid w:val="4FC62A8C"/>
    <w:rsid w:val="4FCC21D8"/>
    <w:rsid w:val="4FCE73FC"/>
    <w:rsid w:val="4FD174F3"/>
    <w:rsid w:val="4FE20F0D"/>
    <w:rsid w:val="4FE51552"/>
    <w:rsid w:val="4FF45C38"/>
    <w:rsid w:val="4FFE214A"/>
    <w:rsid w:val="4FFE3A91"/>
    <w:rsid w:val="50057AD7"/>
    <w:rsid w:val="50412BC6"/>
    <w:rsid w:val="504C214F"/>
    <w:rsid w:val="50504C4B"/>
    <w:rsid w:val="50594024"/>
    <w:rsid w:val="506875FB"/>
    <w:rsid w:val="506A211C"/>
    <w:rsid w:val="5087335B"/>
    <w:rsid w:val="508F42A7"/>
    <w:rsid w:val="509C6E7C"/>
    <w:rsid w:val="50AA5B3D"/>
    <w:rsid w:val="50CC3A9C"/>
    <w:rsid w:val="50DF4CBB"/>
    <w:rsid w:val="51151106"/>
    <w:rsid w:val="514A166F"/>
    <w:rsid w:val="515802E8"/>
    <w:rsid w:val="5162104E"/>
    <w:rsid w:val="51703763"/>
    <w:rsid w:val="517B3EB5"/>
    <w:rsid w:val="5186330B"/>
    <w:rsid w:val="519558FA"/>
    <w:rsid w:val="51A053AF"/>
    <w:rsid w:val="51A258E6"/>
    <w:rsid w:val="51B55A18"/>
    <w:rsid w:val="51DD22DD"/>
    <w:rsid w:val="51E50890"/>
    <w:rsid w:val="51F46D81"/>
    <w:rsid w:val="52270796"/>
    <w:rsid w:val="52293911"/>
    <w:rsid w:val="52415BBE"/>
    <w:rsid w:val="52432C25"/>
    <w:rsid w:val="52547B28"/>
    <w:rsid w:val="525C3CE7"/>
    <w:rsid w:val="52603EB2"/>
    <w:rsid w:val="5261633D"/>
    <w:rsid w:val="527954B8"/>
    <w:rsid w:val="52825B1B"/>
    <w:rsid w:val="52860DF1"/>
    <w:rsid w:val="528A0EBE"/>
    <w:rsid w:val="529F2D70"/>
    <w:rsid w:val="52B74C59"/>
    <w:rsid w:val="52BF099D"/>
    <w:rsid w:val="52C75604"/>
    <w:rsid w:val="52E15705"/>
    <w:rsid w:val="52E72E92"/>
    <w:rsid w:val="52FC01A9"/>
    <w:rsid w:val="53096A38"/>
    <w:rsid w:val="5314514A"/>
    <w:rsid w:val="53244EF5"/>
    <w:rsid w:val="5325232B"/>
    <w:rsid w:val="533F1322"/>
    <w:rsid w:val="5342544B"/>
    <w:rsid w:val="53425821"/>
    <w:rsid w:val="537304F7"/>
    <w:rsid w:val="53785C45"/>
    <w:rsid w:val="538E7ED0"/>
    <w:rsid w:val="538F5000"/>
    <w:rsid w:val="539F20DD"/>
    <w:rsid w:val="53A039CC"/>
    <w:rsid w:val="53A05E55"/>
    <w:rsid w:val="53A07C03"/>
    <w:rsid w:val="53A1505A"/>
    <w:rsid w:val="53B953E8"/>
    <w:rsid w:val="53CA4C80"/>
    <w:rsid w:val="53D8114B"/>
    <w:rsid w:val="53DA3B21"/>
    <w:rsid w:val="54063E08"/>
    <w:rsid w:val="540B7771"/>
    <w:rsid w:val="54142E84"/>
    <w:rsid w:val="543437E8"/>
    <w:rsid w:val="54440BD0"/>
    <w:rsid w:val="54444337"/>
    <w:rsid w:val="54471B54"/>
    <w:rsid w:val="54752E3E"/>
    <w:rsid w:val="54A454D1"/>
    <w:rsid w:val="54B43690"/>
    <w:rsid w:val="54E2614F"/>
    <w:rsid w:val="54ED346E"/>
    <w:rsid w:val="54F73313"/>
    <w:rsid w:val="54F80955"/>
    <w:rsid w:val="555170A7"/>
    <w:rsid w:val="55521C86"/>
    <w:rsid w:val="555730AF"/>
    <w:rsid w:val="55621614"/>
    <w:rsid w:val="55693D64"/>
    <w:rsid w:val="55723134"/>
    <w:rsid w:val="558127D5"/>
    <w:rsid w:val="5587536D"/>
    <w:rsid w:val="55932B66"/>
    <w:rsid w:val="559B174B"/>
    <w:rsid w:val="55BD3ECC"/>
    <w:rsid w:val="55C754C8"/>
    <w:rsid w:val="55CE0CF4"/>
    <w:rsid w:val="55D6747C"/>
    <w:rsid w:val="55E47DD0"/>
    <w:rsid w:val="56021E2A"/>
    <w:rsid w:val="56031AAA"/>
    <w:rsid w:val="560426CB"/>
    <w:rsid w:val="561D553B"/>
    <w:rsid w:val="56244B1C"/>
    <w:rsid w:val="562E599A"/>
    <w:rsid w:val="56436E04"/>
    <w:rsid w:val="564C341A"/>
    <w:rsid w:val="565133A1"/>
    <w:rsid w:val="56541430"/>
    <w:rsid w:val="565E4C06"/>
    <w:rsid w:val="56723AD9"/>
    <w:rsid w:val="567535C9"/>
    <w:rsid w:val="56772620"/>
    <w:rsid w:val="567A298E"/>
    <w:rsid w:val="567F3D92"/>
    <w:rsid w:val="56890E23"/>
    <w:rsid w:val="568D446F"/>
    <w:rsid w:val="568E6439"/>
    <w:rsid w:val="569047C4"/>
    <w:rsid w:val="56A97485"/>
    <w:rsid w:val="56B22A9C"/>
    <w:rsid w:val="56C00F63"/>
    <w:rsid w:val="56C03E82"/>
    <w:rsid w:val="56ED63E3"/>
    <w:rsid w:val="56F34C36"/>
    <w:rsid w:val="56F7363C"/>
    <w:rsid w:val="56FA762A"/>
    <w:rsid w:val="572B0613"/>
    <w:rsid w:val="57316C99"/>
    <w:rsid w:val="57524DE2"/>
    <w:rsid w:val="575E2BD8"/>
    <w:rsid w:val="57701C96"/>
    <w:rsid w:val="57B72A76"/>
    <w:rsid w:val="57C3426C"/>
    <w:rsid w:val="57CE1F93"/>
    <w:rsid w:val="57D165DD"/>
    <w:rsid w:val="57D25AC4"/>
    <w:rsid w:val="57E1595F"/>
    <w:rsid w:val="57E91316"/>
    <w:rsid w:val="57EE28CF"/>
    <w:rsid w:val="58191195"/>
    <w:rsid w:val="581D6D79"/>
    <w:rsid w:val="58313D90"/>
    <w:rsid w:val="58331046"/>
    <w:rsid w:val="58662C2C"/>
    <w:rsid w:val="58842DDF"/>
    <w:rsid w:val="588743D1"/>
    <w:rsid w:val="5887701A"/>
    <w:rsid w:val="58B34C17"/>
    <w:rsid w:val="58D2085F"/>
    <w:rsid w:val="58DF20B1"/>
    <w:rsid w:val="58E10BDE"/>
    <w:rsid w:val="58E12F6B"/>
    <w:rsid w:val="58E74B15"/>
    <w:rsid w:val="59055650"/>
    <w:rsid w:val="590B7824"/>
    <w:rsid w:val="590C0B28"/>
    <w:rsid w:val="592B7F6F"/>
    <w:rsid w:val="593334FA"/>
    <w:rsid w:val="5991283D"/>
    <w:rsid w:val="59A8341F"/>
    <w:rsid w:val="59C0439F"/>
    <w:rsid w:val="59E52A37"/>
    <w:rsid w:val="59FF13B5"/>
    <w:rsid w:val="5A0F3435"/>
    <w:rsid w:val="5A2D38B4"/>
    <w:rsid w:val="5A343384"/>
    <w:rsid w:val="5A36750D"/>
    <w:rsid w:val="5A387B5A"/>
    <w:rsid w:val="5A4717AA"/>
    <w:rsid w:val="5A47502D"/>
    <w:rsid w:val="5A4C14B5"/>
    <w:rsid w:val="5A623E64"/>
    <w:rsid w:val="5A6A781F"/>
    <w:rsid w:val="5A731BCE"/>
    <w:rsid w:val="5AAB75B9"/>
    <w:rsid w:val="5AB6785F"/>
    <w:rsid w:val="5ABE2233"/>
    <w:rsid w:val="5AC16640"/>
    <w:rsid w:val="5AF0321E"/>
    <w:rsid w:val="5B0341B0"/>
    <w:rsid w:val="5B121742"/>
    <w:rsid w:val="5B3B553A"/>
    <w:rsid w:val="5B5639C9"/>
    <w:rsid w:val="5B7200D7"/>
    <w:rsid w:val="5B780819"/>
    <w:rsid w:val="5B793214"/>
    <w:rsid w:val="5B927900"/>
    <w:rsid w:val="5BC00E43"/>
    <w:rsid w:val="5BD04521"/>
    <w:rsid w:val="5BDF5D95"/>
    <w:rsid w:val="5BFE7528"/>
    <w:rsid w:val="5C04299B"/>
    <w:rsid w:val="5C422553"/>
    <w:rsid w:val="5C5B6DBD"/>
    <w:rsid w:val="5C5E240A"/>
    <w:rsid w:val="5C606930"/>
    <w:rsid w:val="5C66635B"/>
    <w:rsid w:val="5C814A76"/>
    <w:rsid w:val="5C8332D2"/>
    <w:rsid w:val="5C9700BF"/>
    <w:rsid w:val="5C9D2F32"/>
    <w:rsid w:val="5CDD5163"/>
    <w:rsid w:val="5CF35AB8"/>
    <w:rsid w:val="5D0900B4"/>
    <w:rsid w:val="5D254161"/>
    <w:rsid w:val="5D261179"/>
    <w:rsid w:val="5D26635F"/>
    <w:rsid w:val="5D3F4D0A"/>
    <w:rsid w:val="5D467459"/>
    <w:rsid w:val="5D6B3030"/>
    <w:rsid w:val="5D6D7DD8"/>
    <w:rsid w:val="5D9B3D9F"/>
    <w:rsid w:val="5DA16A52"/>
    <w:rsid w:val="5DD33505"/>
    <w:rsid w:val="5DD339DD"/>
    <w:rsid w:val="5DE95DEE"/>
    <w:rsid w:val="5DED7470"/>
    <w:rsid w:val="5DEF5A0F"/>
    <w:rsid w:val="5DF009B7"/>
    <w:rsid w:val="5DFF18C5"/>
    <w:rsid w:val="5E002418"/>
    <w:rsid w:val="5E03716A"/>
    <w:rsid w:val="5E1B1848"/>
    <w:rsid w:val="5E2467F1"/>
    <w:rsid w:val="5E2E50AE"/>
    <w:rsid w:val="5E370256"/>
    <w:rsid w:val="5E3A544A"/>
    <w:rsid w:val="5E6D1EF9"/>
    <w:rsid w:val="5E766F86"/>
    <w:rsid w:val="5E895E64"/>
    <w:rsid w:val="5E96694A"/>
    <w:rsid w:val="5EAE37D7"/>
    <w:rsid w:val="5EB601B7"/>
    <w:rsid w:val="5EBA41F7"/>
    <w:rsid w:val="5EBE30B2"/>
    <w:rsid w:val="5ECE6ECF"/>
    <w:rsid w:val="5ECF17F7"/>
    <w:rsid w:val="5EE475B9"/>
    <w:rsid w:val="5EF4412F"/>
    <w:rsid w:val="5F14140D"/>
    <w:rsid w:val="5F1A2B43"/>
    <w:rsid w:val="5F1E649A"/>
    <w:rsid w:val="5F202D31"/>
    <w:rsid w:val="5F24793A"/>
    <w:rsid w:val="5F2913F5"/>
    <w:rsid w:val="5F2F2642"/>
    <w:rsid w:val="5F346293"/>
    <w:rsid w:val="5F427DC1"/>
    <w:rsid w:val="5F615C89"/>
    <w:rsid w:val="5F6C6919"/>
    <w:rsid w:val="5F6D25B1"/>
    <w:rsid w:val="5FA73326"/>
    <w:rsid w:val="5FB837BB"/>
    <w:rsid w:val="5FE94F3E"/>
    <w:rsid w:val="60031C46"/>
    <w:rsid w:val="601D05BB"/>
    <w:rsid w:val="60385CED"/>
    <w:rsid w:val="603E67DA"/>
    <w:rsid w:val="60514655"/>
    <w:rsid w:val="606552A8"/>
    <w:rsid w:val="60730FCA"/>
    <w:rsid w:val="609477D6"/>
    <w:rsid w:val="60A01243"/>
    <w:rsid w:val="60A9328E"/>
    <w:rsid w:val="60AF33AD"/>
    <w:rsid w:val="60B942F9"/>
    <w:rsid w:val="60BE791B"/>
    <w:rsid w:val="60CC405A"/>
    <w:rsid w:val="60CE7B5E"/>
    <w:rsid w:val="60CF14B0"/>
    <w:rsid w:val="60D4713E"/>
    <w:rsid w:val="60F456CC"/>
    <w:rsid w:val="61311789"/>
    <w:rsid w:val="61456FFC"/>
    <w:rsid w:val="61580359"/>
    <w:rsid w:val="615D5386"/>
    <w:rsid w:val="6181128F"/>
    <w:rsid w:val="61851C7D"/>
    <w:rsid w:val="61965C29"/>
    <w:rsid w:val="619B6965"/>
    <w:rsid w:val="61A11716"/>
    <w:rsid w:val="61E215D8"/>
    <w:rsid w:val="62145A44"/>
    <w:rsid w:val="621B3775"/>
    <w:rsid w:val="622639C9"/>
    <w:rsid w:val="62364782"/>
    <w:rsid w:val="623E513D"/>
    <w:rsid w:val="62432241"/>
    <w:rsid w:val="624A76B8"/>
    <w:rsid w:val="62554FB4"/>
    <w:rsid w:val="627C13F6"/>
    <w:rsid w:val="627C183B"/>
    <w:rsid w:val="62960B4F"/>
    <w:rsid w:val="62990B66"/>
    <w:rsid w:val="62B5671C"/>
    <w:rsid w:val="62BB0B4C"/>
    <w:rsid w:val="62C95A86"/>
    <w:rsid w:val="62CF4061"/>
    <w:rsid w:val="63012458"/>
    <w:rsid w:val="63080709"/>
    <w:rsid w:val="63352F7F"/>
    <w:rsid w:val="63421168"/>
    <w:rsid w:val="63456869"/>
    <w:rsid w:val="63477E46"/>
    <w:rsid w:val="635D40AD"/>
    <w:rsid w:val="637644DD"/>
    <w:rsid w:val="63834150"/>
    <w:rsid w:val="6394356A"/>
    <w:rsid w:val="63C61B2C"/>
    <w:rsid w:val="63D40BE9"/>
    <w:rsid w:val="63D66158"/>
    <w:rsid w:val="63E47698"/>
    <w:rsid w:val="63E663F3"/>
    <w:rsid w:val="63F0603D"/>
    <w:rsid w:val="63F5417F"/>
    <w:rsid w:val="6405151E"/>
    <w:rsid w:val="64102431"/>
    <w:rsid w:val="6438618B"/>
    <w:rsid w:val="6459430F"/>
    <w:rsid w:val="64627B00"/>
    <w:rsid w:val="6469619E"/>
    <w:rsid w:val="647107BA"/>
    <w:rsid w:val="64956B1A"/>
    <w:rsid w:val="64A5243A"/>
    <w:rsid w:val="64C4255D"/>
    <w:rsid w:val="64DF5F72"/>
    <w:rsid w:val="64F531DE"/>
    <w:rsid w:val="64F93677"/>
    <w:rsid w:val="651747DA"/>
    <w:rsid w:val="65373578"/>
    <w:rsid w:val="65432B74"/>
    <w:rsid w:val="6549603A"/>
    <w:rsid w:val="6553585B"/>
    <w:rsid w:val="65636151"/>
    <w:rsid w:val="656F47BD"/>
    <w:rsid w:val="65844B9A"/>
    <w:rsid w:val="659C3AAC"/>
    <w:rsid w:val="65A05841"/>
    <w:rsid w:val="65A13A93"/>
    <w:rsid w:val="65AC02DD"/>
    <w:rsid w:val="65AF2EB6"/>
    <w:rsid w:val="65B83C6A"/>
    <w:rsid w:val="65B86A3A"/>
    <w:rsid w:val="65C92FEA"/>
    <w:rsid w:val="65DD7966"/>
    <w:rsid w:val="65FC6F1B"/>
    <w:rsid w:val="660E3162"/>
    <w:rsid w:val="66432D9C"/>
    <w:rsid w:val="66455A41"/>
    <w:rsid w:val="664D59C9"/>
    <w:rsid w:val="66751F24"/>
    <w:rsid w:val="66C14683"/>
    <w:rsid w:val="66C74CE3"/>
    <w:rsid w:val="66C7577B"/>
    <w:rsid w:val="66EF082E"/>
    <w:rsid w:val="66F14F10"/>
    <w:rsid w:val="66FF3BD2"/>
    <w:rsid w:val="670F4D48"/>
    <w:rsid w:val="67112E9A"/>
    <w:rsid w:val="671F124A"/>
    <w:rsid w:val="67210F31"/>
    <w:rsid w:val="673D77EB"/>
    <w:rsid w:val="6747066A"/>
    <w:rsid w:val="676F7BC1"/>
    <w:rsid w:val="6779083A"/>
    <w:rsid w:val="677A33C6"/>
    <w:rsid w:val="677A4984"/>
    <w:rsid w:val="67810071"/>
    <w:rsid w:val="67825B46"/>
    <w:rsid w:val="679434D6"/>
    <w:rsid w:val="679C7788"/>
    <w:rsid w:val="67A71109"/>
    <w:rsid w:val="68025D5C"/>
    <w:rsid w:val="681F6961"/>
    <w:rsid w:val="68610A2F"/>
    <w:rsid w:val="687136DD"/>
    <w:rsid w:val="68805514"/>
    <w:rsid w:val="68831B76"/>
    <w:rsid w:val="68835154"/>
    <w:rsid w:val="6888513E"/>
    <w:rsid w:val="688C5941"/>
    <w:rsid w:val="68906041"/>
    <w:rsid w:val="68B74A5D"/>
    <w:rsid w:val="68D75DBC"/>
    <w:rsid w:val="68D83747"/>
    <w:rsid w:val="68E5013A"/>
    <w:rsid w:val="68EA39A3"/>
    <w:rsid w:val="68EC0C84"/>
    <w:rsid w:val="68F34FC2"/>
    <w:rsid w:val="68F40FB8"/>
    <w:rsid w:val="68F4339F"/>
    <w:rsid w:val="68FD0370"/>
    <w:rsid w:val="690D7691"/>
    <w:rsid w:val="692A1E16"/>
    <w:rsid w:val="69316E2F"/>
    <w:rsid w:val="694B76BF"/>
    <w:rsid w:val="694E2071"/>
    <w:rsid w:val="695C6031"/>
    <w:rsid w:val="696A6892"/>
    <w:rsid w:val="69766163"/>
    <w:rsid w:val="697A3B33"/>
    <w:rsid w:val="698D01CC"/>
    <w:rsid w:val="69A43B52"/>
    <w:rsid w:val="69A83E02"/>
    <w:rsid w:val="69AB74E8"/>
    <w:rsid w:val="69B0699A"/>
    <w:rsid w:val="69BE3F8A"/>
    <w:rsid w:val="69D154E8"/>
    <w:rsid w:val="69D44760"/>
    <w:rsid w:val="69DE7F26"/>
    <w:rsid w:val="69E31640"/>
    <w:rsid w:val="69F67967"/>
    <w:rsid w:val="69FC1BE0"/>
    <w:rsid w:val="6A0E500E"/>
    <w:rsid w:val="6A151116"/>
    <w:rsid w:val="6A152BF7"/>
    <w:rsid w:val="6A170950"/>
    <w:rsid w:val="6A1D56B2"/>
    <w:rsid w:val="6A20645D"/>
    <w:rsid w:val="6A2A3B9F"/>
    <w:rsid w:val="6A3147A8"/>
    <w:rsid w:val="6A465168"/>
    <w:rsid w:val="6A486E3F"/>
    <w:rsid w:val="6A4D0376"/>
    <w:rsid w:val="6A520EC7"/>
    <w:rsid w:val="6A5A4B58"/>
    <w:rsid w:val="6A605D3F"/>
    <w:rsid w:val="6A636C96"/>
    <w:rsid w:val="6A68286D"/>
    <w:rsid w:val="6A6A7C39"/>
    <w:rsid w:val="6A8A28EE"/>
    <w:rsid w:val="6A8E035E"/>
    <w:rsid w:val="6A935974"/>
    <w:rsid w:val="6A9A31A7"/>
    <w:rsid w:val="6AA14535"/>
    <w:rsid w:val="6AA24659"/>
    <w:rsid w:val="6AE501FF"/>
    <w:rsid w:val="6AE97F9D"/>
    <w:rsid w:val="6AF87E20"/>
    <w:rsid w:val="6B125480"/>
    <w:rsid w:val="6B14233D"/>
    <w:rsid w:val="6B1E5B86"/>
    <w:rsid w:val="6B2547D6"/>
    <w:rsid w:val="6B2E2EE7"/>
    <w:rsid w:val="6B322639"/>
    <w:rsid w:val="6B380F8F"/>
    <w:rsid w:val="6B637A3C"/>
    <w:rsid w:val="6B67353F"/>
    <w:rsid w:val="6B7C51E3"/>
    <w:rsid w:val="6B7E6624"/>
    <w:rsid w:val="6B8E585B"/>
    <w:rsid w:val="6B925B11"/>
    <w:rsid w:val="6B967A7B"/>
    <w:rsid w:val="6BCC7390"/>
    <w:rsid w:val="6BD11C59"/>
    <w:rsid w:val="6BF71CC3"/>
    <w:rsid w:val="6C13245D"/>
    <w:rsid w:val="6C197B1D"/>
    <w:rsid w:val="6C2045A1"/>
    <w:rsid w:val="6C333E12"/>
    <w:rsid w:val="6C336F12"/>
    <w:rsid w:val="6C3867D3"/>
    <w:rsid w:val="6C636C38"/>
    <w:rsid w:val="6C6628BD"/>
    <w:rsid w:val="6CA4235D"/>
    <w:rsid w:val="6CB437F5"/>
    <w:rsid w:val="6CBE6744"/>
    <w:rsid w:val="6CC352CB"/>
    <w:rsid w:val="6CCF797C"/>
    <w:rsid w:val="6CD06CF5"/>
    <w:rsid w:val="6CDC1854"/>
    <w:rsid w:val="6D072533"/>
    <w:rsid w:val="6D144001"/>
    <w:rsid w:val="6D1C4347"/>
    <w:rsid w:val="6D205BE5"/>
    <w:rsid w:val="6D3A6542"/>
    <w:rsid w:val="6D4312CD"/>
    <w:rsid w:val="6D454590"/>
    <w:rsid w:val="6D666D6D"/>
    <w:rsid w:val="6D6C2AC5"/>
    <w:rsid w:val="6D6E3416"/>
    <w:rsid w:val="6D70219D"/>
    <w:rsid w:val="6DAC7848"/>
    <w:rsid w:val="6DB34098"/>
    <w:rsid w:val="6DB545B6"/>
    <w:rsid w:val="6DB85E1E"/>
    <w:rsid w:val="6DE02FB4"/>
    <w:rsid w:val="6DE81A7D"/>
    <w:rsid w:val="6DE90B62"/>
    <w:rsid w:val="6DF64B98"/>
    <w:rsid w:val="6E056B89"/>
    <w:rsid w:val="6E0E415A"/>
    <w:rsid w:val="6E1622A5"/>
    <w:rsid w:val="6E2A4841"/>
    <w:rsid w:val="6E514CED"/>
    <w:rsid w:val="6E681094"/>
    <w:rsid w:val="6E70406C"/>
    <w:rsid w:val="6E744B08"/>
    <w:rsid w:val="6E767A03"/>
    <w:rsid w:val="6E957C3D"/>
    <w:rsid w:val="6EB563D5"/>
    <w:rsid w:val="6EB64A32"/>
    <w:rsid w:val="6EC215B8"/>
    <w:rsid w:val="6EC52B6C"/>
    <w:rsid w:val="6EC72B73"/>
    <w:rsid w:val="6EC95542"/>
    <w:rsid w:val="6ED92677"/>
    <w:rsid w:val="6EE32384"/>
    <w:rsid w:val="6EF44517"/>
    <w:rsid w:val="6EFE33AE"/>
    <w:rsid w:val="6F225983"/>
    <w:rsid w:val="6F3A0AB4"/>
    <w:rsid w:val="6F3D41BD"/>
    <w:rsid w:val="6F635E50"/>
    <w:rsid w:val="6F7A1DAF"/>
    <w:rsid w:val="6F80638B"/>
    <w:rsid w:val="6F853E06"/>
    <w:rsid w:val="6F884D8A"/>
    <w:rsid w:val="6F8D109D"/>
    <w:rsid w:val="6F9C351D"/>
    <w:rsid w:val="6F9F49B0"/>
    <w:rsid w:val="6FA50AB7"/>
    <w:rsid w:val="6FA75E74"/>
    <w:rsid w:val="6FA87F64"/>
    <w:rsid w:val="6FA93DF7"/>
    <w:rsid w:val="6FAE71C8"/>
    <w:rsid w:val="6FB03FF6"/>
    <w:rsid w:val="6FB10D76"/>
    <w:rsid w:val="6FC42E50"/>
    <w:rsid w:val="6FDE47F7"/>
    <w:rsid w:val="6FFA321A"/>
    <w:rsid w:val="6FFC5590"/>
    <w:rsid w:val="70001CFE"/>
    <w:rsid w:val="702C664F"/>
    <w:rsid w:val="70344EA3"/>
    <w:rsid w:val="70544933"/>
    <w:rsid w:val="705932E3"/>
    <w:rsid w:val="705C5483"/>
    <w:rsid w:val="705D6067"/>
    <w:rsid w:val="706C362B"/>
    <w:rsid w:val="706D1DD0"/>
    <w:rsid w:val="707570C3"/>
    <w:rsid w:val="70817FC6"/>
    <w:rsid w:val="70856B87"/>
    <w:rsid w:val="709C07D0"/>
    <w:rsid w:val="709D24A0"/>
    <w:rsid w:val="70B05D7B"/>
    <w:rsid w:val="70D527EE"/>
    <w:rsid w:val="70E138DD"/>
    <w:rsid w:val="7105557C"/>
    <w:rsid w:val="71331577"/>
    <w:rsid w:val="71411B5D"/>
    <w:rsid w:val="71413A82"/>
    <w:rsid w:val="715045BF"/>
    <w:rsid w:val="715B5300"/>
    <w:rsid w:val="715D5C0A"/>
    <w:rsid w:val="7161560D"/>
    <w:rsid w:val="71762034"/>
    <w:rsid w:val="717F1642"/>
    <w:rsid w:val="71804EA4"/>
    <w:rsid w:val="71814B45"/>
    <w:rsid w:val="7183737D"/>
    <w:rsid w:val="71840674"/>
    <w:rsid w:val="71A30B93"/>
    <w:rsid w:val="71D27F8A"/>
    <w:rsid w:val="71DA5850"/>
    <w:rsid w:val="71DE3CE7"/>
    <w:rsid w:val="71E116BB"/>
    <w:rsid w:val="72005FE5"/>
    <w:rsid w:val="721F5CC8"/>
    <w:rsid w:val="72255BBF"/>
    <w:rsid w:val="72331F17"/>
    <w:rsid w:val="723942F4"/>
    <w:rsid w:val="72485107"/>
    <w:rsid w:val="72553024"/>
    <w:rsid w:val="726B2544"/>
    <w:rsid w:val="72AA10B4"/>
    <w:rsid w:val="72B2038C"/>
    <w:rsid w:val="72C447AC"/>
    <w:rsid w:val="72C72C5E"/>
    <w:rsid w:val="72C96161"/>
    <w:rsid w:val="72EE408F"/>
    <w:rsid w:val="72FD42D3"/>
    <w:rsid w:val="73122968"/>
    <w:rsid w:val="731A1DE0"/>
    <w:rsid w:val="731D3C1A"/>
    <w:rsid w:val="731D7A66"/>
    <w:rsid w:val="731F5D5E"/>
    <w:rsid w:val="73372F12"/>
    <w:rsid w:val="7340281F"/>
    <w:rsid w:val="73441F01"/>
    <w:rsid w:val="736D4AFF"/>
    <w:rsid w:val="73704370"/>
    <w:rsid w:val="737412C0"/>
    <w:rsid w:val="738A4F1A"/>
    <w:rsid w:val="739C3F3B"/>
    <w:rsid w:val="739F163C"/>
    <w:rsid w:val="73C05A2C"/>
    <w:rsid w:val="73C51AD5"/>
    <w:rsid w:val="73D42BB5"/>
    <w:rsid w:val="73E7423F"/>
    <w:rsid w:val="7412197B"/>
    <w:rsid w:val="74123DAE"/>
    <w:rsid w:val="741E793C"/>
    <w:rsid w:val="74291A01"/>
    <w:rsid w:val="74321B58"/>
    <w:rsid w:val="745919DD"/>
    <w:rsid w:val="745E3944"/>
    <w:rsid w:val="746074FC"/>
    <w:rsid w:val="74634609"/>
    <w:rsid w:val="74642285"/>
    <w:rsid w:val="74681C20"/>
    <w:rsid w:val="74772484"/>
    <w:rsid w:val="74795E28"/>
    <w:rsid w:val="74AD75FB"/>
    <w:rsid w:val="74C85C27"/>
    <w:rsid w:val="74CE4179"/>
    <w:rsid w:val="74D12CB3"/>
    <w:rsid w:val="74D22976"/>
    <w:rsid w:val="74D516B9"/>
    <w:rsid w:val="74E97204"/>
    <w:rsid w:val="74FB51FF"/>
    <w:rsid w:val="75063912"/>
    <w:rsid w:val="754B57C9"/>
    <w:rsid w:val="75504886"/>
    <w:rsid w:val="755521A4"/>
    <w:rsid w:val="75672285"/>
    <w:rsid w:val="757D16FB"/>
    <w:rsid w:val="759625F7"/>
    <w:rsid w:val="759809CB"/>
    <w:rsid w:val="75994910"/>
    <w:rsid w:val="75C13CDD"/>
    <w:rsid w:val="75E21BF7"/>
    <w:rsid w:val="75EB4A85"/>
    <w:rsid w:val="75EF25F8"/>
    <w:rsid w:val="75FB71EF"/>
    <w:rsid w:val="76124539"/>
    <w:rsid w:val="761E0757"/>
    <w:rsid w:val="7635099D"/>
    <w:rsid w:val="76424E1E"/>
    <w:rsid w:val="764A353F"/>
    <w:rsid w:val="764B6682"/>
    <w:rsid w:val="766620C8"/>
    <w:rsid w:val="766F3739"/>
    <w:rsid w:val="76796366"/>
    <w:rsid w:val="767F5B27"/>
    <w:rsid w:val="76984881"/>
    <w:rsid w:val="76985A28"/>
    <w:rsid w:val="769D2054"/>
    <w:rsid w:val="76B35885"/>
    <w:rsid w:val="76B72ED4"/>
    <w:rsid w:val="76C9109B"/>
    <w:rsid w:val="76E245B1"/>
    <w:rsid w:val="76EB4627"/>
    <w:rsid w:val="76F30DCE"/>
    <w:rsid w:val="76FB6D7B"/>
    <w:rsid w:val="77031E60"/>
    <w:rsid w:val="771D3195"/>
    <w:rsid w:val="77362A0D"/>
    <w:rsid w:val="773D41CF"/>
    <w:rsid w:val="77416E84"/>
    <w:rsid w:val="77420E4E"/>
    <w:rsid w:val="774B568B"/>
    <w:rsid w:val="774C6009"/>
    <w:rsid w:val="776F54E5"/>
    <w:rsid w:val="7776058C"/>
    <w:rsid w:val="77762421"/>
    <w:rsid w:val="777973BA"/>
    <w:rsid w:val="777E1618"/>
    <w:rsid w:val="77B358A8"/>
    <w:rsid w:val="77B56B1F"/>
    <w:rsid w:val="77C82E25"/>
    <w:rsid w:val="77E42641"/>
    <w:rsid w:val="77E71047"/>
    <w:rsid w:val="77FF2E6B"/>
    <w:rsid w:val="78010B61"/>
    <w:rsid w:val="78034139"/>
    <w:rsid w:val="780F09F4"/>
    <w:rsid w:val="78141B92"/>
    <w:rsid w:val="78336A9A"/>
    <w:rsid w:val="78393FFF"/>
    <w:rsid w:val="783B103D"/>
    <w:rsid w:val="78437A1E"/>
    <w:rsid w:val="784C0550"/>
    <w:rsid w:val="78547024"/>
    <w:rsid w:val="7880578A"/>
    <w:rsid w:val="789962A4"/>
    <w:rsid w:val="78A32794"/>
    <w:rsid w:val="78A90480"/>
    <w:rsid w:val="78AC208A"/>
    <w:rsid w:val="78AF520D"/>
    <w:rsid w:val="78B33DB1"/>
    <w:rsid w:val="78B8009B"/>
    <w:rsid w:val="78BA359E"/>
    <w:rsid w:val="78BE62B2"/>
    <w:rsid w:val="78C6353E"/>
    <w:rsid w:val="78F15F46"/>
    <w:rsid w:val="78F63C9E"/>
    <w:rsid w:val="78FB568C"/>
    <w:rsid w:val="79083A3B"/>
    <w:rsid w:val="79142376"/>
    <w:rsid w:val="793547C6"/>
    <w:rsid w:val="79381268"/>
    <w:rsid w:val="795F7A95"/>
    <w:rsid w:val="797926D7"/>
    <w:rsid w:val="798026FC"/>
    <w:rsid w:val="79860282"/>
    <w:rsid w:val="79D57A15"/>
    <w:rsid w:val="79E03380"/>
    <w:rsid w:val="79E30EE8"/>
    <w:rsid w:val="79F3459F"/>
    <w:rsid w:val="79F72FA5"/>
    <w:rsid w:val="79FD68DA"/>
    <w:rsid w:val="7A104DBB"/>
    <w:rsid w:val="7A364017"/>
    <w:rsid w:val="7A417EC4"/>
    <w:rsid w:val="7A4246DD"/>
    <w:rsid w:val="7A430EA6"/>
    <w:rsid w:val="7A461A6D"/>
    <w:rsid w:val="7A474CC4"/>
    <w:rsid w:val="7A587851"/>
    <w:rsid w:val="7A7F6776"/>
    <w:rsid w:val="7A8265E1"/>
    <w:rsid w:val="7A8A6D94"/>
    <w:rsid w:val="7AAC18BC"/>
    <w:rsid w:val="7AAD7800"/>
    <w:rsid w:val="7AB001D5"/>
    <w:rsid w:val="7AC371F6"/>
    <w:rsid w:val="7AC77DFB"/>
    <w:rsid w:val="7AD16007"/>
    <w:rsid w:val="7AD86450"/>
    <w:rsid w:val="7ADE04E9"/>
    <w:rsid w:val="7AED11AD"/>
    <w:rsid w:val="7AED158D"/>
    <w:rsid w:val="7AEF5E24"/>
    <w:rsid w:val="7B0055CB"/>
    <w:rsid w:val="7B09196A"/>
    <w:rsid w:val="7B236A03"/>
    <w:rsid w:val="7B2E3094"/>
    <w:rsid w:val="7B3A48B6"/>
    <w:rsid w:val="7B4464CB"/>
    <w:rsid w:val="7B5C1F80"/>
    <w:rsid w:val="7B686D42"/>
    <w:rsid w:val="7B841746"/>
    <w:rsid w:val="7B932060"/>
    <w:rsid w:val="7BA66433"/>
    <w:rsid w:val="7BB0455D"/>
    <w:rsid w:val="7BB57B1A"/>
    <w:rsid w:val="7BBA7625"/>
    <w:rsid w:val="7BC10593"/>
    <w:rsid w:val="7BCC76A8"/>
    <w:rsid w:val="7C035604"/>
    <w:rsid w:val="7C1E59E5"/>
    <w:rsid w:val="7C2E0E3A"/>
    <w:rsid w:val="7C2E374F"/>
    <w:rsid w:val="7C6C5AC7"/>
    <w:rsid w:val="7C831CEC"/>
    <w:rsid w:val="7C86235A"/>
    <w:rsid w:val="7C8E4026"/>
    <w:rsid w:val="7C921F30"/>
    <w:rsid w:val="7CC6544B"/>
    <w:rsid w:val="7CDD5419"/>
    <w:rsid w:val="7CEA3B1A"/>
    <w:rsid w:val="7CEA58C8"/>
    <w:rsid w:val="7CEC7892"/>
    <w:rsid w:val="7CFB5B9C"/>
    <w:rsid w:val="7D0239FF"/>
    <w:rsid w:val="7D121F3E"/>
    <w:rsid w:val="7D1C7A4B"/>
    <w:rsid w:val="7D1F1C25"/>
    <w:rsid w:val="7D250FF6"/>
    <w:rsid w:val="7D304D71"/>
    <w:rsid w:val="7D412A8D"/>
    <w:rsid w:val="7D4E4EE4"/>
    <w:rsid w:val="7D545437"/>
    <w:rsid w:val="7D5E40CD"/>
    <w:rsid w:val="7D63567A"/>
    <w:rsid w:val="7D6531A0"/>
    <w:rsid w:val="7D6954C8"/>
    <w:rsid w:val="7D742D4E"/>
    <w:rsid w:val="7D7D2BE0"/>
    <w:rsid w:val="7D885400"/>
    <w:rsid w:val="7D892E81"/>
    <w:rsid w:val="7D95619C"/>
    <w:rsid w:val="7D9D0D29"/>
    <w:rsid w:val="7DBA0F25"/>
    <w:rsid w:val="7DCD56F2"/>
    <w:rsid w:val="7DDF22B3"/>
    <w:rsid w:val="7DE45B1A"/>
    <w:rsid w:val="7DE62533"/>
    <w:rsid w:val="7DEC264B"/>
    <w:rsid w:val="7E092B2A"/>
    <w:rsid w:val="7E174DE1"/>
    <w:rsid w:val="7E3A5223"/>
    <w:rsid w:val="7E3E19A2"/>
    <w:rsid w:val="7E484F9C"/>
    <w:rsid w:val="7E492AC2"/>
    <w:rsid w:val="7E5C0C5B"/>
    <w:rsid w:val="7E7757C9"/>
    <w:rsid w:val="7E851E20"/>
    <w:rsid w:val="7ED63B2F"/>
    <w:rsid w:val="7ED71873"/>
    <w:rsid w:val="7ED76CB8"/>
    <w:rsid w:val="7F001CE7"/>
    <w:rsid w:val="7F025059"/>
    <w:rsid w:val="7F121106"/>
    <w:rsid w:val="7F201A75"/>
    <w:rsid w:val="7F2A25AD"/>
    <w:rsid w:val="7F360529"/>
    <w:rsid w:val="7F3E639F"/>
    <w:rsid w:val="7F647934"/>
    <w:rsid w:val="7F71407E"/>
    <w:rsid w:val="7F807EA3"/>
    <w:rsid w:val="7FA26D74"/>
    <w:rsid w:val="7FD75F49"/>
    <w:rsid w:val="7FE47E50"/>
    <w:rsid w:val="7FEF35F0"/>
    <w:rsid w:val="7FF07699"/>
    <w:rsid w:val="7FF958D1"/>
    <w:rsid w:val="7FFC23F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ocked="1"/>
    <w:lsdException w:qFormat="1" w:unhideWhenUsed="0" w:uiPriority="1" w:semiHidden="0" w:name="heading 2" w:locked="1"/>
    <w:lsdException w:qFormat="1" w:unhideWhenUsed="0" w:uiPriority="1" w:semiHidden="0" w:name="heading 3" w:locked="1"/>
    <w:lsdException w:qFormat="1" w:unhideWhenUsed="0" w:uiPriority="1" w:semiHidden="0" w:name="heading 4" w:locked="1"/>
    <w:lsdException w:qFormat="1" w:unhideWhenUsed="0" w:uiPriority="1" w:semiHidden="0" w:name="heading 5" w:locked="1"/>
    <w:lsdException w:qFormat="1" w:unhideWhenUsed="0" w:uiPriority="1" w:semiHidden="0" w:name="heading 6" w:locked="1"/>
    <w:lsdException w:qFormat="1" w:unhideWhenUsed="0" w:uiPriority="1" w:semiHidden="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sdException w:unhideWhenUsed="0" w:uiPriority="0" w:semiHidden="0" w:name="toc 2"/>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ocked="1"/>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ocked="1"/>
    <w:lsdException w:qFormat="1" w:unhideWhenUsed="0" w:uiPriority="35" w:semiHidden="0" w:name="caption"/>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unhideWhenUsed="0" w:uiPriority="0" w:semiHidden="0" w:name="annotation reference"/>
    <w:lsdException w:unhideWhenUsed="0" w:uiPriority="0" w:semiHidden="0" w:name="line number" w:locked="1"/>
    <w:lsdException w:unhideWhenUsed="0" w:uiPriority="0" w:semiHidden="0" w:name="page number"/>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unhideWhenUsed="0" w:uiPriority="0" w:semiHidden="0" w:name="Subtitle" w:locked="1"/>
    <w:lsdException w:unhideWhenUsed="0" w:uiPriority="0" w:semiHidden="0" w:name="Salutation" w:locked="1"/>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ocked="1"/>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qFormat="1" w:unhideWhenUsed="0"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unhideWhenUsed="0" w:uiPriority="0" w:semiHidden="0" w:name="Balloon Text"/>
    <w:lsdException w:qFormat="1" w:unhideWhenUsed="0" w:uiPriority="0" w:semiHidden="0" w:name="Table Grid"/>
    <w:lsdException w:qFormat="1"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wordWrap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33"/>
    <w:qFormat/>
    <w:locked/>
    <w:uiPriority w:val="1"/>
    <w:pPr>
      <w:keepNext/>
      <w:overflowPunct w:val="0"/>
      <w:snapToGrid w:val="0"/>
      <w:spacing w:line="240" w:lineRule="auto"/>
      <w:ind w:firstLine="0" w:firstLineChars="0"/>
      <w:jc w:val="center"/>
      <w:outlineLvl w:val="0"/>
    </w:pPr>
    <w:rPr>
      <w:rFonts w:eastAsia="黑体"/>
      <w:bCs/>
      <w:color w:val="000000"/>
      <w:kern w:val="44"/>
      <w:sz w:val="30"/>
      <w:szCs w:val="30"/>
    </w:rPr>
  </w:style>
  <w:style w:type="paragraph" w:styleId="3">
    <w:name w:val="heading 2"/>
    <w:basedOn w:val="1"/>
    <w:next w:val="1"/>
    <w:link w:val="27"/>
    <w:qFormat/>
    <w:locked/>
    <w:uiPriority w:val="1"/>
    <w:pPr>
      <w:keepNext/>
      <w:keepLines/>
      <w:adjustRightInd w:val="0"/>
      <w:spacing w:before="240" w:after="120" w:line="240" w:lineRule="auto"/>
      <w:textAlignment w:val="baseline"/>
      <w:outlineLvl w:val="1"/>
    </w:pPr>
    <w:rPr>
      <w:rFonts w:ascii="Arial" w:hAnsi="Arial" w:eastAsia="黑体"/>
      <w:b/>
      <w:sz w:val="28"/>
      <w:szCs w:val="20"/>
    </w:rPr>
  </w:style>
  <w:style w:type="paragraph" w:styleId="4">
    <w:name w:val="heading 3"/>
    <w:basedOn w:val="1"/>
    <w:next w:val="1"/>
    <w:link w:val="28"/>
    <w:qFormat/>
    <w:locked/>
    <w:uiPriority w:val="1"/>
    <w:pPr>
      <w:keepNext/>
      <w:keepLines/>
      <w:adjustRightInd w:val="0"/>
      <w:spacing w:before="120" w:after="120" w:line="240" w:lineRule="auto"/>
      <w:textAlignment w:val="baseline"/>
      <w:outlineLvl w:val="2"/>
    </w:pPr>
    <w:rPr>
      <w:b/>
      <w:sz w:val="26"/>
      <w:szCs w:val="20"/>
    </w:rPr>
  </w:style>
  <w:style w:type="paragraph" w:styleId="5">
    <w:name w:val="heading 4"/>
    <w:basedOn w:val="1"/>
    <w:next w:val="1"/>
    <w:link w:val="29"/>
    <w:qFormat/>
    <w:locked/>
    <w:uiPriority w:val="1"/>
    <w:pPr>
      <w:keepNext/>
      <w:keepLines/>
      <w:adjustRightInd w:val="0"/>
      <w:spacing w:before="280" w:after="290" w:line="376" w:lineRule="auto"/>
      <w:textAlignment w:val="baseline"/>
      <w:outlineLvl w:val="3"/>
    </w:pPr>
    <w:rPr>
      <w:rFonts w:ascii="Arial" w:hAnsi="Arial" w:eastAsia="黑体"/>
      <w:b/>
      <w:bCs/>
      <w:sz w:val="28"/>
      <w:szCs w:val="28"/>
    </w:rPr>
  </w:style>
  <w:style w:type="paragraph" w:styleId="6">
    <w:name w:val="heading 5"/>
    <w:basedOn w:val="1"/>
    <w:next w:val="1"/>
    <w:link w:val="30"/>
    <w:qFormat/>
    <w:locked/>
    <w:uiPriority w:val="1"/>
    <w:pPr>
      <w:keepNext/>
      <w:keepLines/>
      <w:adjustRightInd w:val="0"/>
      <w:spacing w:before="280" w:after="290" w:line="372" w:lineRule="auto"/>
      <w:textAlignment w:val="baseline"/>
      <w:outlineLvl w:val="4"/>
    </w:pPr>
    <w:rPr>
      <w:b/>
      <w:bCs/>
      <w:sz w:val="28"/>
      <w:szCs w:val="28"/>
      <w:lang w:eastAsia="en-US"/>
    </w:rPr>
  </w:style>
  <w:style w:type="paragraph" w:styleId="7">
    <w:name w:val="heading 6"/>
    <w:basedOn w:val="1"/>
    <w:next w:val="1"/>
    <w:link w:val="31"/>
    <w:qFormat/>
    <w:locked/>
    <w:uiPriority w:val="1"/>
    <w:pPr>
      <w:keepNext/>
      <w:keepLines/>
      <w:adjustRightInd w:val="0"/>
      <w:spacing w:before="240" w:after="64" w:line="317" w:lineRule="auto"/>
      <w:textAlignment w:val="baseline"/>
      <w:outlineLvl w:val="5"/>
    </w:pPr>
    <w:rPr>
      <w:rFonts w:ascii="Cambria" w:hAnsi="Cambria"/>
      <w:b/>
      <w:bCs/>
      <w:lang w:eastAsia="en-US"/>
    </w:rPr>
  </w:style>
  <w:style w:type="paragraph" w:styleId="8">
    <w:name w:val="heading 7"/>
    <w:basedOn w:val="1"/>
    <w:next w:val="1"/>
    <w:link w:val="32"/>
    <w:qFormat/>
    <w:locked/>
    <w:uiPriority w:val="1"/>
    <w:pPr>
      <w:keepNext/>
      <w:keepLines/>
      <w:adjustRightInd w:val="0"/>
      <w:spacing w:before="240" w:after="64" w:line="317" w:lineRule="auto"/>
      <w:textAlignment w:val="baseline"/>
      <w:outlineLvl w:val="6"/>
    </w:pPr>
    <w:rPr>
      <w:b/>
      <w:bCs/>
      <w:lang w:eastAsia="en-US"/>
    </w:rPr>
  </w:style>
  <w:style w:type="character" w:default="1" w:styleId="24">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9">
    <w:name w:val="Normal Indent"/>
    <w:basedOn w:val="1"/>
    <w:next w:val="1"/>
    <w:qFormat/>
    <w:uiPriority w:val="0"/>
    <w:pPr>
      <w:ind w:firstLine="420"/>
    </w:pPr>
    <w:rPr>
      <w:rFonts w:eastAsia="宋体"/>
      <w:kern w:val="2"/>
      <w:sz w:val="24"/>
      <w:lang w:val="en-US" w:eastAsia="zh-CN" w:bidi="ar-SA"/>
    </w:rPr>
  </w:style>
  <w:style w:type="paragraph" w:styleId="10">
    <w:name w:val="Body Text"/>
    <w:basedOn w:val="1"/>
    <w:next w:val="11"/>
    <w:unhideWhenUsed/>
    <w:qFormat/>
    <w:uiPriority w:val="99"/>
    <w:pPr>
      <w:spacing w:after="120"/>
    </w:pPr>
  </w:style>
  <w:style w:type="paragraph" w:customStyle="1" w:styleId="11">
    <w:name w:val="xl27"/>
    <w:basedOn w:val="1"/>
    <w:qFormat/>
    <w:uiPriority w:val="0"/>
    <w:pPr>
      <w:widowControl/>
      <w:spacing w:before="100" w:beforeAutospacing="1" w:after="100" w:afterAutospacing="1"/>
      <w:jc w:val="center"/>
      <w:textAlignment w:val="center"/>
    </w:pPr>
    <w:rPr>
      <w:rFonts w:ascii="宋体" w:hAnsi="宋体"/>
      <w:kern w:val="0"/>
    </w:rPr>
  </w:style>
  <w:style w:type="paragraph" w:styleId="12">
    <w:name w:val="Body Text Indent"/>
    <w:basedOn w:val="1"/>
    <w:next w:val="10"/>
    <w:qFormat/>
    <w:uiPriority w:val="0"/>
    <w:pPr>
      <w:spacing w:after="120"/>
      <w:ind w:left="420" w:leftChars="200"/>
    </w:pPr>
    <w:rPr>
      <w:kern w:val="0"/>
      <w:sz w:val="24"/>
      <w:szCs w:val="20"/>
    </w:rPr>
  </w:style>
  <w:style w:type="paragraph" w:styleId="13">
    <w:name w:val="Block Text"/>
    <w:basedOn w:val="1"/>
    <w:next w:val="1"/>
    <w:qFormat/>
    <w:uiPriority w:val="0"/>
    <w:pPr>
      <w:autoSpaceDE w:val="0"/>
      <w:autoSpaceDN w:val="0"/>
      <w:adjustRightInd w:val="0"/>
      <w:spacing w:before="1" w:line="537" w:lineRule="exact"/>
      <w:ind w:left="88" w:right="6"/>
    </w:pPr>
    <w:rPr>
      <w:kern w:val="0"/>
      <w:sz w:val="28"/>
      <w:szCs w:val="20"/>
    </w:rPr>
  </w:style>
  <w:style w:type="paragraph" w:styleId="14">
    <w:name w:val="List Bullet 5"/>
    <w:basedOn w:val="1"/>
    <w:qFormat/>
    <w:locked/>
    <w:uiPriority w:val="0"/>
    <w:pPr>
      <w:numPr>
        <w:ilvl w:val="0"/>
        <w:numId w:val="1"/>
      </w:numPr>
    </w:pPr>
  </w:style>
  <w:style w:type="paragraph" w:styleId="15">
    <w:name w:val="toc 1"/>
    <w:basedOn w:val="1"/>
    <w:next w:val="1"/>
    <w:qFormat/>
    <w:uiPriority w:val="0"/>
  </w:style>
  <w:style w:type="paragraph" w:styleId="16">
    <w:name w:val="HTML Preformatted"/>
    <w:basedOn w:val="1"/>
    <w:qFormat/>
    <w:locked/>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7">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8">
    <w:name w:val="Body Text First Indent"/>
    <w:basedOn w:val="10"/>
    <w:next w:val="1"/>
    <w:unhideWhenUsed/>
    <w:qFormat/>
    <w:uiPriority w:val="99"/>
    <w:pPr>
      <w:spacing w:after="0" w:line="360" w:lineRule="auto"/>
      <w:ind w:firstLine="200" w:firstLineChars="200"/>
    </w:pPr>
    <w:rPr>
      <w:rFonts w:ascii="Times New Roman" w:hAnsi="Times New Roman"/>
      <w:kern w:val="0"/>
      <w:sz w:val="24"/>
      <w:szCs w:val="20"/>
    </w:rPr>
  </w:style>
  <w:style w:type="paragraph" w:styleId="19">
    <w:name w:val="Body Text First Indent 2"/>
    <w:basedOn w:val="12"/>
    <w:next w:val="1"/>
    <w:qFormat/>
    <w:uiPriority w:val="0"/>
    <w:pPr>
      <w:ind w:firstLine="420" w:firstLineChars="200"/>
    </w:pPr>
  </w:style>
  <w:style w:type="table" w:styleId="21">
    <w:name w:val="Table Grid"/>
    <w:basedOn w:val="2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2">
    <w:name w:val="Table Theme"/>
    <w:basedOn w:val="20"/>
    <w:semiHidden/>
    <w:unhideWhenUsed/>
    <w:qFormat/>
    <w:locked/>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3">
    <w:name w:val="Table Grid 5"/>
    <w:basedOn w:val="20"/>
    <w:semiHidden/>
    <w:qFormat/>
    <w:locked/>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25">
    <w:name w:val="Emphasis"/>
    <w:basedOn w:val="24"/>
    <w:qFormat/>
    <w:uiPriority w:val="0"/>
    <w:rPr>
      <w:i/>
    </w:rPr>
  </w:style>
  <w:style w:type="character" w:styleId="26">
    <w:name w:val="Hyperlink"/>
    <w:basedOn w:val="24"/>
    <w:qFormat/>
    <w:uiPriority w:val="0"/>
    <w:rPr>
      <w:color w:val="0000FF"/>
      <w:u w:val="single"/>
    </w:rPr>
  </w:style>
  <w:style w:type="character" w:customStyle="1" w:styleId="27">
    <w:name w:val="标题 2 字符"/>
    <w:basedOn w:val="24"/>
    <w:link w:val="3"/>
    <w:qFormat/>
    <w:uiPriority w:val="1"/>
    <w:rPr>
      <w:rFonts w:ascii="Arial" w:hAnsi="Arial" w:eastAsia="黑体"/>
      <w:b/>
      <w:kern w:val="2"/>
      <w:sz w:val="28"/>
    </w:rPr>
  </w:style>
  <w:style w:type="character" w:customStyle="1" w:styleId="28">
    <w:name w:val="标题 3 字符"/>
    <w:basedOn w:val="24"/>
    <w:link w:val="4"/>
    <w:qFormat/>
    <w:uiPriority w:val="1"/>
    <w:rPr>
      <w:b/>
      <w:kern w:val="2"/>
      <w:sz w:val="26"/>
    </w:rPr>
  </w:style>
  <w:style w:type="character" w:customStyle="1" w:styleId="29">
    <w:name w:val="标题 4 字符"/>
    <w:basedOn w:val="24"/>
    <w:link w:val="5"/>
    <w:qFormat/>
    <w:uiPriority w:val="1"/>
    <w:rPr>
      <w:rFonts w:ascii="Arial" w:hAnsi="Arial" w:eastAsia="黑体"/>
      <w:b/>
      <w:bCs/>
      <w:kern w:val="2"/>
      <w:sz w:val="28"/>
      <w:szCs w:val="28"/>
    </w:rPr>
  </w:style>
  <w:style w:type="character" w:customStyle="1" w:styleId="30">
    <w:name w:val="标题 5 字符"/>
    <w:basedOn w:val="24"/>
    <w:link w:val="6"/>
    <w:qFormat/>
    <w:uiPriority w:val="1"/>
    <w:rPr>
      <w:b/>
      <w:bCs/>
      <w:kern w:val="2"/>
      <w:sz w:val="28"/>
      <w:szCs w:val="28"/>
      <w:lang w:eastAsia="en-US"/>
    </w:rPr>
  </w:style>
  <w:style w:type="character" w:customStyle="1" w:styleId="31">
    <w:name w:val="标题 6 字符"/>
    <w:basedOn w:val="24"/>
    <w:link w:val="7"/>
    <w:qFormat/>
    <w:uiPriority w:val="1"/>
    <w:rPr>
      <w:rFonts w:ascii="Cambria" w:hAnsi="Cambria"/>
      <w:b/>
      <w:bCs/>
      <w:kern w:val="2"/>
      <w:sz w:val="24"/>
      <w:szCs w:val="24"/>
      <w:lang w:eastAsia="en-US"/>
    </w:rPr>
  </w:style>
  <w:style w:type="character" w:customStyle="1" w:styleId="32">
    <w:name w:val="标题 7 字符"/>
    <w:basedOn w:val="24"/>
    <w:link w:val="8"/>
    <w:qFormat/>
    <w:uiPriority w:val="1"/>
    <w:rPr>
      <w:b/>
      <w:bCs/>
      <w:kern w:val="2"/>
      <w:sz w:val="24"/>
      <w:szCs w:val="24"/>
      <w:lang w:eastAsia="en-US"/>
    </w:rPr>
  </w:style>
  <w:style w:type="character" w:customStyle="1" w:styleId="33">
    <w:name w:val="标题 1 字符"/>
    <w:basedOn w:val="24"/>
    <w:link w:val="2"/>
    <w:qFormat/>
    <w:uiPriority w:val="1"/>
    <w:rPr>
      <w:rFonts w:eastAsia="黑体"/>
      <w:bCs/>
      <w:color w:val="000000"/>
      <w:kern w:val="44"/>
      <w:sz w:val="30"/>
      <w:szCs w:val="30"/>
    </w:rPr>
  </w:style>
  <w:style w:type="paragraph" w:customStyle="1" w:styleId="34">
    <w:name w:val="修订1"/>
    <w:hidden/>
    <w:semiHidden/>
    <w:qFormat/>
    <w:uiPriority w:val="99"/>
    <w:pPr>
      <w:widowControl w:val="0"/>
      <w:adjustRightInd w:val="0"/>
      <w:spacing w:line="360" w:lineRule="atLeast"/>
      <w:jc w:val="both"/>
      <w:textAlignment w:val="baseline"/>
    </w:pPr>
    <w:rPr>
      <w:rFonts w:ascii="Times New Roman" w:hAnsi="Times New Roman" w:eastAsia="宋体" w:cs="Times New Roman"/>
      <w:sz w:val="24"/>
      <w:lang w:val="en-US" w:eastAsia="en-US" w:bidi="ar-SA"/>
    </w:rPr>
  </w:style>
  <w:style w:type="table" w:customStyle="1" w:styleId="35">
    <w:name w:val="TableGrid"/>
    <w:qFormat/>
    <w:uiPriority w:val="0"/>
    <w:rPr>
      <w:rFonts w:asciiTheme="minorHAnsi" w:hAnsiTheme="minorHAnsi" w:eastAsiaTheme="minorEastAsia" w:cstheme="minorBidi"/>
    </w:rPr>
    <w:tblPr>
      <w:tblCellMar>
        <w:top w:w="0" w:type="dxa"/>
        <w:left w:w="0" w:type="dxa"/>
        <w:bottom w:w="0" w:type="dxa"/>
        <w:right w:w="0" w:type="dxa"/>
      </w:tblCellMar>
    </w:tblPr>
  </w:style>
  <w:style w:type="table" w:customStyle="1" w:styleId="36">
    <w:name w:val="Table Normal"/>
    <w:semiHidden/>
    <w:unhideWhenUsed/>
    <w:qFormat/>
    <w:uiPriority w:val="2"/>
    <w:rPr>
      <w:rFonts w:asciiTheme="minorHAnsi" w:hAnsiTheme="minorHAnsi" w:eastAsiaTheme="minorEastAsia" w:cstheme="minorBidi"/>
    </w:rPr>
    <w:tblPr>
      <w:tblCellMar>
        <w:top w:w="0" w:type="dxa"/>
        <w:left w:w="0" w:type="dxa"/>
        <w:bottom w:w="0" w:type="dxa"/>
        <w:right w:w="0" w:type="dxa"/>
      </w:tblCellMar>
    </w:tblPr>
  </w:style>
  <w:style w:type="table" w:customStyle="1" w:styleId="37">
    <w:name w:val="ljw"/>
    <w:basedOn w:val="22"/>
    <w:semiHidden/>
    <w:qFormat/>
    <w:uiPriority w:val="0"/>
    <w:pPr>
      <w:snapToGrid w:val="0"/>
      <w:spacing w:line="440" w:lineRule="exact"/>
    </w:pPr>
    <w:rPr>
      <w:sz w:val="18"/>
      <w:szCs w:val="18"/>
    </w:rPr>
    <w:tblPr>
      <w:tblBorders>
        <w:top w:val="single" w:color="auto" w:sz="6" w:space="0"/>
        <w:bottom w:val="single" w:color="auto" w:sz="6" w:space="0"/>
        <w:insideH w:val="single" w:color="auto" w:sz="6" w:space="0"/>
        <w:insideV w:val="single" w:color="auto" w:sz="6" w:space="0"/>
      </w:tblBorders>
    </w:tblPr>
  </w:style>
  <w:style w:type="character" w:customStyle="1" w:styleId="38">
    <w:name w:val="fontstyle01"/>
    <w:basedOn w:val="24"/>
    <w:qFormat/>
    <w:uiPriority w:val="0"/>
    <w:rPr>
      <w:rFonts w:ascii="宋体" w:hAnsi="宋体" w:eastAsia="宋体" w:cs="宋体"/>
      <w:color w:val="000000"/>
      <w:sz w:val="24"/>
      <w:szCs w:val="24"/>
    </w:rPr>
  </w:style>
  <w:style w:type="character" w:customStyle="1" w:styleId="39">
    <w:name w:val="fontstyle21"/>
    <w:basedOn w:val="24"/>
    <w:qFormat/>
    <w:uiPriority w:val="0"/>
    <w:rPr>
      <w:rFonts w:ascii="TimesNewRomanPS-BoldMT" w:hAnsi="TimesNewRomanPS-BoldMT" w:eastAsia="TimesNewRomanPS-BoldMT" w:cs="TimesNewRomanPS-BoldMT"/>
      <w:b/>
      <w:bCs/>
      <w:color w:val="000000"/>
      <w:sz w:val="24"/>
      <w:szCs w:val="24"/>
    </w:rPr>
  </w:style>
  <w:style w:type="paragraph" w:customStyle="1" w:styleId="40">
    <w:name w:val="表内 定"/>
    <w:basedOn w:val="1"/>
    <w:qFormat/>
    <w:uiPriority w:val="0"/>
    <w:rPr>
      <w:rFonts w:cs="Times New Roman"/>
      <w:color w:val="000000"/>
    </w:rPr>
  </w:style>
  <w:style w:type="character" w:customStyle="1" w:styleId="41">
    <w:name w:val="font41"/>
    <w:basedOn w:val="24"/>
    <w:qFormat/>
    <w:uiPriority w:val="0"/>
    <w:rPr>
      <w:rFonts w:hint="eastAsia" w:ascii="宋体" w:hAnsi="宋体" w:eastAsia="宋体" w:cs="宋体"/>
      <w:color w:val="000000"/>
      <w:sz w:val="24"/>
      <w:szCs w:val="24"/>
      <w:u w:val="none"/>
    </w:rPr>
  </w:style>
  <w:style w:type="character" w:customStyle="1" w:styleId="42">
    <w:name w:val="font81"/>
    <w:basedOn w:val="24"/>
    <w:qFormat/>
    <w:uiPriority w:val="0"/>
    <w:rPr>
      <w:rFonts w:hint="eastAsia" w:ascii="宋体" w:hAnsi="宋体" w:eastAsia="宋体" w:cs="宋体"/>
      <w:color w:val="000000"/>
      <w:sz w:val="24"/>
      <w:szCs w:val="24"/>
      <w:u w:val="none"/>
      <w:vertAlign w:val="superscript"/>
    </w:rPr>
  </w:style>
  <w:style w:type="paragraph" w:customStyle="1" w:styleId="43">
    <w:name w:val="Default"/>
    <w:basedOn w:val="44"/>
    <w:next w:val="45"/>
    <w:autoRedefine/>
    <w:qFormat/>
    <w:uiPriority w:val="0"/>
    <w:pPr>
      <w:widowControl w:val="0"/>
      <w:autoSpaceDE w:val="0"/>
      <w:autoSpaceDN w:val="0"/>
      <w:adjustRightInd w:val="0"/>
    </w:pPr>
    <w:rPr>
      <w:rFonts w:ascii="Arial" w:hAnsi="Arial" w:cs="Arial"/>
      <w:color w:val="000000"/>
      <w:sz w:val="24"/>
      <w:szCs w:val="24"/>
      <w:lang w:val="en-US" w:eastAsia="zh-CN" w:bidi="ar-SA"/>
    </w:rPr>
  </w:style>
  <w:style w:type="paragraph" w:customStyle="1" w:styleId="44">
    <w:name w:val="纯文本1"/>
    <w:basedOn w:val="1"/>
    <w:autoRedefine/>
    <w:qFormat/>
    <w:uiPriority w:val="0"/>
    <w:pPr>
      <w:adjustRightInd w:val="0"/>
      <w:textAlignment w:val="baseline"/>
    </w:pPr>
    <w:rPr>
      <w:rFonts w:ascii="宋体" w:hAnsi="Courier New" w:cs="Times New Roman"/>
      <w:sz w:val="21"/>
      <w:szCs w:val="20"/>
    </w:rPr>
  </w:style>
  <w:style w:type="paragraph" w:customStyle="1" w:styleId="45">
    <w:name w:val="样式35"/>
    <w:basedOn w:val="1"/>
    <w:next w:val="1"/>
    <w:autoRedefine/>
    <w:qFormat/>
    <w:uiPriority w:val="0"/>
    <w:pPr>
      <w:spacing w:line="312" w:lineRule="auto"/>
      <w:ind w:firstLine="567"/>
    </w:pPr>
    <w:rPr>
      <w:rFonts w:ascii="宋体"/>
      <w:sz w:val="28"/>
    </w:rPr>
  </w:style>
  <w:style w:type="paragraph" w:customStyle="1" w:styleId="46">
    <w:name w:val="表格标题"/>
    <w:basedOn w:val="1"/>
    <w:qFormat/>
    <w:uiPriority w:val="0"/>
    <w:pPr>
      <w:numPr>
        <w:ilvl w:val="0"/>
        <w:numId w:val="2"/>
      </w:numPr>
    </w:pPr>
  </w:style>
  <w:style w:type="paragraph" w:customStyle="1" w:styleId="47">
    <w:name w:val="报告正文"/>
    <w:basedOn w:val="48"/>
    <w:next w:val="1"/>
    <w:qFormat/>
    <w:uiPriority w:val="0"/>
    <w:pPr>
      <w:spacing w:line="480" w:lineRule="exact"/>
      <w:ind w:firstLine="200" w:firstLineChars="200"/>
    </w:pPr>
    <w:rPr>
      <w:color w:val="000000"/>
      <w:sz w:val="24"/>
      <w:lang w:val="en-US" w:eastAsia="zh-CN"/>
    </w:rPr>
  </w:style>
  <w:style w:type="paragraph" w:customStyle="1" w:styleId="48">
    <w:name w:val="p17"/>
    <w:basedOn w:val="1"/>
    <w:qFormat/>
    <w:uiPriority w:val="0"/>
    <w:pPr>
      <w:widowControl/>
    </w:pPr>
    <w:rPr>
      <w:rFonts w:ascii="宋体" w:hAnsi="宋体" w:cs="宋体"/>
      <w:kern w:val="0"/>
      <w:szCs w:val="21"/>
    </w:rPr>
  </w:style>
  <w:style w:type="character" w:customStyle="1" w:styleId="49">
    <w:name w:val="font71"/>
    <w:qFormat/>
    <w:uiPriority w:val="0"/>
    <w:rPr>
      <w:rFonts w:hint="default" w:ascii="Times New Roman" w:hAnsi="Times New Roman" w:cs="Times New Roman"/>
      <w:b/>
      <w:color w:val="000000"/>
      <w:sz w:val="21"/>
      <w:szCs w:val="21"/>
      <w:u w:val="none"/>
    </w:rPr>
  </w:style>
  <w:style w:type="character" w:customStyle="1" w:styleId="50">
    <w:name w:val="font61"/>
    <w:qFormat/>
    <w:uiPriority w:val="0"/>
    <w:rPr>
      <w:rFonts w:hint="eastAsia" w:ascii="宋体" w:hAnsi="宋体" w:eastAsia="宋体" w:cs="宋体"/>
      <w:b/>
      <w:color w:val="000000"/>
      <w:sz w:val="21"/>
      <w:szCs w:val="21"/>
      <w:u w:val="none"/>
    </w:rPr>
  </w:style>
  <w:style w:type="character" w:customStyle="1" w:styleId="51">
    <w:name w:val="font01"/>
    <w:qFormat/>
    <w:uiPriority w:val="0"/>
    <w:rPr>
      <w:rFonts w:hint="default" w:ascii="Times New Roman" w:hAnsi="Times New Roman" w:cs="Times New Roman"/>
      <w:b/>
      <w:color w:val="000000"/>
      <w:sz w:val="21"/>
      <w:szCs w:val="21"/>
      <w:u w:val="none"/>
      <w:vertAlign w:val="superscript"/>
    </w:rPr>
  </w:style>
  <w:style w:type="paragraph" w:customStyle="1" w:styleId="52">
    <w:name w:val="表格内容"/>
    <w:basedOn w:val="1"/>
    <w:autoRedefine/>
    <w:qFormat/>
    <w:uiPriority w:val="0"/>
    <w:pPr>
      <w:adjustRightInd w:val="0"/>
      <w:snapToGrid w:val="0"/>
      <w:spacing w:line="240" w:lineRule="auto"/>
      <w:jc w:val="center"/>
    </w:pPr>
    <w:rPr>
      <w:sz w:val="20"/>
      <w:szCs w:val="21"/>
    </w:rPr>
  </w:style>
  <w:style w:type="character" w:customStyle="1" w:styleId="53">
    <w:name w:val="font31"/>
    <w:basedOn w:val="24"/>
    <w:qFormat/>
    <w:uiPriority w:val="0"/>
    <w:rPr>
      <w:rFonts w:hint="default" w:ascii="Times New Roman" w:hAnsi="Times New Roman" w:cs="Times New Roman"/>
      <w:color w:val="000000"/>
      <w:sz w:val="21"/>
      <w:szCs w:val="21"/>
      <w:u w:val="none"/>
      <w:vertAlign w:val="subscript"/>
    </w:rPr>
  </w:style>
  <w:style w:type="character" w:customStyle="1" w:styleId="54">
    <w:name w:val="font21"/>
    <w:basedOn w:val="24"/>
    <w:qFormat/>
    <w:uiPriority w:val="0"/>
    <w:rPr>
      <w:rFonts w:hint="default" w:ascii="Times New Roman" w:hAnsi="Times New Roman" w:cs="Times New Roman"/>
      <w:color w:val="000000"/>
      <w:sz w:val="21"/>
      <w:szCs w:val="21"/>
      <w:u w:val="none"/>
    </w:rPr>
  </w:style>
  <w:style w:type="character" w:customStyle="1" w:styleId="55">
    <w:name w:val="font11"/>
    <w:basedOn w:val="24"/>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0" Type="http://schemas.openxmlformats.org/officeDocument/2006/relationships/fontTable" Target="fontTable.xml"/><Relationship Id="rId6" Type="http://schemas.openxmlformats.org/officeDocument/2006/relationships/header" Target="header2.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28.emf"/><Relationship Id="rId56" Type="http://schemas.openxmlformats.org/officeDocument/2006/relationships/oleObject" Target="embeddings/oleObject16.bin"/><Relationship Id="rId55" Type="http://schemas.openxmlformats.org/officeDocument/2006/relationships/image" Target="media/image27.png"/><Relationship Id="rId54" Type="http://schemas.openxmlformats.org/officeDocument/2006/relationships/image" Target="media/image26.emf"/><Relationship Id="rId53" Type="http://schemas.openxmlformats.org/officeDocument/2006/relationships/oleObject" Target="embeddings/oleObject15.bin"/><Relationship Id="rId52" Type="http://schemas.openxmlformats.org/officeDocument/2006/relationships/image" Target="media/image25.emf"/><Relationship Id="rId51" Type="http://schemas.openxmlformats.org/officeDocument/2006/relationships/oleObject" Target="embeddings/oleObject14.bin"/><Relationship Id="rId50" Type="http://schemas.openxmlformats.org/officeDocument/2006/relationships/image" Target="media/image24.emf"/><Relationship Id="rId5" Type="http://schemas.openxmlformats.org/officeDocument/2006/relationships/header" Target="header1.xml"/><Relationship Id="rId49" Type="http://schemas.openxmlformats.org/officeDocument/2006/relationships/oleObject" Target="embeddings/oleObject13.bin"/><Relationship Id="rId48" Type="http://schemas.openxmlformats.org/officeDocument/2006/relationships/image" Target="media/image23.emf"/><Relationship Id="rId47" Type="http://schemas.openxmlformats.org/officeDocument/2006/relationships/oleObject" Target="embeddings/oleObject12.bin"/><Relationship Id="rId46" Type="http://schemas.openxmlformats.org/officeDocument/2006/relationships/image" Target="media/image22.emf"/><Relationship Id="rId45" Type="http://schemas.openxmlformats.org/officeDocument/2006/relationships/oleObject" Target="embeddings/oleObject11.bin"/><Relationship Id="rId44" Type="http://schemas.openxmlformats.org/officeDocument/2006/relationships/image" Target="media/image21.emf"/><Relationship Id="rId43" Type="http://schemas.openxmlformats.org/officeDocument/2006/relationships/oleObject" Target="embeddings/oleObject10.bin"/><Relationship Id="rId42" Type="http://schemas.openxmlformats.org/officeDocument/2006/relationships/image" Target="media/image20.emf"/><Relationship Id="rId41" Type="http://schemas.openxmlformats.org/officeDocument/2006/relationships/oleObject" Target="embeddings/oleObject9.bin"/><Relationship Id="rId40" Type="http://schemas.openxmlformats.org/officeDocument/2006/relationships/image" Target="media/image19.emf"/><Relationship Id="rId4" Type="http://schemas.openxmlformats.org/officeDocument/2006/relationships/endnotes" Target="endnotes.xml"/><Relationship Id="rId39" Type="http://schemas.openxmlformats.org/officeDocument/2006/relationships/oleObject" Target="embeddings/oleObject8.bin"/><Relationship Id="rId38" Type="http://schemas.openxmlformats.org/officeDocument/2006/relationships/image" Target="media/image18.emf"/><Relationship Id="rId37" Type="http://schemas.openxmlformats.org/officeDocument/2006/relationships/oleObject" Target="embeddings/oleObject7.bin"/><Relationship Id="rId36" Type="http://schemas.openxmlformats.org/officeDocument/2006/relationships/image" Target="media/image17.emf"/><Relationship Id="rId35" Type="http://schemas.openxmlformats.org/officeDocument/2006/relationships/oleObject" Target="embeddings/oleObject6.bin"/><Relationship Id="rId34" Type="http://schemas.openxmlformats.org/officeDocument/2006/relationships/image" Target="media/image16.emf"/><Relationship Id="rId33" Type="http://schemas.openxmlformats.org/officeDocument/2006/relationships/oleObject" Target="embeddings/oleObject5.bin"/><Relationship Id="rId32" Type="http://schemas.openxmlformats.org/officeDocument/2006/relationships/image" Target="media/image15.emf"/><Relationship Id="rId31" Type="http://schemas.openxmlformats.org/officeDocument/2006/relationships/oleObject" Target="embeddings/oleObject4.bin"/><Relationship Id="rId30" Type="http://schemas.openxmlformats.org/officeDocument/2006/relationships/image" Target="media/image14.emf"/><Relationship Id="rId3" Type="http://schemas.openxmlformats.org/officeDocument/2006/relationships/footnotes" Target="footnotes.xml"/><Relationship Id="rId29" Type="http://schemas.openxmlformats.org/officeDocument/2006/relationships/oleObject" Target="embeddings/oleObject3.bin"/><Relationship Id="rId28" Type="http://schemas.openxmlformats.org/officeDocument/2006/relationships/image" Target="media/image13.emf"/><Relationship Id="rId27" Type="http://schemas.openxmlformats.org/officeDocument/2006/relationships/oleObject" Target="embeddings/oleObject2.bin"/><Relationship Id="rId26" Type="http://schemas.openxmlformats.org/officeDocument/2006/relationships/image" Target="media/image12.png"/><Relationship Id="rId25" Type="http://schemas.openxmlformats.org/officeDocument/2006/relationships/image" Target="media/image11.emf"/><Relationship Id="rId24" Type="http://schemas.openxmlformats.org/officeDocument/2006/relationships/oleObject" Target="embeddings/oleObject1.bin"/><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133</Pages>
  <Words>11590</Words>
  <Characters>12464</Characters>
  <Lines>517</Lines>
  <Paragraphs>145</Paragraphs>
  <TotalTime>7</TotalTime>
  <ScaleCrop>false</ScaleCrop>
  <LinksUpToDate>false</LinksUpToDate>
  <CharactersWithSpaces>12555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2021-03-25T08:24:00Z</dcterms:created>
  <dc:creator>ASUS</dc:creator>
  <cp:lastModifiedBy>Cui</cp:lastModifiedBy>
  <cp:lastPrinted>2024-09-13T00:48:00Z</cp:lastPrinted>
  <dcterms:modified xsi:type="dcterms:W3CDTF">2025-04-25T12:03:01Z</dcterms:modified>
  <cp:revision>1655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DACBA9E26B2444F09F9445ACB6B62CC9</vt:lpwstr>
  </property>
  <property fmtid="{D5CDD505-2E9C-101B-9397-08002B2CF9AE}" pid="4" name="KSOTemplateDocerSaveRecord">
    <vt:lpwstr>eyJoZGlkIjoiYmI4MTU1NDRlMzA0MjMxZWJlYzcyYjFhMTNjOGJiY2IiLCJ1c2VySWQiOiI0NDIwNjE4MDgifQ==</vt:lpwstr>
  </property>
</Properties>
</file>